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63433886"/>
    <w:bookmarkEnd w:id="0"/>
    <w:p w14:paraId="6EABA72E" w14:textId="630A3F80" w:rsidR="006A6856" w:rsidRDefault="00F51F7F" w:rsidP="006A6856">
      <w:pPr>
        <w:spacing w:before="0" w:after="200"/>
        <w:contextualSpacing/>
        <w:rPr>
          <w:rFonts w:eastAsiaTheme="majorEastAsia" w:cstheme="majorBidi"/>
          <w:b/>
          <w:iCs/>
          <w:color w:val="2E74B5" w:themeColor="accent1" w:themeShade="BF"/>
          <w:spacing w:val="15"/>
          <w:sz w:val="32"/>
          <w:szCs w:val="32"/>
        </w:rPr>
      </w:pPr>
      <w:r>
        <w:rPr>
          <w:rFonts w:eastAsiaTheme="majorEastAsia" w:cstheme="majorBidi"/>
          <w:b/>
          <w:iCs/>
          <w:noProof/>
          <w:color w:val="2E74B5" w:themeColor="accent1" w:themeShade="BF"/>
          <w:spacing w:val="15"/>
          <w:sz w:val="32"/>
          <w:szCs w:val="32"/>
        </w:rPr>
        <mc:AlternateContent>
          <mc:Choice Requires="wpg">
            <w:drawing>
              <wp:anchor distT="0" distB="0" distL="114300" distR="114300" simplePos="0" relativeHeight="251658245" behindDoc="0" locked="0" layoutInCell="1" allowOverlap="1" wp14:anchorId="1B330784" wp14:editId="71AA7F9B">
                <wp:simplePos x="0" y="0"/>
                <wp:positionH relativeFrom="column">
                  <wp:posOffset>-247650</wp:posOffset>
                </wp:positionH>
                <wp:positionV relativeFrom="paragraph">
                  <wp:posOffset>0</wp:posOffset>
                </wp:positionV>
                <wp:extent cx="5812790" cy="828040"/>
                <wp:effectExtent l="0" t="0" r="0" b="0"/>
                <wp:wrapTight wrapText="bothSides">
                  <wp:wrapPolygon edited="0">
                    <wp:start x="0" y="0"/>
                    <wp:lineTo x="0" y="20871"/>
                    <wp:lineTo x="9910" y="20871"/>
                    <wp:lineTo x="10760" y="15902"/>
                    <wp:lineTo x="21520" y="13914"/>
                    <wp:lineTo x="21520" y="4472"/>
                    <wp:lineTo x="10618" y="0"/>
                    <wp:lineTo x="0" y="0"/>
                  </wp:wrapPolygon>
                </wp:wrapTight>
                <wp:docPr id="14" name="Group 14"/>
                <wp:cNvGraphicFramePr/>
                <a:graphic xmlns:a="http://schemas.openxmlformats.org/drawingml/2006/main">
                  <a:graphicData uri="http://schemas.microsoft.com/office/word/2010/wordprocessingGroup">
                    <wpg:wgp>
                      <wpg:cNvGrpSpPr/>
                      <wpg:grpSpPr>
                        <a:xfrm>
                          <a:off x="0" y="0"/>
                          <a:ext cx="5812790" cy="828040"/>
                          <a:chOff x="-573269" y="-33376"/>
                          <a:chExt cx="5813827" cy="828064"/>
                        </a:xfrm>
                      </wpg:grpSpPr>
                      <wpg:grpSp>
                        <wpg:cNvPr id="81" name="Group 81"/>
                        <wpg:cNvGrpSpPr>
                          <a:grpSpLocks/>
                        </wpg:cNvGrpSpPr>
                        <wpg:grpSpPr>
                          <a:xfrm>
                            <a:off x="-573269" y="-33376"/>
                            <a:ext cx="2847173" cy="828064"/>
                            <a:chOff x="-233654" y="-104905"/>
                            <a:chExt cx="2847341" cy="829405"/>
                          </a:xfrm>
                        </wpg:grpSpPr>
                        <pic:pic xmlns:pic="http://schemas.openxmlformats.org/drawingml/2006/picture">
                          <pic:nvPicPr>
                            <pic:cNvPr id="73" name="Picture 12" descr="CEWO_logo_inline_LowRes.jpg"/>
                            <pic:cNvPicPr>
                              <a:picLocks noChangeAspect="1"/>
                            </pic:cNvPicPr>
                          </pic:nvPicPr>
                          <pic:blipFill>
                            <a:blip r:embed="rId12" cstate="email">
                              <a:extLst>
                                <a:ext uri="{28A0092B-C50C-407E-A947-70E740481C1C}">
                                  <a14:useLocalDpi xmlns:a14="http://schemas.microsoft.com/office/drawing/2010/main"/>
                                </a:ext>
                              </a:extLst>
                            </a:blip>
                            <a:stretch>
                              <a:fillRect/>
                            </a:stretch>
                          </pic:blipFill>
                          <pic:spPr>
                            <a:xfrm>
                              <a:off x="-233653" y="-104905"/>
                              <a:ext cx="2847340" cy="606425"/>
                            </a:xfrm>
                            <a:prstGeom prst="rect">
                              <a:avLst/>
                            </a:prstGeom>
                          </pic:spPr>
                        </pic:pic>
                        <pic:pic xmlns:pic="http://schemas.openxmlformats.org/drawingml/2006/picture">
                          <pic:nvPicPr>
                            <pic:cNvPr id="77" name="Picture 77" descr="G:\Environment\Environmental Water\CEWH\SER Section\Stakeholder Engagement\Publications\Color Palette\ColorPalette_symbolsOnly.jpg"/>
                            <pic:cNvPicPr>
                              <a:picLocks noChangeAspect="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233654" y="536540"/>
                              <a:ext cx="2639695" cy="187960"/>
                            </a:xfrm>
                            <a:prstGeom prst="rect">
                              <a:avLst/>
                            </a:prstGeom>
                            <a:noFill/>
                          </pic:spPr>
                        </pic:pic>
                      </wpg:grpSp>
                      <pic:pic xmlns:pic="http://schemas.openxmlformats.org/drawingml/2006/picture">
                        <pic:nvPicPr>
                          <pic:cNvPr id="11" name="Graphic 11"/>
                          <pic:cNvPicPr>
                            <a:picLocks noChangeAspect="1"/>
                          </pic:cNvPicPr>
                        </pic:nvPicPr>
                        <pic:blipFill rotWithShape="1">
                          <a:blip r:embed="rId14" cstate="email">
                            <a:extLst>
                              <a:ext uri="{28A0092B-C50C-407E-A947-70E740481C1C}">
                                <a14:useLocalDpi xmlns:a14="http://schemas.microsoft.com/office/drawing/2010/main"/>
                              </a:ext>
                              <a:ext uri="{96DAC541-7B7A-43D3-8B79-37D633B846F1}">
                                <asvg:svgBlip xmlns:asvg="http://schemas.microsoft.com/office/drawing/2016/SVG/main" r:embed="rId15"/>
                              </a:ext>
                            </a:extLst>
                          </a:blip>
                          <a:srcRect b="35912"/>
                          <a:stretch/>
                        </pic:blipFill>
                        <pic:spPr bwMode="auto">
                          <a:xfrm>
                            <a:off x="3595273" y="157729"/>
                            <a:ext cx="1645285" cy="35242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50FC241" id="Group 14" o:spid="_x0000_s1026" style="position:absolute;margin-left:-19.5pt;margin-top:0;width:457.7pt;height:65.2pt;z-index:251658245;mso-width-relative:margin;mso-height-relative:margin" coordorigin="-5732,-333" coordsize="58138,82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VuY6NoDAAApDAAADgAAAGRycy9lMm9Eb2MueG1s1FbB&#10;buM2EL0X6D8QujuyJEuyhTiLIvGmBdLGiFvkYiCgaUpiQ5ECScfx33dIyrLjeLFtij3kYJlDUqM3&#10;b94MefnlteHohSrNpJgG0cUwQFQQuWaimgZ//fl1MA6QNlisMZeCToMd1cGXq59/uty2BY1lLfma&#10;KgROhC627TSojWmLMNSkpg3WF7KlAhZLqRpswFRVuFZ4C94bHsbDYRZupVq3ShKqNcze+MXgyvkv&#10;S0rMfVlqahCfBoDNuKdyz5V9hleXuKgUbmtGOhj4AygazAR8tHd1gw1GG8XeuWoYUVLL0lwQ2YSy&#10;LBmhLgaIJhqeRHOr5KZ1sVTFtmp7moDaE54+7Jb88TJXiK0hd6MACdxAjtxnEdhAzratCthzq9pF&#10;O1fdROUtG+9rqRr7D5GgV0frrqeVvhpEYDIdR3E+AfYJrI3j8XDU8U5qSI59bZDmSZxNAgQbBkmS&#10;5JlPDKlnBx/JOM4PPjIHL9wjCC3QHldv9AF0QY6jt0GC/S5In0aI906SZw3LzveBBO+z/9YeQc/B&#10;t4LZ0xGPR3mUJ6eh4OJAR5wkWQr5sHREw9FkmJ7yYZ0kI4jGczoZ+S3f4KNlpIBfJyAYvRPQ9wsN&#10;3jIbRYPOSfOvfDRYPW/aAWi9xYatGGdm5+oWVG1BiZc5I3PljYMWLTtei7Bsv4qiOEBrqgmU7vXs&#10;8f6Jy0o+McGZoE93cvtA9cXfbWVZsm6tJ+8X27hdIpGQ1zUWFf1Ft9AWQPB2d/h2uzPfgFpx1n5l&#10;nFtV2HEXPuA4KcEzDPryvpFk01BhfL9SlAMTUuiatTpAqqDNikL5qd/WNpvQKw2UIDQ/xn3OtVHU&#10;kNp+vwQcD4Dd4sZFv+BAH3DaiDQUq33jpDwHTlhA7qmwjrWZQHk6WWXDbBQ75fWyAjqVNrdUNsgO&#10;ADbAgVziAr/c6Q7YfkvHrsfiQAI0nyAYfB4xQtd5K8YcZjox3hbLmXhhSgqb4uMx5ugRcqmWoNdf&#10;l4vZA1oAV5D55cLgZ9qdfDNR4Yq6d+cbyCHx4lheSy4VmmNOjaHe6ownvWtWkut7wXefX/NQ1uc0&#10;r0in8yOZ/1f9o9X2d7mGYsIbI51Gz1aDb7OpbbjdsdQXQ5ZMsknqiyEa55PMbfhoMeBCSNtJ9l3n&#10;tC4OR9jnq5Ho6Fz1dymY+XHNGClpHpmpFzVuIcGRy+4P7s72wD7Tnb1SEVwmk3QCpxQE3Wt2n+n3&#10;vfm72gRnaWyPQejUUZrn8cR73mszykZpPO60maTx/2zUuODCAj8o1M+4rn1WqHAfdadQd3e2F95j&#10;G8bHN/yrfwAAAP//AwBQSwMECgAAAAAAAAAhAI1Y3K9LEAAASxAAABUAAABkcnMvbWVkaWEvaW1h&#10;Z2UxLmpwZWf/2P/gABBKRklGAAEBAQBgAGAAAP/bAEMACAYGBwYFCAcHBwkJCAoMFA0MCwsMGRIT&#10;DxQdGh8eHRocHCAkLicgIiwjHBwoNyksMDE0NDQfJzk9ODI8LjM0Mv/bAEMBCQkJDAsMGA0NGDIh&#10;HCEyMjIyMjIyMjIyMjIyMjIyMjIyMjIyMjIyMjIyMjIyMjIyMjIyMjIyMjIyMjIyMjIyMv/AABEI&#10;AD8BK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f6KKKACijpTd49RQA6iud0nxnpWs6/faNaSM11Z/6zI4PY4PfmuhB4oAWiiigAooooAKKK&#10;KACiiigAooooAKKKKACiiigAooooAKKKKACiiigAooooAKKKKACiiigAooooAKKKKACiiigAqKW5&#10;iheNJHCtI21Ae59P0qXpXK+K4LyWWKeNilrBG7SSJKEZDtPzcjoMZ+oHuCAdOzDbnFeOaH4qs0+J&#10;viO6TVmTTYwFFusLS+Yf4nTGduG5OBjmo/if8QL6y8O2um2D+TcXRkjuJUOSqIQMA9ie/ce2a5Lw&#10;ppJ0zwmuttfLF/aHnQup2/JEPlDEkZAL8Hnoc9RQB7FplxpVlqUl6usRyPcczYswhl443EDPHP50&#10;3QdYm1vx3rEllfTTaRaQpCyMBs88nPyYGeBwc9z6CuTmufO0fTSl60QadGWbzF/fAHGDg8E4OB3w&#10;PpXEeJ9K8ZeHtRv5dPuLz+zry4FzvtHIG6RsKGAOQ2Tj3xQM+lmmVFLEHgZ4FNtrqG7t0ngcPG4y&#10;rDvXhPw88Za5q19JoWqS3dxcYHkuxw37s7mRs9cjPXtx3r2Tw/DNbaRBDPD5cijBzgFvcgdD/hQI&#10;1ycUA5qjq96bGwaSMBp3IjhQnG+Q8KP8+lec6X4u1LRbX+yL6cG8tNVjgmkuQMtbSksr9cAjp7UA&#10;eqE4ozmvLLbx/rd1Y2kzJABc20pWWCPdslBl2hlzkAiMYPIyD+E2keJ9cuF0i0g1CyZX0UahPcTx&#10;FjlXAZeG9M8/p2oA9NLYpAwOK8ePjO78Q/Y0kuIAIdX08xyW5271kGW78rnPXtweafZ+PLjS9PsY&#10;YXs0L3DmSNmZm2m6KFssemDngkg9gKAPYKaXAOOa8/8AD/jLVNR8TRWNy1sbaWa8iXy4yGAhYBTn&#10;POQfSq0OorAPF+oeI4pZ7myuG226tho7XA2GMZGM88jkmgD0oHNLXmw8X6qt5FY2EKorTW9rBHOu&#10;6QrJAX81iDyAcZ+h71H/AMJ5rZttL82C3tZLxZoma4GxFuIh8y5J4Ut+OFOM0Aem0V5peeL/ABBH&#10;pXiDU45rBYtLujbLEYWJckx4Jbd2DN2pj+N9b85rUS2YlXULq1MhhOCscPmKcbuueOtAHp1ITgV5&#10;TF8R9YjSE3K2pSe3s5jKibVgExIYnJxgYGCcdeasv441uPXIbOV9P8rzbGOTy1LhvOLBiGzjHygj&#10;60Aemg5FLXKfD/UbzVPC63V9dCe5a4mD8YKESN8p9OO3piuroAKKKKACiiigAooooAKKKKACiiig&#10;AooooAKKKKAKmpSzw2TvbReZKCML178nHfA5x3xXn9/qd6+pXDtpWsPHJGsbNFbN0zllXJGRwME9&#10;ieOtekSAkcEj6VzE2la5M3lz3m6GSf5gvaMA8n7pBOecdwMdzQB5XrdpfeItZbVNe0m8tdP0+2ka&#10;KG5jfErn7i8DCjOMk4HHQVoaVd2enaFaab9h1Autuq+XNDhVfB3HduPyliSeCPpjI625bYk11cq0&#10;8iEmJJCFXOSSjBiG+YKODnrmo5bj7bvTU7M25TyxtgKOEYZHKkFQM57noD6UDM1LW0injnFraiK6&#10;dmllwFZ9jbQWGDt5xgAZwcdTTHntdS86G7t78WFuwlZ4opAszg/IoB7Dk/MeuMU/TodHju72ULcr&#10;BiI26MQ5QCPJJDcHj64Jx1xWlPI8du+nWulfaoTJsaeR1LplipY44HPAxn7poANKimtNIEVrHqVs&#10;tw8rNbtC+YdzswO7B6ggHB4JyK0tNl1e0v5Y445Jrd5QUMyS52n73JHXPTsAO9MtEkTXJ4bK8Zg8&#10;TSKGVkJlAx83AyOpG7PfrgVt6PHq4lY6hIDEY02DA3bsfNuwOD9M9aBF+9mhhjRpoXlG7gJEZCD6&#10;4AP51Ra9sHJZrC6JPUmxkOf/AB2o/E+vHRI7GGGIS3moXK2tujHC7j1LH0ABNOm1efS5P+JmYPJk&#10;aOKBoQd0kjE5XZz6evr0xQA9L2xRgy2N0GGcEWMnGf8AgNKt/ZKcrZXYIGARYydPT7vSs648feH7&#10;aOGR7uRklh+0K0cLMBHv2EnA4wxwfSpW8a6OsBlaS4wLo2ZT7O+/zQu7btxnpyKALf22wIGbC64x&#10;j/QJOP8Ax2gXtgP+XC5/8AJP/iaoW3jzQLq3kmju3CJAtwC8TLvRm2grkfN83HHen3PjfRLOIPNc&#10;TEkzAqkLMymL/WAgDjA5oAurf2KPvWxugw7iwkz7/wANEl9YzMrSWN07L0LWMhI/8dqpJ410OKZY&#10;pLtlZvIwTG2CJvuHOOh9e3epW8V6St9FZNcss8m3AKEbd27bk9s7Tj/69AE51GzMgkNneFwMBjYy&#10;Z/PbSPqFlIqq9ndsAdwBsZDz6/d61jaj47tI9PafTSLiSOe2jkSRSmEmYBWH4HP86im8fxLJA8Vn&#10;Obc6lJYylo23fIjMWUDqcqRigDeN/ZFWU2V2Qxyw+wycn1Py0n22w/58LnPX/jwf/wCJqnrHilLX&#10;wRN4k04JcRLAJ4g+QHUkD6jrTYvFUUGmtqd/NH9iLpDHJAjMTISVK4GehwM+9AF03mnkFTp9ztIw&#10;R9gk5Hp93pS/bbAnJsLokY5+wSdv+A1Xh8ZaNP8AZ9s8i/aDMI98TL80Wd6nI4Ix0qt/wmdpb3d6&#10;l6wjjiuo7aERxSNIWeMMAy7ep7Yz+dAGrHqlrECEtL1QTk4spBz/AN81J/bUH/Pvff8AgHJ/8TVC&#10;PxdpMl1HAJ5Fkkwqq8TL85TzNhyOG284NVovH2gTWdxdrcy+TbxRzOzQOPkc4VgMcjPHFAGx/bUH&#10;/Pvff+Acn/xNH9tQf8+99/4Byf8AxNZlt430W6vRaLPMkpaRCJYGQK0Y3MCSOCBz9KaPHWhm3SZb&#10;iV1kkWJVWBixZlLrwBnlRkUAav8AbUH/AD733/gHJ/8AE0f21B/z733/AIByf/E1ir470qW8tUiM&#10;z289g1/5/lnasYPcdc9fyx3pk3jSCSfTY9PAmFxqP2CfeCpibYWyPXt+dAG7/bUH/Pvff+Acn/xN&#10;H9tQf8+99/4Byf8AxNYWteKb3Sdel0020OJbF7mxkdj++lT70Zx3xzx60aR41t9R0iz1GQhI5YlE&#10;qKhLJOzbRGPXlX/IHvQBu/21B/z733/gHJ/8TR/bUH/Pvff+Acn/AMTWOvjnS5bq2jiMjW89m979&#10;pKkIkanHPH1/KpH8baLGqFp5maR3jWNIGZyyqHK4AznaQaANT+2oP+fe+/8AAOT/AOJo/tqD/n3v&#10;v/AOT/4ms3U/ET2+vaVo1rGrXF+ryb5MgRxoMkkdSegxWHdeP54GubNbNW1C31OOwYcmM+Zyr8c9&#10;O3r7UAdd/bUH/Pvff+Acn/xNIdatx/y733/gJJ/hXIad471G61KBLq2sba0N89jKXeTfvRSWK/Lj&#10;HHcjit4+M9GEAkNw4DFQgMTAyBkLgr6jaCc+1AHQowdFcAgMM4IwadUFncw3lnDc28iyQyoHR16E&#10;HpU9ABRRRQBRl0m0mn89oh5h+8wyN3ylcH1GD0PoKzrvQ0j3NZ2tsWYEu8wZ3Jx2yf5mt+igDzDS&#10;vAWo6Zq1velreVSD5ySImBkDAAABA6gkHk44OK7m00OyjCTGyihnA5WNiVGDkccDrz0rVwPQUtAF&#10;Gw0yKwQiN3YsBuLnrj26Dv0Herw4FFFAGVrmg2uuwW6TtJHLbTLcW80Zw0ci9CM8H6Gq994cGpRw&#10;G7vZXnt50nhkCqAjqCMhenIYg5rdooA4uT4b6W9qlsl1dRxraG04KklTIJSeR1LCrbeCbUzNL9su&#10;Azah/aB4X/WbCmOnTBNdTRQBxUfw20tLaOBrm5dY7NLRNxXgLJ5it06hqlm+H1hNuZrq4Ejm6aR1&#10;2/O06hXPTjAAx6V2FFAHLXngPSb+0WCfzGZdP+wCTPzbAQQ3+8COvuamPhG0GutqsM8sUjwJC6BU&#10;IOzOxgSCVIz2ro6KAOJi+G9jHHMp1C9kaZrdpHfZuYwsSpJC8k559aunwTaF1K3dwqrfyX6rhTiS&#10;RWVh06fMa6migDnX8IWr+Cx4Y+0Ti0EIhMgxv2g59MZ/CmXfhGG+tBbT31wY1khkQKFUBo23Z6ck&#10;nGc+naulooA5mPwTpws4beR5ZVhv2v0ZsZDsSSOP4TkjHpRceDLW51OS+a6nEkl9FfbQFwHjXao6&#10;dMDmumooA5mbwXYzau1+ZpgWuDdeUMbfNMfl7vX7vbpmqCfDfTksZrT7bdmOW1itSflyFjfep6dc&#10;12tFAHJf8IHYtftdyXVw5eeedkO3BMsflsOnTHSiDwLawWGn2YvrgpYSrJC2xATtUqA2AM8MeTzX&#10;W0UAcjB4CtLWGCO31C9iaGwewV0ZQ2xjuznHDAnqKSy+H9jZPAyXty3k3wvgGCcyBNmOAOMV19FA&#10;GVqeg2erXmnXV0paTT5/Phx/e2kc+3IP4CqB8G2KaZLYWs09rFNeteyeUR87FtxUgggr7ewrpKKA&#10;OPi+HumR2cNobi5eGOylsWBK/PG7bucDqD0Iq3aeD4LabS5mu5ZJdPZmRtiLv3Js+YKB27+tdLRQ&#10;BkaloFvqOoWWo+Y8N9ZFvJmTBwrDDKQeCCKzW8D2LfP583nvfpqEs3G6SRfujpgKBxgV1NFAHJnw&#10;HYOymS5uHUX8l8VOMF5FKsvT7uDTD4Ct307T7STUrqX+zpA9o8iRt5a4K7SCuGG0kc57V19FAENr&#10;AtrbRwIcqgwOAP5VNRRQB//ZUEsDBAoAAAAAAAAAIQCx59XepQcAAKUHAAAVAAAAZHJzL21lZGlh&#10;L2ltYWdlMi5qcGVn/9j/4AAQSkZJRgABAQEAYABgAAD/2wBDAAgGBgcGBQgHBwcJCQgKDBQNDAsL&#10;DBkSEw8UHRofHh0aHBwgJC4nICIsIxwcKDcpLDAxNDQ0Hyc5PTgyPC4zNDL/2wBDAQkJCQwLDBgN&#10;DRgyIRwhMjIyMjIyMjIyMjIyMjIyMjIyMjIyMjIyMjIyMjIyMjIyMjIyMjIyMjIyMjIyMjIyMjL/&#10;wAARCAAUARU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Ch4FHhzVfE09t4jtEKXrD7MBJN8srOAEBVs4O7qxP3Rz1ze+Ifw7fwzI2p6aHk0mR8&#10;FTybYnoCe6k8An2B5wTxGn6hd6Vfw31jO8FzC26OReoP9QehB4IOK9o0b4laF4t02bR/EUcenyXE&#10;RjdmceS/y8kMfuHOSAemB8xNckeWSs9zyaXs5wcJaPocz8E5ZB4svoRI4iexZmQN8pIdACR6jcfz&#10;PrXuleJfCjT5tJ+I+rafcY862tJYmIzgkSxjIz2PUexr22tqPwnbhLqnZhRRRWp0hRRRQB4l4k+F&#10;F1qHiTzvDrQLpd1CsqTTTM6h+43DcxyBu3HjnGc4B8x1DT7vS7+ayvoHguYW2SRuOQf6juCOCCDX&#10;YeAfH8Xg+Ke2fTFmW6lRnnEzKVUcfdwQcZOMYP14x7Dd3mg+NdGXTyTPDffIjLkbcfNuV8EbgADj&#10;1wGA5Fes6tWi7TV13NbtbnmPwRlkHi2+hEjCJ7FmZAflJEiAEj1G4/mfWveK8Y+GOizaB8Sb+zlL&#10;vGdNaWCVomj82JnjKttbkcdR2II7V7PXHjGnVuiZ7hRRRXKQFFFFAHndroc999mmF1CyXMhRnDEs&#10;jYLEMCOuAf8AJzUkVjFNYi3Igt2gzJd3LtuK4ZlCgD+Xfj2zm2M8lvceZGGLBSQAccgZBPrggNj2&#10;rWuoli0yHz41CxRjEe/h3STDAnr/AMtGyB6Ag+knFGzVyTwYx/taZcnaYCSM8feX/E13Fcf4Zngn&#10;12Vre0W2jFucKHLE/MvUn/61dhTR0UfhCiiimahRRRQBzMnh0XcAfa9vd4O7LeYkh/vZ6jJI/Xg9&#10;azbjQJrSxmuLmZI3RtqJkYk+hz9eMdqg07UNQhdbe1uSisejYKqOpPIOB1JrpdN1mDUDNaysrPnb&#10;H5gwJVxj8zycY711Nzj6GS5WZHhMn+1JRnjyTx/wJa7GsXTrCzs9alFu8kcnlHMDqeBuHzBu44Hr&#10;/StqsarvK6LirIKKKKzKCiiigDwHSLI63r9taz3G03Mv7yWR+Tnk8nOWPQepIroNetPCsTXOl6es&#10;sF/bAKJ5S22aQEAqTkgZ+bnaoyOoHXlLW8uLGdZraVo5FZWBHfDBhkdCMqDg+gr0HxBpcHinwpH4&#10;otYfJvli3TqMASBCQ2ee2CQepAx6Y82CvFpLU+irNxqRbdo7fPzPOUlkjzsdlz12nGaKWWV5pDJI&#10;dznqcdfc+/v3orE67dzkrmJYbuaJSSqSMoJ64BqKiiug/Mj1j4KQfatY1bUJpZXngtordNzZGw9u&#10;eeBEoHoPwx7PRRXXR+A9fCfwkFFFFanSFFFFAHyHfwLa6jdW6ElIpnRS3UgEjmrcPiHVraytbO1v&#10;pbWG2kaWMW58s72GCxZcFjj5cknA4HFFFfR2TWp0np/wcnu9Y1vVNT1G+urq5traO2jaaUv8jsWP&#10;J56oMc9zXsVFFeNjFaq0jCe4UUUVykhRRRQB5pAPseviKPDKk5iw4B3KTtIP1Ga3fGIW3ht4okVE&#10;mkeWQAdWAAz+Rooqehxx+CRF4KiU3d1Nk7kjCgdsE5P/AKCK7Oiimjej8AUUUUzUKKKKAPOLgfZL&#10;u6gjPyq7Rhj12g/1qvRRXoI5jpPCzyT380ssruyQhF3NnAz/APWrq6KK5K3xm0NgooorIsKKKKAP&#10;D7DQ7a68btoryTC2FxLFuUjfhd2OcYzwO1erapZW2m+DdRtLSIRQR2UwRAc4+U+tFFceHS5ZM9fH&#10;SfPTR4zpljFe+b5jONmMbSO+f8KKKK5ktD0ZN3P/2VBLAwQKAAAAAAAAACEAN0SDB8nJAADJyQAA&#10;FAAAAGRycy9tZWRpYS9pbWFnZTMucG5niVBORw0KGgoAAAANSUhEUgAABdgAAAH0CAYAAAAubk9W&#10;AAAAAXNSR0IArs4c6QAAAARnQU1BAACxjwv8YQUAAAAJcEhZcwAAOw4AADsOAcy2oYMAAMleSURB&#10;VHhe7f1Prx3HmaeLEmXXoGfq6bkDEsdU16BhUg00UAVTADk4DUkuNKw/p3oqyZNzZ0e4bVf35ACq&#10;UV9TaGyTkktUTTi6EFVtmqiS5xxWiRzsj7A/wv4IvvlG5to711qx1oqINyLyjcjnAX6wzL1W/l+Z&#10;EU++GXkDAAAAAAAAAACgSX5x9saND37z+Y0PHr688eEX5zc+fHg5/O/FjQ++eDH875n7O0BJfvHF&#10;A3esbR+D5+Mx+PCT6VMAAAAAAAAAAAAAhhB5OcrMPx3NBw8/m74BkA+5eSNi/fQxeH7jw9+8P30L&#10;AAAAAAAAAAAAYGE++OKpR2QeDpIdcjLK9fO94+xYpNIdAAAAAAAAAAAAYFGkGtgnME+GKmLIhAxL&#10;5D3GjuXh5Y1f/I9b0xRgFYwnqzOywshJwhI9HovctQQAGBqlDz/zniNbDY3lcGTf9xoIQ9pCvu3X&#10;ahA2oEUqIUumNr5lyBlYN3IMxFYOX+Xh5TQVgHR+8fCtoKGJfJEnL2BFjJ1F/8FAes/FdBTYIOmu&#10;oPFIRwwARsYGslxzNi+DkUYHL4NZA721NTi3hzH+5v3bsIdwoyWM2Mf6rUeuWwAa3DjSnmMrV0QG&#10;1aT0b5xr7rpxctNzXISGazVocTfXPcdWULjJsy4Q7GsOgr10aBACjLgnVI7c+Ze3sEO/jE8o+fd9&#10;i7H2BJhVpHLZt/16Cdf4MNyNVM/2azdn05oBpFFasNc+N0mf0rccucK5dt1ofy8cP6BF247hJs+K&#10;QLCvOQj20uGCDjBJtqDH6s6nb0Bv9FbJTAVrGHIN9G2/XsKNljBKy7fqYYgYUFJcsFe8RtW4vtOf&#10;Wjf6tgQ3RUGHFIL5j63A0G5YDwj2NQfBXjo0CGHtjB2vcLmCuOwX3/5uN7aun1bpbWiQ3XC+Oo1U&#10;bfm2XcuhEg20lBbsNYckqPGkEv2pdaP3VQh20JH8DoApvJdvRSDY1xwEe+nQIIS1k/RI3dDxhP7Q&#10;Nk5NhfEUg+iucnk3HAcn6W6YIPY5ZKC4YB8iBQ410FcXnw79qXWjHmaQ6mFQoi0Y4cb8ikCwrzkI&#10;9tKhQQhrRtPpqv2CLihPb+0NGsun8W233sJxcJwaIrFuGMoM9FQR7JUqJpMKKSJDf2rdaG/U5u5T&#10;yM2rU4G+0PVheOp1VSDY1xwEe+nQIIS14qpNgsZdP5DhuzRQ+6K3czyPex5HOrS+7dZbOA6O01s/&#10;Q6rYALTUEOxyza1BjSeV6E+tG+kPpB9nF9n7E2HLws3YntC1aRmiaFUg2NccBHvp0CCENeLG3NXI&#10;9SnyQhnoB/UjvsbC+f04/VUu+8NxcJwa1a1VMxzX4Of//J//r+m/4BRVBHuFd0TUupHKeRZS25C5&#10;b4KHH/MI9t5IGyYm/w0eMA6Cfc1BsJcODUJYG9KIUL9pfRZ+Q/0wViD593OL4QWXx+n9BaebcBwc&#10;J6zSr6Ewlq+XD774e7d93v/N/3v6FzhGlRuQFd4XUOtGKm1BEOJv2OavHA73FQj23kh6koI2w/pA&#10;sK85CPbSoUEIa6PE7zj32ImwHD3JNp6wOE53lcuHwksvj+LdZg2HMff9INjjqCWmSx+vtTwC/SnY&#10;IMeC7xjZynBdls+VqBwOLyJCsPeIKyQLKiA5R66vFQT7moNgLx0ahLAminUYGY+9G3I+3bB4EKtH&#10;6a5y+Ug4P/npbxx+W+1mSyDY4+il8rvWjVT6UzBnrCQ+m9qUU1vDSXX5/2fFbiyN890/Pv1BsPeM&#10;tG9EtF/1a4bjT/a5nBNL3dyBRkCwrzkI9tKhQQhrIde464ciDRhon97aHDSg/fQnVo+Hp2z8dPfe&#10;BYYDOgiCPY4kwZ7Qxir5Ul4nGwu2++ahPwUWkOPQd3z6g2AHWCUI9jUHwV46NAhhDUgnq0ZlMr+n&#10;9ulNuOV+eVYv9LafT4Vzk584GdFC8o/n2wsI9jhSBPtYLR7Zb39Y7kmrlBupqe/m4BwLFoh7YgPB&#10;DrBKEOxrDoK9dGgQwhqo+dulUrRt4h6vtR/O8X76E6vHQ2Wzn+5edMt4qgdBsMeRNkTMRdL3Sj1p&#10;lXKeT702cK2FpYl/YgPBDrBKEOxrDoK9dGgQQu9Ur1QdGrelOotQB+9+bTRy3YJ94qq8eggdaR+9&#10;HQe84PQwCPY4UoeISblJXepJq/jf93naeg+hPwVLE9/foV0AsEoQ7GsOgr10aBBCz5Qed/1QGI+9&#10;bVwn27NfWwyVy35cpaVne3WbgsMwtExvxwEcBsEeR6pojq+iLdcXif99y0spqWCHNol3Zgh2gFWC&#10;YF9zEOylQ4MQekU6eUtWJ/Lbapeu2h2I1T1SKix7CNXN27gbsJ7t1G6QJcdAsMeRLNgfvjW0f+Le&#10;eVPiRnDSef437yPYoVnibyhxzQBYJQj2NQfBXjo0CKFXLPxeGY+9TXo714togGtkOALfduo9XO+3&#10;6e04kPHk4TAI9jiSBfvwu4q+hha4EZwyPKDcdEu9/nN+hSVJeaEvgh1gpSDY1xwEe+nQIIQeceJk&#10;gaFh9mPrHAZhVB+3v3C40bONXPd826n3SBsGrkkViFbD/j0Ogj0OzVjkqXI7J9Hn+Unyp774eIn+&#10;lHtS062nDG3z0sUNcSftX9cGvnBPB8g6uT7ssE97ZGzzf+LW0a3rtC3GdR/Xv9d135DmKGwJdvfU&#10;iTt3DMez7LeDx/P1Md1TAYmsi7tBOf9Nz9d1+Nua2Nse8jsejoe93/ZwzFjjatnd71Jc9rj88/3p&#10;/jaclxbZr+NC+U4KpP8g2EtniQYhQElcA204d/iO9yUiF1Noi/EY8u/PFsN5fhv5Tfq2U+/hXLRN&#10;d/0Lg51MSyDY49AI9qRraGYBGnue35wfR4nj/8yx1LrOyrYdhdMkHj3Lcipu21Q6X4yV1aNgCkrg&#10;cbC1HTzreChu3QvI9vGY96xPQLTHjgi6pH6PO378y7SXAttMcNttOBbH/aI4ngstnw/v9jmSkJuH&#10;4z4MOZYPu7Ho39osKZJ3czMkNKHzcL9t59zijmk5DpYsKHLH8nAcuhtDCceyLP9Gus8j54egTNJ+&#10;M42jjDvFvyCk9yDYS0d+kAA94RpanmN90SA+miO1oW8xcu2CayzdgKua4ZiGa0xeKxRhjP3jINjj&#10;cJ37nWMsJJvrTbQcyXydSp1/6nmhdH/qSuBmbpuUXu5Rwvnn7c2J61Su7SA3UnKeM2VavvmEJa2S&#10;/GpbeKeZNyINc1LqeJZplmRcbt98D+fYbyx2Hx7bD6Ok93/vdOK3m6yXf1r+yLn1GPmOibLHwC6y&#10;3KMjtNO3OPl7jTnoSG9BsJcOgh16IvZiXy1DY4FhOtrCVSD49mWDOdWoXRu+bbSWIGGv6etGC8OR&#10;nQLBHodesMf133Nep8ZKTv98DmYqhEi99pfsTyVXKAfnvNi1IVqwDzm0LE5k5b4xeqrSM5Dagr38&#10;MbGdnIJ9XPa4Jw/iMhzPgdXSsSQJ9gPntpTjWW4MHcK6YD9280x+P1n7XdLvLnQMzHHXyew3ifRB&#10;sJMjQbCXDoIdesF1qAxe5K6DAGmJrtoeRxq1ayNJvHSUGh2OVvBtn1aTU370CoI9jlTBvhE1uSuX&#10;Y0hZdpFd7ruJ4q9Ef6qIUD6SEuuQIth90nu8dhcSyhkkey3BPgre+u3THNeYq2Wv1lfLX8k8roNv&#10;XodzaNul7cfD62ResA/xFZuV/G375peDpX6HoUGwkyNBsJcOgh16YLzQlayGyJNjlQdgi6ROodUg&#10;2K9Il0Z9hGv+SH83WvKLhN5AsMeReq7ctHNSRFQuGRI/jvq14EwVPbnPreP2q1ehvEnOJwmEtLbU&#10;9vnMyevCUlZ787mGYB8Fav1jQqIV7HI817xZdJ204XcOkXJe87XBU+S0y5GbQS0I9t3zpGuLlfxt&#10;D9POLdldtf0ix3J4EOzkSBDspUNnG3qgqevE0NkA+yQ1og1HGoSQIl76Sm550ipd3UCTZKjA7B0E&#10;exzpgv36HBMrTnL1SeILLq7lkgXBPrY/liwayXfDLu1cu93/F1nk/1zGiIhTtJNKC3bnIEqKyBPR&#10;CPZRri/X9tLeHJiT2jeYH1sqqXykD9mEYJ9dH6qd54ZtnYvlz81hQbCTI0Gwlw6CHVqnuYpUZSMe&#10;6uHdf41GW53VC9arToonY0ejZVI6hpbDNeU0CPY4cgj2WDGa4wZgkgCbSSvv3wOSqz81ykgD16lM&#10;N+1Sb2ZuqHmu1jxlWlywL3xMaCS1hcKGXJI9WbDP2uCx58V5jl3rWxDs8zZoVa+W63zWiJdGsJMj&#10;QbCXDoIdWsY1aFOrABZMroYelKWFKoXQcK4fSa1O7CnSQVw7vT3JwD49DYI9jmTBPmvfRPebMtwA&#10;TJFMc2nl+3tIcl1jTd0EziClUgW77MfqbfxhXscE5jHcsvqmGZR+Bbslj7fYDbwhm/ODToJf33jy&#10;0YRgHyK/leJDw+wmw7Ul9Vy2RBDs5EgQ7KWDdIFWcVU+wwXEd1y3EH579ump/ZGjY9E6rkHv2TZr&#10;i3TC1o4piaVO3jFmewXBHkcOwZ4iJLQ3i+Klz3VfM1WeSXK06VKFVbEohPOGVCk1tu/rFzmkVrEj&#10;2Pdx26SmRA3JcDxqSBbsUxtc12897sVaEezjsbxAsYvihqHb79aO5SM5+XtFsK85CPbSQfJBq/Tw&#10;e8z94hXIS1/nfCRcS9UnJcN1X/oW/TzJoBnWYE0g2OPIIdhTZJT2BmCsiNyIL2FJwT7O2955SXt+&#10;ae66m1jpimDfRyeTS0XnltLPERfq6vVTx0krgn2xKKrY9f1BuVl45rbZmAK/jWH9xumenb6OItjX&#10;HAR76dDRhhZxjYiG7iQfjq1zHGzTlZBVNCx7obnOQKHMhdIa0YkQi4nvGK8RBHscOQS7ECuNpa+l&#10;QTO/JQW75T6mpoq9yXZUQqUrgn0b0/tdW8nsm2ZQdDfQTt3sQrCfTsq5THvzU/abTGMXd85QuYwL&#10;d16Qa4cU7PnmcRAE+5qDYC8dBDu0xnih62hs7JXLLsvoGtL2EtX46pClO6h2su6nGfRVZMbyG90j&#10;72sBwR5HPsEe14/XtImSJOfs96O55mv6U3rRshOZVsbpafZJcdGac7tNSVlfBPs2YyWtf1rRcfs4&#10;49Mdw/RSWbZfcFyCdyfYS/y2E27g6s5h50f7XpqhK1UOD8G+5iDYSwfBDq3R5TUBQWKWEg28pXLy&#10;kcHOydpBazmKzmUPpIpDq0mpyFojCPY4sgn2WDmhOD+liJC5/FhKsOdo18p2361ilP8eJViGa19i&#10;O1Unp/xx8naYrpz7Nusr656tn55wDJYW7G5dhzbcbjQi20l7+Z2HJGL/ZxGvwz6Q6cz3sSDLkeNm&#10;Q4poFTTnCHWG/XAMOR683wuKAcHu+ltn++cxOc5z3WBK+G1r5h3SPks+/yuulcMEEOzrDYK9dDQN&#10;QoDaZL+YW8lwkQy5CEN9slbhLJw1n+8X7RQZzJrPN131KzQdrJWBYI/DSbXd4y0gu4I95dyben6K&#10;76dti03NdSL1+irr6ptecIZzgMx7LqR8yDAF3u8HJ61PnlWwD+t6SvS6ilD5nO/7ERGpF4NuP6b7&#10;Ds1+LdUm1N7QOTSkxhy1k5F+14l5+NCcI9Q5dew3LdjPT573c7XdYq4vbn8nn0/CnhbVHFOp18rh&#10;ywj29QbBXjprFi7QFq7xmqHRbDW7nVKwQV9tkPgGdC/oOh79Zc3X/qUftc8ZrhvhINjjyCXYhdi2&#10;W+r5Kf63vX1N1IiO5GVW9i1j5qs996XInGyCXY6hE4JxQ455xu5P10fxTCcs/Qh2fVsrvJ2q3s8n&#10;KsJ9FBPsw/Etv09XvT2r4HbH1bCecp7Y/Nsh2hXsx4dRmZOl/RZ4HhE021T2WSipN6Xk959EX51b&#10;EhcEe+mUuLgC5EYuvD1VEh8Kv0d75OioWYk0TNdKvo5AH4lp+PeGtrrOVtZ70ywWBHscOQV7bPst&#10;VRpE/7Z3RItGnqW230Qu+aYXktgbbG79FIUqKeuYqw0Ve83Snudj20sI9hGVKxmOzVDRukHz+wmt&#10;MJ6jOUccivyOY9fbR5OCXfb5w7emKZ5G9zsbE3Pca9Yx5oZksu8etl8SCPY1B8FeOiUurgC56fG3&#10;dygxDQ0oT4nG9GJJbYh1QJaql46y5pstvu3RbBIq8NYKgj2OrII9tg2XcK1yQ4P4pnUkuwJEc71P&#10;6U+lLPM8Ke3F1P3qkrBf8gj2iwTxqvVHcfIVwb75/aTf2Ej6DSmFa4wEFbL3CTJew1sU7Ck3UzXH&#10;mCSm/avpO8Sg2Zax50YHgn3NQbCXTu6LK0BuXAdkaNT7jt8+Y+u8t3ayN6YXTlJDrAO0DfLustKb&#10;LVqhZS4RjzqvHQR7HDkFe4pkjb1WxQuK/baW5nqf0p/S9Svjq28FbZsmVkjmEezx8k8938hrJIJd&#10;v81jj60NmvZd7DbI2yfI+wRakxXsCW0YvRsO/73FPn11nbjftOa3k3Kjdfgign29sSWaEOwAdRkb&#10;MprH/1pN3kYX6OjpGExqiDVO3g5RP0ntzLZMHtljJ2vch6kg2OPIKdhTzsEii2KIFY2+KkbNtSKl&#10;P6URg5p2okpIRlacZjnnJki4HNf9GBDssiyaJwXTbhgJKlcYeyMlU3uyxFOEzQn2YdvL9oxFf06p&#10;IdjjjmeVYI+8VjoQ7GsOgr10EOxgmTWf/5MumFCEno7DNZ7zu6tazpQ1nmPUHUJTSRcSawTBHkdO&#10;wS7ESt3Ya1X09Ic+3S41Bbv6upQgnTfUFJJqGZYo4YR0OTYmBgR7/G9wO4obRspjLOZGdS7BXqL9&#10;1ZpgT73JoN8H4b+31AKrQ9fBQ2iuB0m/4zULFoJgL53cF1eAXOjvUDceRacC8tLTud8nFXpHNeZs&#10;x1nj9V8jI6ylRAVczyDY48gv2OP68zHHd5Jw8QhqjbiJPZ9qr0uap1fUQjKibaqdl+Y8p227xbB2&#10;wb7kDSO1cB1+i6Go5zWk1LW7NcEes9130d3MqSDYI5/00Zw/kvp1CPY1B8FeOgh2sIhrwDxc07jr&#10;/iBQbNDTzZ41HlM9SdWcWeex0NPLbtMr/tYIgj2O7II99joaUSmdIpZ8klgjz6IFu8pv6J5e0UrC&#10;mOpbffsp/TynFYAxrF2wa/ez5oaRoBGuMYIyh2DX3Ew4RnOCXbEdUsX3mBqCPa59rapgR7CTuCDY&#10;SwfBDhbpS4IoU6ghBuFkaVBbSeTj3T3A+eRAVngsaDrh5sK1IQoEexy5BXvKdTRUusWLHr+grinY&#10;ddcl/c01lZCMWFeteFVJOOW8Y1i7YI//Dc6jH+5M4wtjZKi6P1Dw6eTWBLvmpopu+Kfw31vqfA5d&#10;Bw+h2XdJv2ME+5qDYC+dnBdXgBxoL9jdRRpjysoO0CP7wbt/Gsza6EqqZk6pjp5FdALEXrguxIFg&#10;jyO3YBeir6OBQwjEy2q/TKop2FXXpQw312oJSa3k1pznEOzHk9MBLH7DSLOvI4oNtII95rcTS1uC&#10;XXdTRXe8hf/e0s+Tceun2ncpQ+1oLgCk9SDYSwfBDpZwDdSORGauxN4Jh/zoqiVsRR5FXAvqcUE7&#10;jzTq14Ku82ksEUIARhDscZQQ7PHX0TDpEy2rDwjqWoJde7Mvx801VZ824vxTS3z60J7zY1i7YI/+&#10;Dc6SYzm0+zq02EAr2JNkaCC6bVBXsGv7tbqhH8N/b8nnychzV+r11gXBTuKCYC8dBDtYQRotPUnM&#10;3OG3uixdtUUOyIUe0Vaw9Z41nVdUHRhz0T9SvzYQ7HEUEezR/ajTx3nKTdRDgrqaYNfKwByCXSHH&#10;JKHorsG685z2BnsMCHb/PIKSQTpr97X8JkNQC/aC7W/NeUWOo1g055CU+c3R9ckiBLtiHWNQnY9T&#10;jqnuBPvDS3cSIGGxBIIdoByqi8tKYu2cuCZ6ErVyLVsLnFeOp+Tjytboqz+hf6R+bSDY4ygh2KOv&#10;owFVgPHX5sNypRXBngPtDcdQNG0nbZWrtJl90w1NDAh2/zyCkkOwq7Z/PcGe4+bYIVoS7No2TC3B&#10;rur7Dd8NJXnIG/HKwzEZTY+CHdoEwQ5QBtcIHs6NvmOUzJPeCAcd2sa7paxJqurGaVxD1lMJ3dWx&#10;kEFIrA0EexwlBHuKnDpVWBDbNzt2/WtDsOdpB6rE0ZBQqaMS7MoqVwT78eRyAFrpHCMiD6FdhiqC&#10;vbADbEmwawt9agl21TUhcJu6eSQ6kOSbkAh2sAKCHSA/cmGRC4Tv+CT7WVP1sSW0jXdbWc+NGllX&#10;/zYgLitqk3Z1LGQQEmsDwR5HCcEuxP4OT/VTYm+cHWtDqWRKRH9KJ7fXI9i1Va4I9uOxIthD5fYx&#10;1G30wGuqaj4I9usoiwRqCXYh+TcWuL8XOUci2MEKCHaA/PT4uyqdUxVdUIZuBN1K2iHqDtdKUvKR&#10;ZUv41r3VrGWf5QTBHkc5wR7Xrz/1xJVcz3zfO5gjIk1zzWhNsOuq6BHsuyDY/fMISQ7BLvimHZwa&#10;gj3Tb/cQCPbQxO2Hkuew8Xg63/lOeJJ/Owh2sAKCHSAvrjEQ2zkiQ8o20sBPT+2RNQg6rUBYS9bQ&#10;DtCKFlvh/J8Cgj2OYoI9VlYc6TdH/66HaR0Twxp5FiXYE7ftmDy/f+05MbQNgWAPSfo+NSHYVes+&#10;HEvDfsqBqj8ZKHwR7NdoBLv22Ksp2HX7fMiBY0umq3mC/9TN56Mg2MEKCHaAfIwXrPS7tkTX8YB4&#10;eroGJFc9NISm8b+myHHdOzrJYyuqTtWKQbDHUUqwp8iKQzI3/hx//J0TGpES059SCfZMHqEFwZ4i&#10;/eYg2I8nlwNQC/bAY+kUCHYEe1ji94PmdyaRdpu0tWUfScb+pM6BqPpxCHawAoIdIB89/p5qJ1fV&#10;B4TRlaRbwbk/dmzetWYNwlbTEbQXbq6mgGCPo5RgF6JF2HDt9RF/jg95XN/3vdOJuaaq2hII9mAQ&#10;7MeTqx2ok875+jIIdgR7WOL3g/YmUv4cv1l8EgQ7WAHBDpAH1wjQNITIGK4nVdF2IixlDVJVGtG+&#10;dSc7WcF5RFt9ZCoHZCMcB8EeR0nBHivGpf/lI/ocf+K304RgH5IDjYyTINi3QbD75xGSbILdM+3g&#10;BF5XEezXrEmwC2ac9NBmV1WvCwh2sAKCHUDP2DhhaJhc0XZAII5ebgyFSJCW6elmSI2EypJW6elp&#10;ht73VSkQ7HEUFeyR/SnfDeGUc/yp347murE6wT5sqxAQ7CFZuWDXysIJ37SDg2CfphLO2gT7uO+X&#10;L9w5dMM5CgQ7WAHBDqCnu3O6geRqnMJpRB749kFz6bwtou1Yry29n0MsdIpyBdJAsMdRdIiYWOnq&#10;uV7Fi9vTUqWWYK8lt49RaxkQ7CFpW7ALvukHJ1Bun8I77dAg2KephLM2wS5ozmc5ItfXHOf/YWII&#10;drABgh1Ax9IXpm7DdaUaPbVJsjTSjJIqh9aantsCOvFhLcpxN1cMgj2OkoI9RVLtVp/Hyp2QYdE0&#10;8izmHKo9J+1uixS018hQEOwh6UCwD/0Q3zyCMhyLWtTXeQT7NJVwYs/B82iPvaUEu6C9OZme8yzn&#10;fgeCHayAYAdIZ2yUMDRMqaxhTG0L9HSTSBqJvaLpdK4xPZ8/lusM5Y9WOK0ZBHscJQW7ENse3O2v&#10;xA77FPJYfTXBrpJ0w7U7w5jVGjkmCQXBHhCFGzIj2BX9uxzLod3Xoe1hBPs1mnOIdp8vKdgFd7xp&#10;bipFRq53cuxlA8EOVkCwA6TT3bncYgIrMCAddZWMofR8/o+VL6tPx23Tnp5moM2WDoI9jvKCPa5N&#10;uHsTUCSJ73MHE9A+qiXYBY2cySLYVTehwwUVgj0gHQh2+d375hGSHMuhvZEeWhmMYL9G9ptvWiHR&#10;7vOlBbswnl8KDz84nBty/k6vQLCDFRDsAGn0VPVrOlxfiqOtPLOUkIq+Vine6O0wWatjDNFVP4Kb&#10;qMkg2OMoLthj24Wz9k20OB2+G3J+qyrYNU90ZhhSQ3MTevdmxzEQ7AFRtN2tCHbNdVa7nwVZF9+0&#10;gxKx/RHs12i2ufbY616wD8ekq1of5lEEBDtYAcEOEM/YGGFomFqJ6fhAGr3I216PFW2neq0JfUS6&#10;NTQiyVpCq+xgHwR7HKUFe4qo2kjy+GULe3dBTcGuEqMZhKSuHXM2TeU0CPaAdCDYVY4kgxtTCf7A&#10;c5aAYL9mzYLdnVuG49Y/fUVKi/UNCHawAoIdIJ7uzuENpFdRZoVujulO2yM8MZOWXtsDvdwQK905&#10;7x0EexylBbsQ+9vctG3ipWKYEK4q2BcUkjpJOCTiSRoEe0AU+9OKYNdu683Ns1R0N9LDbxgh2K+R&#10;48c3rZBojz1dP0y3H9x2Hn6z/mnvZPicbNtxCKXZ9c59X/7/ufubXA/kN6T9HQTTnZxRXhRhORDs&#10;AHFoLvZEEa4zRenpWlCtMVcRTaN/zen1iQbfuraYGHEJ+yDY46gh2GPl4KbPMsoK/2e8CRTCGnkW&#10;25/Sto811261DI14kgbBHhBFm92MYFeJ5yERN218xN6s20rEkEu69USwb6I99pYS7O666OS4b7o7&#10;kc8pj+tiINjBCgh2gHDGRghDwywVbccEDqPpMFqLdEB7o6chQeombBiFltAKFlsJr7KDfRDscVQR&#10;7JH9KvfovLQtQwXHlFAhrJFn0YJdKyQjpOAuGjEW6zEQ7AFRuCErgl2IvvE1i5wLUlHfMIpoByPY&#10;r9GcR7TH3hKC3f3GQ6898jmrcl1AsIMVEOwA4fT4e2ktPcpTC6g7xobS4zVAVclUPIaXrcP2aU83&#10;wzRCDUREIdhjqCHYo3+fwzkqXqaF3zisKdgFTRGKRkiqRGjkk04I9oAorr2WBPtSVcWq/qacU4bf&#10;fSgI9mvk+PFNKyTaY2+JYy1unsYLIhDsYAUEO0AY7iI/nOt8xxypmbKNuTXTy/Gt6aRbxPrND+vV&#10;9aGVnq2g6QBaS2/7pjYI9jhqCPaU83XsOTRGCNcW7FoxmIJKBEsiqzIR7AFRuCFLgl27vWNE9xxd&#10;4UKcCEWwX6NpX2mPvdqC3f2+Y/p9kefJ6iDYwQoIdoDTSONDUx1DcodhBUrQyzEeW41mHU0Ho0Y0&#10;HZIa6a1NoJEP1pIqH2AEwR5HDcEulB5KMOYmcm3BrpN1aTfdtFI/9jyEYA+Iwg1pPFmJAguV7E54&#10;SktzfEmkzRiD7jeLYN9E29asLdhj1zXl3FwVBDtYAcEOcJoefyetRzoZkJd+2iZ9PeWgafBXSaK0&#10;qpUSHe4lsf7EQHj6Gx+/Ngj2OOoJ9rLX0hiBVluwCxohGSvFoqswd5Ii4RDsAVlKsBcosKgpPuX3&#10;qit2ib+uItiv0bS3tf6p5nEmyPbxT8uf2Bs31emnEzsFwd4sCHaA47jGrKLxTkqlL4lqAW3VjJl0&#10;1iaxLlRVnfAK6e2JBo28shStaAIEeyzVBHvJa+lwfYupuF5GsOs8R2gBhZORyutjijRCsAdkIcFe&#10;ov2nkbwuEVXsGsErSSkoQLBfsy7BHjk0WeR1sDoIdrACgh3gMK7xrqokICXDbz0v2o6bpZh/lDEC&#10;20L1XNk5q5CO2qjWb2bEpLcnC5YAwR5HLcFe8pxYc1lS21jq9ZebCCcku2ufR1Zg7idNDiLYA6IR&#10;7MobVCWuLep2WIBk18jdTVLavrrfK4J9E22ftLZgTxnKTK4/ZvtXCHawAoId4DA5GjukbEIrneA0&#10;JaVA7Zh/lDEQ6/tkI3t8f7OUXm64qCvpLOU3xl+Y1QAI9jhqCXah3I3Rei8w1PSn9PJbcuY9d4/n&#10;Qf0496nrh2APiMINqeY75Zhkl204+o/hGAq8DqWeO+aRimHv8ez2qd4Npj6t169gj98emn6/1j/V&#10;FuxyXfNP63Tku3Iuk9+R22by+wjJ8HuTfVqkj4ZgBysg2AH8uAbecG7zHWPEUso27tZGOSlQN71c&#10;B7Sd6dLZyALr58oijfkFcB0Uz/q1GJ9ogDgQ7HGk/n5SBHsewexJ5I2ppQR7Dkl6nQsny5wQzXat&#10;uXDbJgUEe0A0gj1jYYEcN04EOpnoOX4ifk8528duudwyDdPMcUwP05BjIwUE+zVOFnumFRJtv6O2&#10;YLfgo93v4MjNsCgQ7GAFBDuAH82dXVI5Q6cZ8tBL+ySlYW0R+0J1rKbMUU1YMr20C7rpP9BvyAKC&#10;PY6qgr1Q/yr2xtRSgl2Q67BvuiYSeaNiDoI9IMpzfLU2RYxgV+z30tFISgT7NWsS7JptWyZnyTc9&#10;Hd00kDehodwsCHaAfTQXWLJApHKDasgs9HJNSBEiFilWBZkr080t84K9kxsupoVVRHr5fS4Ngj2O&#10;moK9jIw7n6YezpKC3c17aJ/5pr1ktNcDBHtAtIK9VnFBhGAXTBZfSR9IISYR7NesSbAL5trucr2I&#10;/E1egWAHKyDYAbax2iEgx9OLQFsayxU6UemkXWJeqE4NYZOdznk6OR6kE+Vdv+YSN440+EGwx1FT&#10;sOuklT8p7RzNcuToT1lsU2iHDNOsE4I9jBK/H28iZZ5qmxSKpnpdQLBfszbBrj2flEtCGxHBDlZA&#10;sANs0935eU2JbCjDPtU6NRUi69I61oXqRlSYr7Qf0sfx4F+35jI9+QA6EOxx1BTsQu7qwJT+jeaa&#10;nqs/Zev6oL+5h2APSAY3VOW4Seg3aPZ//pyr2za6dj+CfZMWBbtQ7WmR6ESeqxHsYAUEO8A1thpN&#10;JDpci7Ig29G7fRuLtkptaexWllxnMzRTC+1ajgc7aX1fWAHBHkd9wZ73vJjyu7Eg2AUbTzkpx/id&#10;QLAHJEN7vEq1eIJgF2zcNNLLdQHBfs0aBbug2c4lE3XNQ7CDFRDsACNjA8P2OMLkdLSdF7DSEdan&#10;9WtBCzf8NrTQluB4sJPNjRnQgWCPo7pgz/mbTexrWxHsS7expW2YQ0YKCPaAZHJDxUV2omAXlpXs&#10;59muowj2a+Sc55tWSLTnyyUFuyDnlmWPaU+G80jweRvBDlZAsAOM9PhbWGukkQDp9NNGaXucZ01D&#10;v06uG/T2lzWts2WJFrZxWOJf1Ah+EOxx1BbsOnG1nSWWIXd/SpZliRv4OeW6gGAPSCY3lPM35I1C&#10;sAvLtJfzyXVBt40R7Jtoz5eLC/bhOJDtba3ISvxMEAh2sAKCHWC4qEiDdTiP+Y4n0mLKNvh6J2vV&#10;3YJpXqgOy+9bLyuZC582jpm2xa65yqLEtP67tASCPY7agl2Q9ohvmvFJu2GskWel+lPVzmVDu77E&#10;OiDYA5LRDRUdvkIp2IW6LiXPMEdzEOzXrFGwy/4fj2Gj73wKPZcg2MEKCHYAuaD2MSQGuQ7ngXS0&#10;HTgzabxtYraxe5Vr4dOEYG/8eOjnOtX2kyWWQLDHsYRgzyaTE0WgRcEujCKr3DVO9lmppxkR7AHJ&#10;fL0tJtkzCHZh3C8Fh0AatmeuZd0FwX7NeF7yT+9UtOfLJQT7uH2t9zWGDNfukyDYwQoIdlg7mosp&#10;MZzhupTzEco1oWts24qsS4uoOraVIu2HDa3clGn5nNBEJygkhSTBGkGwx7GIYM/Uz0o9d1kV7Bty&#10;t8FlX8k0S177EewBKeCGxnXPeB2UfsIXeV+4PZ5j8i5j6eNZ1+ZHsG+iPV/WFuxuXYfjyz89Wwna&#10;lwh2sAKCHdaMa1Q0cnEh8dF0itdOLzJPOmQtUqxaK2dmolTXQauXVtsHLdxwCU3LNzmsgWCPYzyv&#10;SpVpXDRS1M1T2pmh2fm9jEkf3kpzbq55vpR5SZvNtxwnM2w3V7GeWZYeInqfzqIW7HIt8Ew3NDFc&#10;9ZFSUlC86iX2hTveZP1KIcuoeXqlxo2iDbr2W2HBLjdVfMdXQFIE+/WxlZDhuxqck/OsR1CG+cfQ&#10;nP8b1vEkCHawAoId1oym8UMaCdWSSfTy22j1eiDL7VsfS9m9eeH7jLVIm6dFmrjhEhL6C1lBsEOP&#10;yPVP2iCjcBd5dX3+2MgkJyCH87mcG2tISLCHtO9HjyE3wmbXmb3MjpcFii7GJx7O9o9nyXQ8j+tw&#10;xvEMRZFjS9e/kxvOL8bz87G4G0TD8e6Ob9904nOyOAPBDlZAsMNa0TziSRoK16ckerk2yHq0iDRg&#10;fetjKbuN3ZwN6VJJqWiywFhV5V+nttL2i2atgWCHtYB0hBDkONkNAIyk9+3SX64rN41EuvunG5FT&#10;Twgg2MEKCHZYI3KROF3xQHqJXNghjl5uQDUrVHernMxl/3HUsTrL91lDabS92k+/gRec5gTBDgAA&#10;AKdIehJSCmeUQ99scO5FUYhz0u8h2MEKCHZYIz0e9+R4Wh2LeynGm1D+bdlUGmyftLHt9yuRs1So&#10;VEiLY4C38ERDUDJ11GAEwQ4AAACnSCmCyf0UsKZ4C8EOzYBgh7Vx9YIgz7FD+o00LCCOXn4nreFe&#10;6uRZD0vxPRXSSttWqnhaw/4TDYEZOleQDwQ7AAAAHCNJbA99wNRhYY6ROoIAgh2aAcEOa6OVKktS&#10;IMidKJoY8iMgrT290MZ42/tDfbTSnmixjeBbjxbT4tMDlkGwAwAAwDFSnoLMXb2+IdmDMwY7tAKC&#10;HdZEL+NKk8RwrYqim7ZKYzdWmrgJ6GnotnJ+bW1c/haeaAgLLzjNDYIdAAAAjpH0FGShvlOyezy1&#10;PAh2sAKCHdYCLzYlY3jJXii93JBq7ZrQxHjbnoZu0guUlkhjbdZufoeNvnDYMgh2AAAAOERqkUap&#10;Jw6lT+ab38kg2KEVEOywFno81klaGKYgjF4qZ1sTey2Mt+37DbX0YtwS40qWIrkzYi7c3MwNgh0A&#10;AAAOkVqkUaqvnOrBT74/CcEOVkCwwxqQi4Scp3zHC1lfeOFpGC0J0+NpZ2iKJm5qHGjzNSXYG3rR&#10;aTfvDTlVfQTRINgBAADgEKnvdSpViJL6lO5J4Y9gBysg2GEN8GJTshdkTxAtVFOfTENtlDaGAzl8&#10;w6KVG5kttRO6edkwTw5lB8EOAAAAh0h9CrJEIUp6IU5AoRSCHayAYIfeaUNYkerhuhVELzenWpF7&#10;qQ3hmjk25E4r77loadggbnLBIRDsAAAAcIhUD1LCp6V7x4AhBhHsYAUEO/TMeKeUF5uSQ2FM4FP0&#10;co1oZUiQ1Ecn6+bw76adaus2hg1yw5t5l7+1tDNMU0sg2AEAAOAQ6YI973Cq0g9Lfso15KlzBDtY&#10;AcEOPdNCNShZNgxbcJxengBp5brQRLXyw0+mpd2nmfZtI+1W1yHxLX9jkSdhID8IdgAAADiEph2Z&#10;q+/k3i+VKteH7wWNB49gBysg2KFXXOVf6smcrCa88PQ4Lb248lhaEHzNVCsfqSRpqU3Rws211JdT&#10;WQvtsjIg2AEAAOAQ2n6cyPFUxnmfKX1M4NPmCHawAoIdeoUXm5LghDx6tmJ6uFHVwpjbrVQrHxPT&#10;LT3x0EJboZv+AufYIiDYAQAA4Bja4RvFqcQUpYiUHx2j8qncof8ZVL0uINjBCgh26JFeHqsnlcI1&#10;7CjtjKt9JA3sY7l2eZfdWI7R0rlX2j/WaWNM/tNp4WmBFkGwA9hCbiZ+8MX/Ly3/3/80TQXAJnIt&#10;53reHrmehpQ2qbSdJdLe38Sd91wfRhx3vnffRTk9BDtYAcEOPdKFECR1c2Rc6bXTS5sluApiIdqQ&#10;qRfT0vppaUihFp5qaGJM/pM5fsxAOgh2AFt88PD/2Tn/ReTh/2eaCoANrob4EGn6cPdp1qF9Qt+p&#10;CVpqm1/nPK7fhmAHKyDYoTdaGqKAGMpwHbMuYJeil9+UVFlYpgWZGvLOAt/3TKaBtqt3uRsL77ko&#10;B4IdwBYIdugFV/W8J9V9OTffvobGnJ/0yWOPKQQ7WAHBDj0x3qHN92gSWVdaeBHmErjH/zzbq7VY&#10;vja0U11y+mVDLZ2DLT/qLGNY+pa5vQS+oAqiQbAD2ALBDj0g7WXvMXooIkQZOsY0Yz+jgaci5aZO&#10;ynt7EOxgBQQ79ER0g4CQndBA3Kcd+Xs8cr2zSisyNWQbtjREl+Wqq26exkrpKEEQCHYAWyDYoXWk&#10;H+Qkp+8YPRKeVrOP+YKpVLkuINjBCgh26AUnARMaBITM08K4zEvQw1jQlvdtMzcHAxq+LbVxLbcX&#10;erlhzE3LciDY45BjUQSDqfD76AoEO7SOPM3rPT4DIuc0sI3sI9++WzzicDRj+iPYwQoIduiFHo9l&#10;skxoIO7Txgs4T8RwW0XToakZqbQ/hRu30/NdizF906WRY+JUoBwI9jgsthNDngqCdkCwQ+voCmoY&#10;Eq4FrBVwyNMP6pvNCHawAoIdeiD1cTZC/LmYjizY0Mu1Qp50sUgrNzBCGsBNDW1i+aZLQ0PtHM75&#10;tDZQAgR7HAh2KA2CHVpGPSQkTrAZxrb6sk8nO7Geq6gNwQ5WQLBDD/RS6UcMRfOYWoc0JU2PJKQC&#10;ewnaGIIn7MZTa2P2W73p0sYxcTy8OLosCPY4EOxQGgQ7tIz+fUAUKLXGEtXsItZlvlnb3wh2sAKC&#10;HVqnF/FHjIXr2hatSdNDsXh9aOUFpzHVyPL78U/DXiwOCeWeyvIsa2tBHpYFwR4Hgh1Kg2CHltG3&#10;9XlqrUVkv4/Xx4KFHUO/QIouihU6IdjBCgh2aJ0+HqMnFkPHd5uWpOmhWNynrdwkjKlGlk6WbxoW&#10;Y/Kmi9WXUMVmOLahHAj2OCz2eWhn9AWCHVrHe2wGhqfW2kfabePIAErZ7vqM5+O0Hn5S/mlRBDtY&#10;AcEOLdPSy/RIgxmubeqXrnREDzezLL7UUq5ZvmW1l/CXV7V0rFg8Jnq5tnH+LAuCPQ4EO5QGwQ65&#10;cE83SgHGieRGJ1Z5yWlvyDE2XjvFX585YT7P5t+v/j70aeTYLS7UdxkXwHdQNhoEe7Mg2KFVxsfY&#10;2h+jltiONB5gpI+2i73xIVt5wWnMewnaOlbsPdLMbw1CQLDHgWCH0iDYIRehbcPcJBd9SFFSqeE/&#10;AE6BYAcrINihVXo8donNUIU50kVVrcH2SjM3CiMqpZo6VgweE83cdDkSeYoByoJgjwPBDqVBsEMO&#10;YsZCL0HKMH+cy2BREOxgBQQ7tIhreAznHd/+JyR3LA4hsQS9jAtt6YZJSy+zjNlu7tFlzzSsxtpN&#10;tD6ezuJR8dIg2ONAsENpEOyQg5g2VAli26ZyQ736kCAAcxDsYAUEO7RIj8ctsR1rAm4JYipqLEdu&#10;FFihmZsWke281o4Va+0G3zI2l4ghhSANBHscCHYoDYIdchDzFFsppB03jrHtn6/L0DaU9hNyHRYH&#10;wQ5WQLBDazhxQ/U6qRyq2Ed6qKy1dI2QZfEto73Ej1Pe0nnakuRyLzbzLGNrsXQjq1cQ7HEg2KE0&#10;CHbQMhYohLe1SyNtEjlPuZdaPnzpIi7TiXWKj8AKCHawAoIdWqPHY5a0EV7eI0Kng7GhDd0saWV7&#10;pmyzlDE8l4qlY6K14XUOhYq28iDY40CwQ2kQ7KAltg0AAAMIdrACgh1agup1smziq3h7o4drhqWX&#10;L7bzRED8eNpN3Ywx1I5t56mGY+FcWQMEexyq65e0PQsEwd4XCHbQEnueAoABBDtYAcEOLdHj8Uoa&#10;y2/en47GddJFda2RNsv4GLBn+SwmYTzt1tq6Vh51PjnmaQOx9ERAzyDY49C1IblpBKdBsIOW2MIL&#10;ABhAsIMVEOzQCu6N5lLx49nnhNTLujvZTUnhI7EwfEVTY20n3Fhq7WaMlTHDx/FN/cvYTuKfeIB4&#10;EOxxINihNAh20JDSLgSAAQQ7WAHBDq3Q3XmTtJu1V7F3cKPLgkxtaSiQlOru1m7GWGk79PAi4bWf&#10;I2uBYI8DwQ6lQbCDhpR2IQAMINjBCgh2aAGq14mtXExH5joR0eDfLu3EwnWipaFAUmnpvG1hWBN3&#10;rfMsW2uxMtxO7yDY40CwQ2kQ7KAh5d01ADCAYAcrINihBXoYk5Z0loQxqXuhhzaMXPuWpp2XgKbf&#10;UGrqZoyBtqw8WeFdtpZCn6AaCPY4EOx9I09NLT38G4K9HSwMFTgn9ak/2MadB/7HLTfcjrV9DAVB&#10;sIMVEOxgnS6EA+kvK77upTzCai0WqpVbGQpExgRPpbX27vJypoPfluJ4gTgQ7HEg2NvGibOhTzCe&#10;J8/cuWa8iTtcS4c22d4+c/8m19nhOvSb96uc3xHsdnBPhA37XX7318fKEDkudo+X6d+kbSifFzlb&#10;m9T31qwZdz5w5/Uj5wGXC3cMuMKWzgqk5Lwm67R1TtzaDnIOHNZfihV7Lg5DsIMVEOxgnXaqPMnq&#10;stIqdqps9TT1gtOhzZpKa20MObaXpI/+AS84rQWCPQ7d+aieYL8WRvEpcYPLN5/gKN/HsCXQDsqz&#10;8DgBVfAdETUF+3i92NneoVG2X0cZ7JluUMpcIzai0e3jDMfKmDrXMydIk5fZt439CWnjaI6rGjcm&#10;tqW6b3uERYRzjTafOy53ttOxhJ7DZbrjdogv1nHr3ttQfuOB61/hduM/SNYe6+gamzaDYO+HtiQU&#10;WV1WenN5bCx6tkdjkfVYitRKpSUi7YRUWlpPydLthy5uKK/0xuMSINjj0PV56vXpnGzzLkNYcl7b&#10;1O3wBJl9LY6kL+2ZZoaUEu01Bbtm+EzNdV3QXNtz3gSSY8UJV1edm0uq+1LupkDV637A9VlzXJX4&#10;TW2QbeUcavb9XPbGwLjcvvkezrHlybkdunJmfQp24ot1EOxgGdVFnpAaWalMSqmYsJYalTaHaOra&#10;q+gwpXQslox0dJekh99VyQ42bINgj6MVwa49b+asypQ+lW8eQXl46dYllFGUyhAOJUXpbvKKUwT7&#10;6eQQ7HJcjb/nitdMOZ4zthvleK97rA9pVLC7bVV8Xxd8ssI7v8M55LLccZ/5hkzOG16LgmBfT6yD&#10;YAeruLHzajc8CIlO+gsgW6aHStslrxUtbT9th7Itabzsk4f+ZWor3T12bBgEexytCHZBc97UytM5&#10;mmuVfDeEUUCVqEwNzXnUjYBjINhPRyP03LHi5r1gu0IpkUdJulABWWOCvf62yl/NPp7ffPM6HN+5&#10;U9pW7skbz+e16UKyI9jXE+sg2MEqPR6bpNMUqtiwTA+/z5wSIpaWpLNWmJbqEBTJw+WGfZJOnXeZ&#10;mor9oRF7AsEeh+66VVuwp7uCULEdQknRP4qnJcX6LMMy5BBrCPbTSZV5YxVzuWGDYpK6/epUYh9J&#10;Q4J9lOsLFKNkOhdsSBHsu23RcRplj5vmJTuCfT2xjq6xaTMI9vZxFxILDW5CgrI+qaTpXFlJTgkR&#10;g3s6x7M8NqN/QqO1Nu9SFdj8piAWBHscTQl2zflgR86kkiSGZgk5l9q62ay/3iHYTydV5Ikc9k1v&#10;qYgsj8HE8jci2BeT65tklOyp59H5+bNaOzrg+DALgn09sQ6CHSzS43FJ+k7uRwqto+14m0gmCRHL&#10;WMHkWR6T0Uul1sTxUm0Ima9vedpKmTFMwQ+CPY6WBHsNuX2KGpLfmjTVimcE++loKmVN3ZCJbEOa&#10;6Ns2INgXl+ubiGQflkVL8rl82ldV29AL9YuygGBfT6zTo8hEsLeNuxANJ3jfviXEatZYudn873Sh&#10;hmRLIlU6Wlq0oqh2tOIhFVWn1koydK4hHAR7HLo+T/0n1TQyMUdfSLO9YtpEtqrYdQUTCPbTUQl2&#10;azdkIo5zE86lAcFuy5Pqn2pJbQPL8TJ+t/KwSAHHiEkQ7OuJdUyc7DMHwd42PR6TZB1ZamiJpaje&#10;6CuQJfaZicqc4OSpSPZP22aWulkm0sG3PC1lbefApUGwx6FrXy4h2NN9QY6bo6prVYSksSZNNfsa&#10;wX462rGezd2QCbzumejfGhfs7glPY8U72t+KrshkgX5Wq1XsCPb1xDo9ykwEe7uMFyFbDSdCQpOj&#10;Q9sSXbRlFqi4beocl6mSpambMQt1Lpq/9rXaKWsYBHsczQl2hcTM8XvUnJNib7a1Kk13QbCfjlqw&#10;G7shE9r2R7CfxmShwXAu1RQPtPYUp0umtn9VEOzriXUQ7GAJa40mQmKzpgrOloY6OZTa14vmGtqZ&#10;bkC01u6t/TuW+fmWo63UF5BrB8EeR2uCXXu9kO+nIsOk+KYZlvhtldz+fyjVrnIDN6+gTy2YQLCf&#10;jlawC8n72x0v+W/mhLQZEOzH0RxTpZN6PhBaFOxLPcmpAsG+nlgHwQ6WGBvJ/v1KSAvRNMJaw3Jj&#10;ODS1G5E6aVE/uURza20NeUy5Jm29+NafNZ37rIBgj6M1wS5o2sWa85juBnra0GInxefDSydnZT/K&#10;tdR3fRrbJXk8S8r1D8F+OlkEe9ANGTmehmNh+Kw7XnZuOLkb22499MI9ZHuaaAcZFuzZqtenm27j&#10;EFf5vELquxmKCvbNurptl/HG0TDd5kCwryfWMXGyzxwEe5v0IOsIkUZJLilpnRarMvZTV5o0VfWf&#10;sYHd2vm9djuiqePiUAI67pAXBHscuj7PUoI93RlozmNLSLZD0tRJ9WFdYiryx5vZOuGUsv0Q7KeT&#10;Q7AL3v07tFtk3WJlqOp4lyjaS9rrv7t5EJqA/skSv/0cbSA5rmQdd5HzRq7pp1Cir3RwXYd/k7/5&#10;vhOd1tp0CPb1xDoIdrBCtgsCIQtH23FpiawVE0ukcpWGuhNXNfmEUms3Y2o/2dBFvyCxYw3pINjj&#10;UPV5hmvF+DvNlEB5oRKZivOY5tquKTKYz/eQRArFVSjPlis2KdsPwX46qaJyl60bMiLWh/5/zE2Y&#10;XcaK5+1ljUnqca+Vv7lZQrBrK81D9r2cS7R9lpR9nLX9K9ehgGuH9lgek/Yk0mKMF1ffipDeYh0E&#10;O1hgvOj59ychzaWytF2SHm6MaWRALHkavbWSt3Hd1M2Y6jdeWjou/Kn5O4IRBHsclvo8oZJRJWcS&#10;z2M6IaS7MTtK0/NsN+xUsjBh+yHYTyeXYBdGMXumEusbtDdkUit+1y7Y9Q4gvK2q3ceybWLJKtgD&#10;t+84T12bO+UG46Ig2NcT6yDYwQKqizkhFpPY0G6NHtozNcfbbksy5z2GW7sZk6PDHkpTx4U3F9Oa&#10;QE0Q7HG0KNgFzbkzqeJS9U4I/Y3ZnOderdyK3X4I9tPJKdhzX6eX2KZrF+yq8/LDy+hjQNVvSbjp&#10;pj0HbRIrvNXXu8qFJmoQ7OuJdSw1NnMFwd4W7sIznMR9+5KQVpOzA2EZTSfLSmpdM5p7Uieho3SM&#10;1tq+dW+8+JehlazlfGcNBHsclvo8UYJdsdwp1zeV8Mt83ciBpo8Rex1AsJ+O5euF6reWWPG7dsGu&#10;KjBIKARRe4fIeeYS7LHDZamfyBgSe/NiURDs64l1EOywNNqGBSFWk1I51hq5Go7Lps44g63djMh9&#10;/La2/rXaEn0MkdbYWJ2dgGCPo1XBrrnOiiyLRTNklUUhI9vat6xBiZRpCPbTsSzYl1ivNQt2bbsw&#10;tZ2qOSfEnlPz9JPSht7SFjDWLDRRg2BfT6yDYIel0b7YhBCrSenYtkjrT6DUGmewrettvhecbmjt&#10;Zkyt46K1Gw/eRHaqIQ8I9jhaFexC8nV2+F4sqRWlVsWpyrsg2L0sIaJroLvhndZuWrNg19zM07RT&#10;VdeC4ZwacyMxR9s39feq2pdDEOzEZKzTVoc/LAj2duhCLBByKAkd2xZp/iZZpf2k60jUTSm5nCyJ&#10;FkmdccW1nWsLWcPTOhZBsMfRsmDXiJIoGaQQjFppWwqNd4ntUyLYT8e0YFfJ0LQ2w5oFu2Z4GFnO&#10;VLTSO0Y85xDsqaJbbhD6phcaBDsxGesg2GFJWhJOhCQlYXzA1uihTRMjIFJRjTNZPWWG/JCOtX9+&#10;BlPtxouuwshCYBkQ7HG0LNg1oiRGkqiETKRcq4VmvyPY/SDYfUGwx5wD1OJZeb7RFHzEnBfU66lo&#10;i2qHIESwE5OxDoIdlsJdcJqqZiQkJfmH2rCGtnNgIbEvD4olx8uGqqaQKGmt/VujMrupmw7e9H+O&#10;swqCPY6WBbtG0sT0i5Ll2tCel2W0CIJ9Pwh2PzoZimCPEuxfPPBPIzDa9pmm7RXzlKdWsGt+L+q+&#10;R6G+QBEQ7OuJdRDssBQ9HnuE+NL78AmajpaVlL5uaDsStVPqmG3tWKnRnmjryYb9SGcclgHBHkfL&#10;gl1IPVfEyKAa86gNgn0/CHY/CHbdcRUjZHXrrb+xr7oeRFSVawW75olS9bwR7MRirNOj5KzRIQY9&#10;rUsFQkLTu4DSNx6Xj7azeQptB6pqFI+jnkJdTVM5pY+L1raHL6W3ERwGwR6HpT5PimRMFl+B53TN&#10;tdzyeUCz3xHsfhDsviDYowS7Zj4K6bxB2/6SYyUEdR9JMdSoet4IdmIx1rHU2MwVBLt9NA0zQppL&#10;QWFphdZvmJWuvmvrfRPlhvxQN/Yrp/Rx0dqTDd601AHrDAR7HK0LdtU47AFPJWnOR6WHWRPc9WM4&#10;30g/b5SSZ07SyXlatqdkfOm6ZGiTDG0vF8/yhgbB7kfTj6sh2OVYkeN5fqyMx8uBYyXL8YJgj2kP&#10;jNveM42AaI9fQS3Yh+MrBG27V3tu9U0zOC217xDs64l1EOywBG3JJkIypPOXnY6dFc96t5LCN0Ha&#10;ugFR5gWnG5raFoWPC23H2kJCxB2UAcEeR+uCXSNqQvpGyeejQufJjSQdvUm6jNMktk+JYD+dUoLd&#10;CXX3Gx+OFZUoTw2CPU6wp7cFY3+XPrTiO7RfpxbsyjaW6reAYCcWYx0EO9RGfUEjpMn0/SLAHto1&#10;pWjunFf4ZlBrx0pJgdz+7yZNKEAeEOxx6Po8F644JFfkt59CqpQSaXaKcbn83z8W+V5O5Jo57qvl&#10;b8Yi2P1YEexyrIw3YZa5AbMdBHuUYNeI3wztVHXbvJJg14JgJ93FOgh2qI22IUFIq+m50lPT2bKS&#10;Uo+4y3R98zObwg3q1todoY8Bp5AqtKykVCUihIFgj0N37rFxkzzZIQRUmScL7Uw3ZUcRNazfItXH&#10;/iDY/VgQ7HbE+iYI9mqCPVM71TvtwISeG3SCXV/EgGAn3cU6CHaoTetCgZDU9HxuUleCWEihym1t&#10;56l2St8I0nTMl0jJ362FCk1dyg4nBMdBsMfRhWBXnD/lOn0IzY3gHNeMUZbaOx/Gnv8R7KejFexy&#10;vNnsSyLYY4SsCcGuWIbQc4Ouf6S/7iDYSXexDoIdauIuMpoTPSENp/dqz9Z/29oO5yFUnZXqKS+R&#10;WrsZk3v4gzm++TWVwsMJwXEQ7HH0INg1589jT+OkC1PddpH1sVx4g2D3s5Rgl2uO3bYmgj1KsPu+&#10;H5hcTxYi2E8EwU4sxjoIdqiJthFBSOvpepiYoSHoW+dWUkqktvTUTkmZPKepyu2hc1KC5oYO8qTU&#10;sEoQBoI9jh4Eu5B6/jzWP0rfNulPsViX65LYPiWC/XRSBbuT657p2QmCvZpgz9T20PRbQs8NOsHO&#10;EDHBINjXE+sg2KEmLYkmQkqk5/NT+20bfUPWR1MyWSFLYpAOtn/+NiMdpNxoBIWVlNguEA6CPY5+&#10;BHvatfbYDdTk9rlCwLTQZkCw+6kt2N0NabOV65sg2KsJ9lwV7BrBHvgbQrBXAsG+nlgHwQ61cBcY&#10;840jQsqm52Fimr+eFKhUbq5KuVJjurV2cK7O3Bxtp3r52BGOawXBHkc3gj1Vbh65xqW2z1Ofymvl&#10;/Idg91NTsI+CsoUnJBHs7Qn29AKY0HMDgr0SCPb1xDoIdqiFpjFGSE/pdZiYHn7jufeN/Ueat1Pr&#10;2GztWCnRrlB1Yg1Elh+WBcEeRy+CXSNsfOf49BvBadtkXP7MT3Y5iXQ+/CZeTOdWcS1n7tyteWIq&#10;9tyPYD+dWMGe3VVsHSvXx4vMR3ddRrDHCFkL4hfBfiKZtnMVEOzriXUQ7FCL5MdPCeksvZ6jdI1I&#10;G8ldqdzUNXZohNeitWNFrl+50UgfG6kznBAcBsEeh+58bOuJDVke/3KeiOfFxOmCL+0ckPO6KDJQ&#10;bhDINeUQmvnFttcQ7KcTI9hdW0EjCGeR+Z46VqQN6PtuWBDs1QR7phesq270BS6Drr2LYA8Gwb6e&#10;WKepzn9gEOz2yNlAIqT1lJB1VlA1Vg0k9/WjrRuLdQVSW9cEfSdnl9Z/K011vDoFwR5HX4I9zSX4&#10;xGqyUEs4B4yyKce57zx4/gj2/WgFu0YKxwj2LJ5iaGvI8h4T6xsQ7LrjqpZgz9VWV7VDEey2QLCv&#10;J9bJcuEyllwnXciHnKB9+4qQtabXYWJar8rNffOjLYlatyK5qWNl6KDkRH7/3vk0lF7PYS2BYI9D&#10;1+cxJtiT29X765F6nQoRlrtoZeKYs6h5I9j304pg17ehzqOuVQh23XEVJdjlJplvGgHJ5Xp80w4O&#10;gt0WCPb1xDoIdqgBw8MQsp1ez1Ott29iOn6naE6iZnrkNpTWjpWcQlnXiTeQzDccIA0Eexw9CXYn&#10;bVLEyc5vN13+pG0PfX/gPFrsI9j3oxbsmnkHtrPUL4kfjnWZRgwIdt2+jRGymiIL7fErqNvoCHZb&#10;INjXE+sg2KEGqpM7IR2m12Fi0qvqjGRHPmhoTqJWbki3dqzkbFtoO9RLJ+eNKEgHwR5HT4JdSBVU&#10;85uFqdepVMGlrUiW5Y1Fs997FeziojRobpSEXj+018mUYxTBrjyuItqROh+qf+JS20YPLbpAsFcC&#10;wb6eWAfBDqVRVyAQUizS0VtoCI+MItcSuoakjcRWxx2iNYmas0I7BHX1UOWkCiUfOjFiIbzg1AII&#10;9jh0fR6Dgj1xfeaSOvk6lSBe9P2BxKp5xX6P7VM2U8E+fFeDpu0cLNg1TzsMbeyUNo3uxj+CPea8&#10;oPpdZihSkgp037RDE9pXQLBXAsG+nlhH19i0GQS7LVqTTKTjDI0M12AfGlW7j41Kh7O29KotNGuh&#10;aswZSOwjxYdoS6LWl0et3YzJ+dSJShxYSOXhhMAPgj2O3gR76jl03k9Kuk6JvEy4Ea0VWqn9OwT7&#10;fjTXM+21O1SwqyR+4vrp+qwI9hghq7qZMZyDtOi2e/j1AMFeCQT7emIdBDuUpnmRQDrJ0FAPaCiI&#10;XE197Do2vZ6rpOHpW99Wkmu/aDqHtZNTHsfQ0jbK0aHb0NR6+9JSp6tjEOxx9CbYhRR5Mj/fp7R3&#10;Uq8XWsGeet5RiejI9kBNwa7xSZprvnZojWDBrhCD8ltPQSddEewxv1HtjRptMYzGT8g2CgXBXgkE&#10;+3piHQQ7lMRdVDQndkIyRBrzcizGoGpgBmYpqVma1ts4qR2zXdo69y0z5EdTx8qwP3Og7VRaSK9P&#10;37QGgj2OHgV7SltlLjhTbvYtIy/TzzsqkdarYA+U3D60+7GGYF/iZgyCfUjkdtcUG2h9T615I9gr&#10;gWBfT6yDYIeSaKscCNHnIlqubyheiZ1J2Fmj9etKjhsf+rFmK2ehRnRrx0oOsdzcsbEXm6JxjSDY&#10;4+hRsCdVhU9tDzmfef9+IvMx3GPQisT0tlw9ideKYNe0PzU3LCTBgt3z3eAkC3bNuiHY4wW74iaR&#10;oq2ubodFrCeCvRII9vXEOgh2KIm20UCIOoqxgl2jSNMwCUiPlaDSIPOtazvJ0aBVPgpfOUsdh60d&#10;K6liaU5rx8ZuctyAgjwg2OPoUbCnyhv5XlIRjEbMLiDYtdeYbgX7kJTrWY52cQ3Bvsy6Idhjhazq&#10;96k5F2muBcN8Y85F7rjyTScoCPZgEOzriXUQ7FASbZUDIZpoHoHdoHtc9HR6PF/pGpMGomi0b9B2&#10;mKomw/qm0tqxkuP32tSx4c0ywwnBPgj2OHoU7IJIGP8yH46r4Ey42ae5waY996XcCNb2Q2LP+S0J&#10;dvk9xJLjpngNwZ5yrdY7kTQZqr3pHiN7Q6gp2LVtwNTiEN0TynFtIAR7JboU7LLzyF6sg2CHkqQ0&#10;+gnJFkX1+oYcnYljSengtEDrv31th6Wlm4s5bkRpaOlYyVG93fyN55Y6XJ2DYI+jX8Ee7xWkwjdp&#10;eyjaVWqRGFmV7IbAkf64Z1qhMS3Yte3TBE+R4/oVLNgV+y6lba2TrhIEe0r7QHNMJe1n5e8m+jyE&#10;YK9Dj4Jd+yZfWAZdY9NmEOw20N6VJkSbHMNelD6Ocwg7i0gHyre+rSTl8eI5bd1gWLYiuaVjJcfN&#10;iOZ/GwsNJwT7INjj6FawJwg66SuliC3N718rEmPlfo4+rmXBLu0U73QiEiNnc8xPUkWwR7at1Tcr&#10;XBYS7JkdXG3Brlr/4RiJOSeNfTrNjZT46wCCvRIIdrACgh1KoX6BCCHK5BJBRWXp0PDpkdbbOdrr&#10;SFOCPVJa5KapYyXD77Wtmy876fR81SoI9jh6FexpAufMiU7/3w5Ftw20ElPEXyjjNtGfa00LdpW4&#10;GxO6TWVeuW4OBwt2zf6LvFblWbdEwa79XWT2HrUFu/Y4Dj2eBK33ku/Hols/BHswCHawAoIdSqGu&#10;VCFEGWnU5CBXp+JQci2nJbQdhqWT0ojeIDd2fNM0m4Ub0K0dK5rfa3PHxl7sSsY1gmCPQ9XncZJC&#10;+u95o31aakOsjByr12O/Ey64fWhFmiS0cEIz7MQ8lgW7oJLQm5xoA8h+y7U9JaFCVCV6JYHFA7KP&#10;vd+PTpoMVf8uAm8myHxC2i+1Bbug3dchx1QO55XiO3X7F8EezHhR9axEw0GwtwmCHUqRr8FCSFpy&#10;XZdydix86fH6qe4wLJzYx4vn5HqMulZyPemRSmvHikaIyW/dN812wgtOLYFgj8Nin0dzM3dOvFsQ&#10;MRspZzPIFpXsGXJKpMn1RC1mZ7Eu2POt69leW8BtS/nNKPfZboIFu/b3Oiz3sfb12PYYfjfZ1i9d&#10;huqX4XyvbSLrJ/tU/t0dJ8M8Qs43Swj2fMUH28ex2wauTa4dXz+9XzAeZ/5png6CPZj4i6D9INjb&#10;xGJjUxsEuw1yNnAJSYlGhM0pfs1eeIiOUnjXtZmkV+q2dXPRRkVyvg5u+WjaGM0/2dXpuapVEOxx&#10;WOzzhAivEESE+KafMzluxuZ5ItAvE8f9m6Giexbrgj3/fpftd170mhwq2LOsm6zHznUrp3TdTroM&#10;zfO7GDNOy78PrQp2Iec2cMl5DA/TSnWdCPZKINjBCgh2KEXpql9CTiaTDCp9ze71nJW/81IxQ4M0&#10;lZZuLmoq9XOSvWNVMBoh1tbNF09a6mytAAR7HBb7PJrzyRydxAlJnpux+W8yXugE0olYF+xCyfUv&#10;kVDB7o7prOuW8NRGVBQV7JXcoGXBnq+KPX8052kEeyUQ7GAFi41NbRDsNijbiCEkIJkEe+nzpDRm&#10;e6T1to40ilNo6+aijSE/WjpWNDclWn+yK0cFK+QDwR6HxT6PRtzsUrbdnedaUf5GQN60INhbu66E&#10;CnahrXVLl6G1fhch55ulBLtgsi348DK5PyAg2CvReqfTFwR7myDYoRStVVSQDtOMYLdRRZyb1q8v&#10;qe2apm4uGmk8y3J4l89ihmtbKi1V6u9H39GDvCDY47B4TQoRXqEU9QsZrxX1pelF8r5vQbBLW8U7&#10;veJJe0oxRrAvsW6yz9PacbprZI22Y8j5ZknBLtTYDjHReiUEeyW6FOxUtTRJ6wLEFwS7DXz7hpCq&#10;QbAvSlPS1JPUa4lvWlZjpe1m+dFgX1Krmax1HGPS63mqZRDscVjs84QIr1BKXnNzXivG8a/98ymS&#10;YbukSq4WBLtQ+8m5zfUg5ZoWI9iFmtfN6/VKcXVKwZ59+KT9tCDYLbUH5VjVVK8LCPZKINjBCgh2&#10;KIVv3xBSNZkaBsUFe2RnoxV0jcrlkyI+lqskS4iiEjs3rR0rKU83tP57kL4L2ALBHofFPk/KdeYQ&#10;5c4x+V+GXU8IX5+3UsRhK4K9qpQc2g5yrAkpTiu2zVvthsxsvdLmmUGGFr6ZEHK+WVqwC9Vvwnlz&#10;fnU8aNCdlxHswSDYwQoWG5vaINiXp1wjn5CINCLYS3RerVC6s1AyKRW7NjoFYbF2Y6epYyXh6Zim&#10;br740lJHayUg2OPoXbALcl73zUeX/DfX6gjhbUEm5zD/5w6nFcEu1Bp6Z75NUqquU9oeVW7I7Fzj&#10;4tskGWRowjEak1YEu7BsezqPXBcQ7JVAsIMVEOxQAgQ7sRBpnOWgfKelX8FeprNfJ0mdwOH645uW&#10;zdiqSG6pbZzSzijdcS4d2vn2QLDHsQbBXuQ8WkiyFD3nSzXyThvQ9U0iZVNLgn3se6WNix4aaQ/P&#10;SenvpbStyt+Q2W8PxR+fehkqlLyZ0JJgF5aQ7HJ8ynGdC50TQbAH01InIjQ0vNsEwQ4l0F1MCMmT&#10;XNclBHs6Tbd3hkZpLE2tb6Z3FOSipfbIrmQIoa2bL/sBeyDY41iFYM99I09EdUbZtEuZm/DnB9t/&#10;se25lgS7MPa/Skn2M++xEH/TIu3puSKydVj2Q/s4vi+bR7CX3IetCXbBPf2nkcShmY6F3Oe7+ONo&#10;HgR7MAh2sAKCHUrh2zeE1Ew+wV720dTUzkYLZO/sV05sQ7veuLL65HrCIxctHSspwweVv1FXMv3e&#10;BGwZBHscaxDsQk4ZlXKuiyWnZD9VfRp7nWlNsAvZBa0cT0duyMe2ezRt3qySXdbrhEAUwen9rjd5&#10;BPuGnL+LTVoU7Bvkt+idZ5acJ71bJwQEeyUQ7GAFBDuUImcDn5DoDMdfLooL9god2KXQNSyXT2yD&#10;u1zlWP7E3jwoTVPHSsL5pfR5pGRSKvahPAj2ONYi2LMK6wLL50Mtz1yfw19hvUuMNG1RsG/IISTd&#10;sXRCssX+rjSCXRjfZ6Jra8kyhBQZxDm7vIJdyCmVQ/alYFWwC/L7zlms4LbJw0+Ktod1bVsEezAI&#10;drACgh1KgWAnyyZfxWVMZywlvcsr3zq3ktgq79LHSr7YrEhuZ/vFD5nS0rrthnaVTRDscYhIEaFi&#10;KSWG6sq5njWfdBJxGivPxuX8LMpDyOfd9754cSBPrxK7/h998V+Gaf9zWr7462kq+UgSkkP/ze37&#10;wAID2Uab4yUk4sFyMMrniOuqrJfs04jCCbf9ZLm9x4nk+ljJtV67qKTytC/dbyRQIl/9PhJS63wx&#10;7pdxOb3rfSzuOHgRXUCTytUxlJJhObW449Q37YDUPP+rQbCDFRDsUIqWKjlJf5GGQS7K3yyy9bLJ&#10;3LR8Loi5nkgj2jcNi5HOmkXkd+tbXouJbff6ptFMWqpiWhEIdugVOedI22gjeqQdsZGa479/Vk2Q&#10;9YJvm4qgdv9/EsRuuzbmdJzg/83nbh2u12s8Xtw6iesoXKVcC9mHbl1n+2871+vdyzqH4G4qbh0D&#10;19tizHB8y/bgnNEv7qDfbbw2HgR7myDYoRTjhd+/jwgpnzzSWq5t/unnTO+Cvd02j1wjQ5GGu28a&#10;NmPzmGvpWImp7KlzHikX2vg2QbADAADA6mm5s3koNL7bBMEOpRjvIPv3ESHF8zDPY9c1pGmMxG2R&#10;lq8zUvkSylgd5p+OuRitSG5pG0Y93fBFxhezVU/+cWUhDwh2AAAAWD0IdrACgh1KMT6i5t9HhBRP&#10;JoFYQ/j1fs5qSjzvJVwuyn70T8NerLbZmhpmJ+LGmNzw802jhcjNcrAJgh0AAABWD4IdrIBgh1KM&#10;4/n59xEhpZPrmlRFmmaqtrdKS9J0Lw8vp7U4TTPnvIh1WoLy7zzIk5inG1q6+bKfvoewahkEOwAA&#10;AKweBDtYAcEOpejxPEdaSb4hDao8iWF0uI6ctCJNfQl9SVQrT+1Yr0huZ3ixiKcbWr7h3PkNwJZB&#10;sAMAAMDqQbCDFRDsUIoejy3SRmIqS08xvoneP59ciXlZYqu0/E6G0P1T41jJE9sVyc20kaOebmh3&#10;yDTa93ZBsAMAAMDqQbCDFRDsUIq2x10mTSdjxWWNyus1XD9bbveEXlOaEezGK5JbunaEPt3Qzs2X&#10;/YSuI9QHwQ4AAACrB8EOVkCwQynknODbP4SUTq7r0S8evuWdft7kG87GMi3fcJPr5ClaGmdejmvL&#10;tHTtCH+6wf99+zmf1gAsgmAHAACA1YNgBysg2KEUTb/YkLSbjC9wlEpf7zwyxvp42Llo+XwQMuRQ&#10;nZsxeWK9IrmlYyWkvdHSsbEbGTse7IJgBwAAgNWDYAcrINihJC0/Fk/aTM7x1+u8mND2eNi56F6w&#10;f/HA+117aaMiuZVrR9DTDc0cG/sJWT9YDgQ7AAAArB4EO1gBwQ4lafnFhqTR/Ob96ejTU0Pyrel8&#10;JXLXtw3MJ+CpCNmP3u8aSysVya20k0NuvrRybHiT8XwK+UGwAwAAwOpBsIMVEOxQkh7PdcRwHl5m&#10;G/6i2jjQKxJYLZ8PTtGMYG+kIrmdtsnpJwJabmfRtrcNgh0AAABWD4IdrIBgh5I0XblHmkvO4WFq&#10;vZRzTdfOnkVjneGEMqSRGzq1fn/qhDzdMJyXvN+1nozvs4AyINgBAABg9SDYwQoIdihJM5KE9JGM&#10;8rCWMF0TLZ8PZBztY7QiUVtpq7U0Zv+pp2ZaHSptLS9gbhkEOwAAAKweBDtYAcEOJWn5xYaksWQc&#10;Hkao85LFNl44mYuWzwenrittvJTzYlraNmjlRaen2r+trMd+1vEC5pZBsAMAAMDqQbCDFRDsUJp2&#10;5QJpKTlf3viLh29555E7rbxwMidyI8S3LaxHrpXH8H3HWlqrSG6l8vvU0w2+7zSRh59MawBWQbAD&#10;AMBSjO2086QAZAXBDlZAsENpmhmbmDSdU5IrhmrnxUbGw85Js8NlHBnfX9o/vu/YS1sVya20lY+1&#10;OWrdrCuRnOdUKAOCHQAAlkJTNAOQFQQ7WAHBDqWRKjjffiIkV3K+3FQYqyv888qZNV43W23/HKv+&#10;bkaiNlaR3MqY/ceebhBJ7ftOC6Fdbx8EOwAALAWCHcyAYAcrINihNIzDToonYyV4PVm6zscjm33R&#10;6dCJOEQrErW1dlor145jN/ikPeL7jv3w+HYLINgBAGApEOxgBgQ7WAHBDjVgHHZSLhdZX25a75y4&#10;zhcISlvBvz3s5xCtSNScv5NatDBm/1HB3mgbK/dTQVAGBDsAACwFgh3MgGAHKyDYoQY9nvOIkWQe&#10;9qLazaAVjr8utPxEy6F2ThvX0TYrkpsYs//I0w0iqr3fMZ913gBsDQR7HPK0kZyvs2boc2zihkQc&#10;Ik/CAQD0DoIdzIBgBytI49C3P1sOgt0ezQ4LQUzn2LjYKdQ8Ttd8zaw1xn3uHHrpYwsvcpZlbJEm&#10;2svHBHujL/Vd6w3A1kCwx1G7zzPeYBvOYfyeAKBDEOxgBgQ7WAHBDjVgHHZSIoeEZyr1qk3XPb5x&#10;q22gQ9eWFqqU5VrfIq3cnD00/E6rw6PRpm8DBHscy/Z5Lpo9DwMA+ECwgxkQ7GAFBDvUgnHYSc7k&#10;HiPY3QRSNBTjsu7hF1q97hySI02c2xqtoJS2pXd9jOXQkBC+z5rPkYp8sAWCPQ47154z+s0A0DwI&#10;djADgh2sgGCHWvR43iMLZWjQ5R7jtOq5cOWPi7dSlbybQzd1WhDsrbbRmnn6yfMuCDlHeT9rPut+&#10;wqYlEOxxmOvzZH6HDABATRDsYAYEO1gBwQ61kOE8fPuLkNjIeSsno8SrJEnl5sCB4STWQjPSdCe+&#10;Mf/bqLC+mJa2TVoYs9/X7mj3mscLTlsBwR6HxT5Pq+/HAABAsIMZEOxgBQQ71IRhYog2uV9sKsg5&#10;wzevEqEzPaJplC+WYZl3aaFKucRvpiYttJl9N/1qnleyhqraZkCwx2G2zyM33jM/lQcAUBoEO5ih&#10;S8G+8oq8VkGwQ016PPeRiinQCa1avT4k94tZW0Wkr2/7WM8ubVQpt12R3EI7xTd8ULOCfeVDWLUE&#10;gj0O2+eStp80AoD1gWAHMyDYwQoIdqhJq0NDEBsp8duuOx44YxtvaLUdtPu0nlT7+j5nKo0L0zbG&#10;7N//bYt093/WdngitR0Q7HFY7/Pkfnk7AEBJEOxgBgQ7WAHBDrVhmBiSlvxVuHLdqllJLedbGGn1&#10;Rae7TyC0UKXcujBt4sbs0Mncpc2nNLgJ2BII9jia6PPwBAkANAKCHcyAYAcrINihNk1UfBJTkXHL&#10;S1xjastRKkOvkW3h20bWs3t9kWPT9zlL6YEWbszu0uLNZCpo2wLBHkcTfR4ZCo+2AgA0AIIdzIBg&#10;Bysg2KE2TVQjEkM5L3J9ccehomEYHypD57R6Hth9CsH+MCB9HHctVIPvnqd8n7GftsfrXxsI9jha&#10;6fPQjwGAFkCwgxkQ7GAFBDssQQtVn8RCLopdW2qf+3bFLEhbqP0KX+viV861PdBCu3n+AuZWn9Bg&#10;eIq2QLDH0Uyf5+H+kFMAANZAsIMZEOxgBQQ7LEGr4y+Tmjkv9pi0k181q9eHefHI9z4ttoVEqM+x&#10;fpOglxs7TVwzZnJaxur3fsZ4OE+1BYI9Dl2f58LdsNyPPMV0vvPZDHn4ybTUAAA2QbCDGRDsYAUE&#10;OyxFi9WrpFbKDAuzoXbVMeMa+2ny+rNTWej9jKV0UpEs5wPv+hnKvO3R5LtGdo5tsA+CPQ7NNSfk&#10;Oi7ngHxt24tpqgAANkGwgxkQ7GAFBDssBS87Jb6I/C4r1+u+2FQyHzoCrmn1SZYNLQwD0lNFsqYj&#10;VyPSntqwxHlGH94T0RoI9jhKC/YNUtnum0ZseKIEACyDYAczINjBCgh2WIqxIpEqdjLPWdFriROi&#10;lSUd1euHGc8B/u1mORvpITdOfH+3k74qIFsa7z6XYKuZ+fJDGyDY46gl2IUc5wD6MwBgmeQ+1fA9&#10;gKwg2MEKCHZYkh6PP5KQoaFV43e7hKCTsZjhMLVveOTIZp9aH2d7d7z41rHedp4LOPlv32csh7ZT&#10;eyDY41AJ9oTzqbaIhJteAGCZ9DY8Q2BBZhDsYAUEOywJVezEDQlTYQgVOS/45l8yVK+fxnpVsi+b&#10;a4z9Ya7O3HL2gv0hha6HWGnyutbJeP1rAsEeR3XBrr1GLFzlKW10eWLLhX5+dXra/lfrIk/+ybV8&#10;iBQpuAz/1uvx5dZb1m9Y9x6pKdi3fg+dbk9QgGAHKyDYYWmoYl9ppqr1GtcO16BfoFKa6vXTtNge&#10;knOWsMRNm6h0JkylQ+VdTyuZyTDv342HDmt7INjjqC3YBe3Ntlr9a2knjdvnfMyhNpP7d1mnM1Nt&#10;HCffhuWR6/L4BJGsx7CcsrybdZmWXfalfEbW1wleAw7DLfvV9p+We3fbu4zL77b/sM+s4d8PvvXw&#10;ZTyuWm67yPrLjbVxH/nWfdh/Xzwt8tvZHEPu2L6a/3Q8TceN+9sw/82xr+XwcXoqp9/5Im0Stz6b&#10;dTkwr3F96/QnwTAIdrDCeDH379NWIydZaAfXGPHsR9JvpLFUq2MwHl8xDfw8kQYfnMZVMnm2n+Vs&#10;9m2OMXZLpjdh2sK1wi2n9RsB3vC4dosg2OPQ9Hmk3ZKCts9fsq0k59TxRrGijeSk19li1xuRhG4b&#10;J4u+TWQb1JXWG4Goa6NONzsWvN5vHUfq/TBPuafwUtqesp7HGI/F0H2ZZ92ujn/FMaQR1Kn7+9j5&#10;VPObdjcvOmv7QiDjD8F/YLSalB8lLA+CHSzQ4zmR7MdVTyQ24lJwjf6h4ehbltLJURmyBlqUkdeC&#10;3fY42z2iExHlI+ccETS+v1lOqjyEZUGwx7GIYFfeRC4lfN3wNVllqKTesGRxMjMum7ZqKeQ6kSoQ&#10;j6Vm/9dd64Z94AoNsh9Hu8l/XCUJ9iPtenduidkOw+9Pg5wXSrRB3TQjli113/vOp2OfLU/hCi5o&#10;hSDYwQoIdrDA2Nj070/SfqQhtcQjn0tda5FV4TT52x86FII7rn1/N5HTj9+2iPX2s5Pr2nGXF0lf&#10;4/WvBQR7HEsIdu1N5NyCfZRYJW8Onxdt7+WUcCcj8lApQncpJUavc17spozg2mxOTkvlvG/+pTKs&#10;V8bK5BTBfsgvyL/7Pn80ib+Rsc2c/+bMbuR8F3IcJQv24Tc8p8R5ib7YykCwgxUQ7GCFHs+La49r&#10;oC1UyZ3U4M0UqtfjqN9RU2YS7JaXe7fz0gvW2yyuom/Bc09yFrgBCnoQ7HGsXbCXqVo/kMxiWqi6&#10;/LPkEnXu2lBp+Uu0Q2WapZ4aCMqw7XKtV4pg992Ilt9nyj5N+V2P55J621+E9ynSj+frbVlCrm+C&#10;ZF8RCHawAoIdrDDelW9MtBF/hgbXkr/DpTphY6gEjaXFNpE7Xy12jJ1Or9fBtE5xvch2r1ZdmTE5&#10;KwOhHgj2OJoU7LmE4hLtooySvaac3o0cN1rc8numXTI5JXvZqvvIZLghnNKW2BXOmn5r7DV3nFfl&#10;mxsBv9/03+TYV5L1knOr/zN5gmRfCQh2sAKCHSxhXZ6QkAyNzQyN31TcMbSU+Bzmy7UwniavQ9bP&#10;VQv+BksydjI962skciybEhGBgTZBsMfRpGDPcPMrtco2SzJI9mWLJoZ9oHyKYMnlzyXZTd04lra2&#10;8neR1IYb5jsn+Vq/M51TOAldu10h2zigP5N6XG9uWlW78ZTxZh8YBcEOVkCwgzValBNkSoZGr4al&#10;O2Gce9IwL6u9sd2OW/J3WBrrQ/Ms+gh9Uvocr38NINjjWKNgd/NfsF3korjhu/Ty71Ytx7LozY0p&#10;2hsEgrWb29qq5NR258Z3jcPl+D9zOuHX3EXk+pDQ4z752B76a+6YqvXbGOYDnYNgBysg2MEa1hpx&#10;JDxL/vZcFcSSnbChsc91MI0Wf/O2bwReTFu2T+S35l/v5TMeF20NddbreP1rAMEeR4uCXcN4bbVw&#10;wy/9mrT0tVZTAT5u/+WvB1oZvcHc8GeKquRkwT4dD5rjMmZ/LOZpAm+KJfe73Pav7EOpYu8bBDtY&#10;AcEOFunxuOw9SwrmpeW6JOdYl2tk6f3XU0Irj1rFdhu6ter14XgZrrfQJgj2OBYR7KpKV93NUtc2&#10;8k63flL6ZqkSNFe0YtpUXyZQmB7DXDGEoio59diS41j3m5aEvatpsac3hnmG9ueaarsrjhdoAAQ7&#10;WAHBDlZprQpw9cnQeE/BglwPbSzDYaQj69+2JD59H49LS5fustC5G/Qg2ONYQrDrJHf68E2jDDXU&#10;jhZpFznczeLtAsW50W1/S/Ixk1zspYo9XbC/VB+XoTe1l/OF4W1IU8d4SKhi7xcEO1ihS8EuF//h&#10;BEoOp4VqW32FAKmZ2I6TFrnmmGjoS6eR65+aHttFi6VzYTqKI896k6TUPndDPhDscSwj2NNlXOo8&#10;BXX/zomzs2EZpIjhk3F6SpkW83SVG7vcM42kuOWOvdmgezdFke3v+1xEZBpaooc8cutx7va9tNld&#10;lIJ6O2lPeSx6oz6gjbZY9fqQGEew1DKmRo4/6BQEO1ghxwWbtJg2Xmq29NiLJDBDA6smY8fLxlAM&#10;PDGTh0U7O51lDcK0tU6d2VQ+d0NeEOxx6Po88e1mrSROlUHuJqTqHHl2sF+vdRih1ydd5f8YEbmy&#10;D+br4vbJJKyPiV5N204vRwtt/0zn+1PFLbJdZfvubvtdxkIq/VMWMp9YlmxzhgjsU9s4Ou54DNnW&#10;cec53XF+IMM0x9/m2fg7zbktMv0GwCDai5PFHDuBgl0Q7GtNG4JdzitWRCo5HGkI1cI1yEs06JLC&#10;0DC50IoIMmUlnYdjYoSEp+a5G/KDYI+jtmDXiiFZ3hR063m6XaPxGKHiWl1gE/Ek1yjzZ/JxuI5q&#10;vEbp7aM6rh7qh8jwVrGLFB2WK0V2a/d1yu9kUcF+4iaT6/vm6OfIPhm2ze6NDll3Oc582z12W2ZZ&#10;zk02y3vgt6c7r82S4TcABkGwgxWynaxIY2lDsAvehhyxlaFRVBq5xrjzVc7GnCrnXPcyItvSv51J&#10;XNo5t2vosR29TLhJ2DII9jh0fZ64c6u7pinbK6HV3rukVwVfBLdrZHv4p3Eige1FXWVz2nltI9rl&#10;OElFs99Db3iO7aW07ZPrpuqV5B/WVbZb6HHjQ7M+kpR1Ki/YDw+Lc4o8yzb0UQLOH7Lt5zdsYs85&#10;2fpkMp2Am2J52n60e7qkx46B5sQKy4FgX2vakjBLVhqQsJS8BoyPkRp6kmFoCKZU6cBxdB1qIpGO&#10;0hrgmpApVHI1DYI9jlqCfVdapSWtna45N8aIZTl3+KYRkhCJp2kPpN6Y2KBpz6quTQGCcYPmWNZu&#10;H0GmIdI4x7QEzfEkbfJYirQh5GbDsF+0/QO9J0wrAIo5/jZkE+wR89b2B+XGB3QIgh2sgGBfa9qr&#10;clQ/LkqKpoRwluuKu17masBlSsgjvBBPj22j2lnLsSmdet/6k7jEvMwM7IFgj6OGYM8j1+Nk9xzN&#10;dTRGlo7tM/90TiXkRrDve6FZ0kkk91WkcCNiuVXb32g7QdPWj+2D5BbsWW82KItNal7Xc/TPYoW3&#10;et8NywwdgmAHKyDY15r2BPvYmKTC1WpyVwSMVesW9zePFpaC61GGJFQgtYhGLpDr0HZvGwR7HCUF&#10;uzsnuSrcPO2WFFmnaSentOGSbyScEFyq8/uC8mw8BtKEY8r2Tz7WjApGVWVy5NNYOQW7/A5yXUvl&#10;RoFvHqHJ3Rc7RerxPk/KDQHteTbXzRAwBIIdrIDQWGvaE+wCVYvGk0HuSUNLGoje6S8exl0vSe6K&#10;ojVmTZ0GVWecDGmzHQDXINjjUPV5nEiS/rsvw7kog2i6TtpvU3UNTRguquQwMb7vhGapIfzGMdz9&#10;y3QyCe3n8djzTCsgFtE8+RFblZ+vvZm3X6A6hiQJv2MN6vNe4s0ezbEv4em9DtEeFBaDdGgTBPta&#10;027HGglnOENDKbVjY1usD1GsG4Qh7QjvtieBuZi25DrosS1dM7Ur3SA/CPY4munzJMhWQdOGSunH&#10;q67ZJ0SgRtwtNQRK8vaX9mXl7W+xPau5pi8l2HOLWm0/qHaRheZ3Kklth2hu7kkQ7B2CYAcrINjX&#10;mrYr13KMb0kKJqKCQho5rvrLNx1LqVwVsla0jfU1Z23ClPaLNgx31ToI9jjaOGek/y7Th01I7xOk&#10;tt9kXxxDNQREorDWktp+kfG7U0mfp71x2DW/z1PH0y45BHuJNpccC755haV+kYVasEfutw1j39E/&#10;zZAg2DsEwQ5WaKOxSfKn/UfDdY0QUjpu/xyQ0nK9aEasD7HYEekVftearEuY8jSTMolVsmAHBHsc&#10;9vs8F8n9afmef5qnoxK8qYL9hJzUupLaN5w1Y2eHvPT1EMmCXTHPUmiGR1lCsJeQtJobS0sUWWgF&#10;e2o7RHO+kyDYOwTBDlZAsK817Qt2oRVBSy5cw8/FiXdlg6xqqPKsSY/to2pZmTDVdrDWHl7y1T4I&#10;9jjM93kU53BNRadGtibfFB/agcfIsa80Nw5i0Q1ZoXlqIbUfZK8f2JRgP3H8pqB+z9gCT9pq+3Ma&#10;f+ibXmgQ7B3SYwcS2gTBvtb0IdhHwYJkJ6WCXK9NjqqitWaNwlQ1jMCaU0AOQH0Q7HHY7vPo2hsa&#10;OakTvIlO48Q5KN8N1Dovp1dtf4UYTX/qD8Hum0548vcPNDfJJEu0AXWCXXcMauaNYO+Q5IuR4UCb&#10;INjXmj4EuzA2wpEsJG+koqtGpwy20TxmveqsVJimy4V1p2ZlJ5QDwR6H3T7Pmbq9oXo3kULwlhLs&#10;Qra2vYi4wtW98oSmd94hUTy5kL7fl38puhzzLv/jlmv7aX6f1QW7Yp8dQneTZpk2oEZya29SaM4P&#10;CPYOQbCDFRDsa00/gl1wj9WpLvKEzFOn4gn2ke3u3yfkePo6p4fSY3u6Tng6pwcQ7HGY6/MM7VaR&#10;ajlQCd4vLtxNt5RoJNcpdFX5+ylZOKG7GXC+t11Dkz7fMoLdCfMvHrjfmmzvcRnlSWPJsKzuZkf+&#10;/lptwV6iWlxzfpLtvASqfam8STEeU57pBgTB3iEIdrACgn2t6U/GUPlK8gS5vjS6juo6Ix3ZNaKu&#10;QltrFhirFfKDYI/DVJ9HxFTGKtgWr5unGG+4F1ivAuc/73wsZzj+ciGyefxtneuEqyJ1BXuZmxMa&#10;P4hgjwuCvUMQ7GAFBPta02e1o1ww/etLSEjOFxnDELZRPeq+1qxUmPLEQ2Iyij1YDgR7HGb6PA8v&#10;s7c1lhKbmoQUM8i1zfddffK195q8DmUQ7K5SXZ6cMHDs1RTspWS2pu27VJGFZt9rJTeCHbZAsIMV&#10;EOxrTb/DCVDJTtKCXLcC16WErFiYtiiWlg7nuj5AsMdh6dqCYA8T7MI4zIh/GtrkGKJnbYJ9LGZK&#10;l5slUlWwF5LZqxPsQ39dA4IdtkCwgxUQGWtN3+P1OsmOdCGBkc5baEcPyqPp+Kw1axamJeVLn1nn&#10;eP09gmCPw1KfJ7cQ61mwjwK7pNDVDQ24FsE+rueZyWOtD8GueY/CMu9VUQl2ZbsVwQ5bINjBCgj2&#10;tab/Dnb5BjnpIdJQ1nSsID9NdlYXTZnxQFuhxzZ1yUgnHvoAwR6HqT7Pw7zDxHjnYTwxba/ibXrZ&#10;H4kVtbIfvdO0nEjBPq6j3T4Vgh3BHhMEe4cg2MEKCPa1Zh0VbEh2cjxnyHWjaBrta8vahSlPPMRm&#10;mY445AfBHoeuzyMv25T++27S25g5hifZ4Ju+9cS2v5zkLd02GK4nsfQu2GU/WX9SrAvBrtjGseuf&#10;CwQ7mGG8IPt3eKuBNkGwrzXrekScIQTIbpZqjEIY/GZjsm5h2qTcWDIJAglsgmCPQ9fn8bebVe/9&#10;iZCcp/BO33hSChyqvGcp8qXhvQt2EcreaRhKD4Ldys26GDSCXQuCHbZAsIMVEOxrzfrGYG2hgUgq&#10;RBqDkZ0nqE+P7aRiWbkwHZ9U8mwX4o22agzsgGCPo4RgF8bqdt93ApKpPeKdtvGkPkE4SvayT6fG&#10;CLieBbuIW+/3jQXBjmCPCYK9QxDsYAUE+1qzPsEucLyvPNIQpHqzCTSdn7UFYarraK0qgVIF2gDB&#10;Hkcxwf7wE8/nQ5PnHRr+adtOqmDfULRNP5wrQ6+tTd7kDbgWuPVSCNS9DNMan048c/vOyXv57Qzt&#10;PRGemkIomV4M3Qn2yPXPheb40IJghy0Q7GCFoo0TYjjrFOyCq3zJ2WAkTUQa9YjIdqjyGHgPCegk&#10;rwGeeAjNeq/9PYJgj0PX5zn829EK1hyyp8V2rVawC2NbQfEEwZFIuzGEXgV7NkcwzEtk+qn9ramW&#10;X7tglzbQEmjOO1oQ7LAFgh2sgGBfa9bdyZZGnu5t7aSZBDbswRZNdlgXCcJUoC0TllJiAJYBwR5H&#10;KcEuqKpvM7yoWiO6pPhArrm1kxPN9j8WEfinkHXxfTcow37b3S61cgz5u+aY2iSmuAXBrqhgX+ja&#10;jmAHMyDYwQp0StcapIzA8d95pOE3NKKhTUpVpfWVdb/gdIOms7yq8P6JrkCwx1FSsItE9H8vLNon&#10;7FSC/YRsbYUy1exh/SX/dwMy7DeL6IY9GhMrvdcu2DUv989xky4FBDuYAcEOVkAwrjUI9g0lHy8l&#10;y4UhYdqnVEVaV0GYOly1nW/7kO1ww7ErEOxxlBTsgqYtqZV2mnn3Itg35PYsIW1J3/dCYxH9U74X&#10;0ccVgh3BHgOCHbZAsIMVEOxrDYJ9jjQCGTKmkwyNPYaE6QOuTwFBmF7BjdLT4aZjXyDY4ygu2DVV&#10;v0PbRfP7VMmmgGFQWkMEmm9dUxIib3u7waG9nko7PJbVC3ZFPzT0fQG5QbCDGRDsYAUExlqDYPfh&#10;GneKxgJZNq5qvcOO4lrRdIDWEoTpNZrqr3XkYtpS0AsI9jhKC3YRpZo2ZIqU3KByC50+CZXtCdVh&#10;n55Cc/2x1m4dt5t/WcMSX70urF2w637Dyww1hGAHMyDYwQoI9rUGwX4MhqZoLEMDTxrmVK33hZMV&#10;vv1NpnAen9Nj2zpnlqpwg3Ig2OMoLdiFpSSZShhGysmWGNsR6SJuk1M3szXHlubGSgm01f+px5Om&#10;7xU7T5OCXVlUskTBBYIdzIBgByvoGpuk3SBmTjFWcOgb5aRspKGLWO8XTeO99yw15qZVeOLhVHgh&#10;bm8g2OPQ9XnC2s3qG8OJ1eSa+fZ+LXHbRtmWOCXkdMLW1vZXX0uH76egGiKlA8GufnJggSdREOxg&#10;BgQ7WAHBvtYg2EPRPLJIysUNB0MDqXsY9uNYEKZz1GKr9yRKD7ALgj2OGoJd0BVnpA/l5J9eWHof&#10;bkwrjU9VmauuP4onF0qgepfAkNRjSfO76UKwK9swpZbrGAh2MAOCHayAYF9rEOwxSKNHGi7+bUmq&#10;ZmjMMRzMeuixvZQtCNM9tFWKPYfx+vsDwR5HNcGuFZSJY3KrBKWxYUpKoBmPPUTgqq4/hsbBX06w&#10;l90/cywKdkH1zoAFbtQg2MEMCHawAoJ9rUGwpyCdHkT7QhGxPpyvkETrQtvR6zn8FvbhiYfDgf5A&#10;sMdRS7ALKlmYOGSIzi/0/xJk1RAkAVJV0z+w9I6MJQS7+gmDTgS7to9Zu/gIwQ5mQLCDFRDsaw2C&#10;XQOivWI2Yp2K9VUijWDvcbH2LFCp1AI88XAoXPN7BMEeR13BrjsXpUhK7RATvT8Vpdv/p4dk07ZX&#10;Up9cyM0ST2Bobn5IehHs2hsNtZ+EQLCDGRDsYAUE+1pDZzsHiPaCEbHOUDCrRy0Mug3ncB/qzmmn&#10;KSkEYDkQ7HHUFOzaa1fqb7a1ISZqonmnUqjAVW1/I9d19XU08kaN3EzyTicivQj2pc4bqSDYwQwI&#10;drACgn2tQc7kRBqHiPZMQazDDroOa6/hBac+cnTUe0ysfIA2QLDHUVOwC6qq3KEtlDTUhrL6uNS5&#10;YhSHZ0HyVT5bYkx41RAxgdtF7XgKVSCP18azoOpyrWCP3Xc5XETscWtVsAva/mTKeWPO5rcaAoId&#10;zKA++RoMtEmOixppMQj2UowVMgjB2Mj4k4h18KF9dLjLVH4MuBXGjqFne609kRWF0AYI9jh0fZ74&#10;drNadidI5hznwJxyeyPrrkRcwLXreh3Os13rxmkq2uaB59As16CM1/fd7R8iFvU3qsPH83fzUkja&#10;TXoS7PrzRtp4/nKsuD7stD9CQLCDGRDsYAUE+1qDYC+NXLypaj+Vc3cOsjLuJNiE65QnCNODaDpd&#10;vUZb0QY2QbDHUVuwCyqp+zBtyJY8bU/dU1LSBt4S65tECfYx7ia7Ujpr3UvMOTTPy7bTt79sv6s+&#10;yM72DxLsGW4ShLTrndDNVEDRk2DPsf1jzlfjDZX932oICHYwg/YkbzHQJoiLtQbBXhNpyCHbp7jG&#10;WNhjqgCCpiPUaxCmh+mxja1LeDUhtAWCPY5lBLvyfJQglkdh5plWbIb2WuiThW6e7lot63tEfCUI&#10;9uvIzYqh/Rhx/XMSV6pyvdMLTdy+l/atfzqxGdY3cP+7eV5t/8M3dULFokZejjk/2s4ft1G+m+E9&#10;CXYhX59x+L3M9rn8HjbHyng+PLwPQkCwgxnUF1uDgTZBsK81CPalGBv6+RqVTcR10l66Bl1IRw1g&#10;zuHO9lrD+fsYtGu2k/q4ONgHwR7HEoJdf/1Ku0GW2zW4Yfyc9DubtuPwv65SW9qzEVX6KsE+zyTb&#10;v3jgFe5OJA5/y9Pejq8mzz20nUxvs/03udr+EZIzXLBnOH6k7T8cK24fyf4Y9tO4T4ZpK8SsLzKf&#10;GKwL9iLt3shtHoJmP2rR/LZDfwfQEFlOWsYCbUJHdK1B0FjgutqkM+EujWrpjEnD+uFbrqEIoCF3&#10;Z6zlSEcbDqPpOPcZXojbKwj2OHR9nvR2s7Ya9Vgl8CFGQRchvmslm2D3xLUT4oRzSFJkXBFBmiHB&#10;gr2x62hvgl3Qnje0CQHBDmZAsIMVEOxrDYLdIs0Kd4Q6FGas1PIce6sMwvQYVsXGYkkYYgLaAMEe&#10;x1KCfaza9U0zLKk3VU1K0pKCvUA0N7T1Q9PkT4xYNHmD5kB6FOxL/w5CQLCDGRDsYAUE+1qDYLeO&#10;a1gNDUD5jUpjzoxgnGS6XMfc2JxDIwWhDqXpsd2UnOG8AMdpSQyUTkr1K7QBgj2OpQS7oD0nxYw7&#10;PsfczenGBLtWxFm7FsUJ9trtrmFbJYrvHgW7sGQVewgIdjADgh2sgGBfaxDsrXL1Iqmhk+Lku+s8&#10;DY1SRSNnK2460iE4Hxp2MobkJNKpTIcFkePde7yuMKmiZU3wxMN1OG/3C4I9jiUFu7aaOVXquTZj&#10;rvZhjjQk2HMMxyZtZ9+0l0qMWKy6H4ZjdLNsKTclehXsS/4WQkCwgxncBV4OyI4CbeIafJ79SToP&#10;gr1rpEHmXiYkUnxoRLiG5CTlXYb/ln93f5fIZ5EwYBjXSfWdy1YYOE2P7eykcK3vGgR7HEsKdrUo&#10;G37PqTdXTUn2ZgT7RbZ2sSXJHisWaxWFzgV5yjx7FeyC68d5lqN0QtCcV7Qg2AEAAAAAAABADYI9&#10;jiUFu6Ad7kGKolJxkj2hMjh7WhDscjMjs4C7KhLwza9iYtdr3Bdljxt54mx+M2M8Vv2fPZSeBbuw&#10;hGQPAcEOAAAAAAAAAE2DYI9jacGurmR+qHuCaZSl6VIqS6wLdhGGAcuYggXJniIWNTL6dM69T2bE&#10;Sv3eBbtQW7KHgGAHAAAAAAAAgKZBsMextGAX1NXAGeTvUu+Cc5XKAcPcLCfYz50EL4msm/ZJhqQ8&#10;vBzm+2KrUjwG7TsEfNmtXJ8Te4yuQbALo2Sv8yRKCAh2AAAAAAAAAGgaBHscJgT7Q+0Luy+mKekY&#10;q+krVLOL2BWRGimuR6Fbc0ibs2T5nMK4/SusnxPrT7PcOND9fnZzfHvL3/zf82ctgn1D0Ztk7jcb&#10;NhwVgh0AAAAAAAAAmgbBHocFwR4rDn3JWWU9iuwSov3cbW/tshYV7YnyPyel1k/Wy23/gCcGYlDf&#10;GIiRtxHzWZtgF2RfyH72LWNSpn0Tc6MJwQ4AAAAAAAAATYNgj0Okioi4pARKwRCkit07j8CUkEMi&#10;YmUdk4XdJKvd8hUQ1m7fORmd4WaALKssZ2b5rGFzbCavn6zTFy+Kbf9doo6V6diQ5YqRt3u/VzfP&#10;7bgnQobErrN8fqwCT0iGYZpysvntJh07TpCfRe+bDVv7JzJa3DHgmW5ILP32AQAAAAAAAGBBEOxQ&#10;AldlLxW+ciNgI7G+eOqykYzu34a/iQStLas2yzdKxWFZROxPGSXjdkQ8b8RoDfmsZWv7b6Tgse2f&#10;IEZz4ZZ1ZznHfTLK76WXb23Ib1G2+9Fjx8BxAwAAAAAAAABghg+++D+n/w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oz837b9y4+Ze3iN386Oa9&#10;B9PeArDNxzffuPHxX9wihgLQGL+4e/bGO3fPbhE7mXYNQDP83y+evvHfXnx9i9jKtHsAmuDsxfkb&#10;X/3jD28RO/n623/hPAJN8eIX99/449/cf4vYybBP8p5HRNj++NbbL3906+3z4X//RJrJyz+7+bNP&#10;pt0IsDwi1D/9yec3fnn7/MYv37wc8idiMJ/efjH879mNX/6796c9B2AGEerv3n302bt3Hp8PuXzv&#10;7uM/EZt5986jF+/cfUw7BEzy699/8/6vn3/z8m+fP7n82z988ydiM7KPfv3868/lJsi06wDM8Ltn&#10;//r+77579fJ3z15d/u67138iVjPso+9en8lNkGnXAZjh+4/uP/j+owdP//jRg8shfyJmI/vnLF24&#10;37z/xo9u3XvqEbekocg+dE8eACzJxz95MIl1v9QlNvPp7afTHgRYnJ/fPXtLxLpP5hK7kX1GZTtY&#10;QUTt3/7hyQufzCWG8/zJpdwUmXYjwKK4avXvXr/YF7nEdJ69uvzq2x+48Q8mcNXqHz04mwlc0ki+&#10;/+D+Z9NuDOTm/Td+fOvtl7uyljSbl9OeBaiPq4amYr3hXLobJAALMlWtU7HecGQfTrsTYBF+9fuv&#10;P6Five38+g/fnE27E2ARRNBSsd58KCCCRZGhR77/6MGFT96SNvL9hw/O5SbJtEuP86Ob9z73SFrS&#10;cm7eo2ML9fn09mceYUvayyVjtMNSvHf38fu7spY0GypQYRF+9eIf3kKu9xEkOyyFjOmNXO8jX377&#10;w+fTbgWoylS5znAwfeTFtFsP8+c3f/bWj2/du/RKWtJw7l1OuxigDiJkqVzvJ5++yZMwUB035jrD&#10;wnQTeQph2rUA1ZBhYdx46x5ZS6a4mw9PXkiVv6v0933GUOSGybR7Aaogw8JMY3l7hS1pL/Ii1Gn3&#10;AlRjGm/dJ2tJg/nnD+8fLx6SF2P6BS1pPXLzZNrNAOUZX5bpl7Wk0fDiU6jLe3cen/lELWk4dx7x&#10;aDZURV6S6ZO0ZHqJ6O+/eX/+EtEWBPuw3BfT4gJU4ctnrz7zSVrSbr767jXnEaiKyFifpCVN5/Lo&#10;i095sWnHYZgYqMXHb77lF7Sk6chNE4BKTNXrjLveYWTfTrsZoDgiY32SdrXZVKsfqAIf/v6Z93vG&#10;8l//19e8HwaqITLWJ2lJ2/ny29ecR6Aaf/zowYsdOUs6yNGXnv741r0XXjlLmo+MrT/tZoCyMPZ6&#10;r2F4B6jGe4y93m3eufv4k2k3AxTFjb3ukbOrzPMnl1LN/99efH30nSoi373fNxZZl2mRAYoiQ4n4&#10;5CzpIrzTAarxR8Ze7zWHixB/fOvtl7tilvQRBDtU49PbTz1ylvQQXnYKlXj37qPPfHKWtB/Zt9Nu&#10;BihKC8Od1IgMBRM6bnk7Ff9PeKoOqiBVzh4xSzrIV9+95jwCVfjj39x/yyNmSQf5/qMHh4eb+jGC&#10;vdsg2KEajL/ecRiHHerA+OsdZ9i3024GKEorw50UiwwHM2yD+Rjrx5BhV7zTMRi5aTAtNkBRvvr2&#10;h098cpZ0kGevz6fdDFCU7z+6/8AnZ0kXOfyU/48R7N0GwQ7VOC7YL2/88vbFjU/ffOkq3T/9yefD&#10;v31y4+OfPNiLyFz5u8vwef/0SNUg2KEOu4JdxmMfcv7enUcvh79dzP9GGguCHSqxasEuQ8L8/puo&#10;a/bwvad707Ga508QY1AFBHvHQbBDJRDsXQfBvsYg2KEa24L9cpTpP/l8FOc3dS+3kyFK3Bjvt89n&#10;85hl+Pdx/mcu7rP/7n1vxrHih88dmhbZz7DdACqwEexOrN999NnuizGHv72PaG80CHaoxGoF+/Mn&#10;56fGWt9FqtxFynunZzEIdqjEvmB/9XL437PruP8/+ztpJgh2qETPgv37Dx+cD/97Ji/7dOv5N/ff&#10;evGL+7eGvDH9761//vD++5LhM5//8cMHL3en0XgQ7GsMgh2q4cS2CPU33zop1EWYb2S3i6ton+T4&#10;JOUPIdMfx3uXz3+ilvfjcjB+/NEg2KEOTrDfefRyV6zPkb+5qnafxCV2g2CHSqxSsD9/ch46JMwc&#10;qXb3Ts9qEOxQiblg//LZq4PvEJGx2r/89ofPv/ru9cWWxCV2g2CHSnQn2D988FKEusj0aRWjccL9&#10;owcX3um3FQT7GoNgh8URAS7C3Il0GfIlonJ8HCKmnpRx1e23L/aWY/VBsEMdfn737K1jcn3DO3fP&#10;bnklLrEbBDtUYnWC/fmTy9CXme4iwto7TatBsEMlrgX7q+Bx/6cXoz7dkrnEXhDsUIlOBPulqz5X&#10;SHUfY+V706Idwb7GINhhMUSsu8r0HML69rmrXK/FOIyMZznWGgQ72OOdnz763Ctyic0g2KESKxTs&#10;B6trj9Fc9boEwQ6VmFWwP53+KQqpeqeq3WgQ7FCJ5gV7AbE+R4aTaXjoGAT7GoNgh+qIWB+Hb7nc&#10;lrQZIuK7JgwdMwXBDvaQSvf3GI+9nSDYoRLrEuxPXkyrHc2vn3/z0j9Nw0GwQyVmgl117UK0GwyC&#10;HSrRsGC/lApzEeDTqhSlUcmOYF9jEOxQFakyL/nyUHmRaW3cOhW4WdBUEOxgE6rYGwqCHSqxGsGu&#10;GBqmyep1CYIdKrER7F999zpL3wPRbigIdqhEi4JdXl4qLyidVqEaw7xf7C6L8SDY1xgEO1RDXjha&#10;WkTLmOxL4KryC944MB8EO9jEVbH7ZC6xFwQ7VGI9Fewrq16XINihElcV7M9eHZYoCSDaDQTBDpVo&#10;TbBPcr1K1fouMt/GxmRHsK8xCHaoRpUq79sX09yWYXzpqme5eg+CHezy3p1HT71Cl9gKgh0qsRbB&#10;LlXo0ypH0Wz1ugTBDpWYDRHzp6/+8YfsYxCLaN+SvqReEOxQicYE+4ul5PoGGe/ds1xWg2BfYxDs&#10;UI06w6hkrSJJYpXjsiPYwS7v3X38/p7MJfaCYIdKrEKwP3+S1B76v188fUMktXeaLQTBDpWYC/bf&#10;ffeq2BO0X377w+db8peUD4IdKtGKYK9RuS7y/J8+vP/JqZemfv/B/c99y2gwCPY1BsEO1ag1TrkM&#10;17I040tc/cvXZRDsYJv3eNmp/SDYoRIrEexJgqj5bYNgh0psC/bXf5L/P/0pO1IhP8zj6Xx+pGAQ&#10;7FCJFgS7DMtScsx1EffDfLbGVx/m+XT6s5dGhopBsK8xCHaoxpoEu/DpTz73Ll+XQbCDbUTeeqUu&#10;sRMEO1RiFYI9Yfz1//bi61vDtrn0T6+RINihEruCXcZiP3txXrQP8uW3rx8wPnuFINihEg0I9ktZ&#10;xmlxizDM42xnni5SqT59ZI9//vD++77vGAuCfY1BsEM1qgn2N7OPg5jM+GJX/3J2FQQ72Obnd8/e&#10;8kpdYicIdqiEacH+/Mn5r59/c+H9W1TiBLsMDdPsi03nQbBDJfYEe0Uxy/jshYNgh0pYF+zff3D/&#10;s2lRizHM53J3vlOODnUnw9Z4vmMpCPY1BsEO1agl2K3J3o9/8sC/nD0FwQ72YZgY40GwQyUsC/Zf&#10;/f5rN8yEehkjxmB3467/4ckL73RaC4IdKuEV7C7lxmOfI8PGfPXd6xf+ZaiQZ68uZV2H/346/a//&#10;cy0GwQ6VsCzYTw3TkoNpeBjv/IccF+wNVP9Pi7rPjxHs3QbBDtWoJdg/vV38Tms03Ut2BDvY5527&#10;jz/xil1iIwh2qIRZwf78yaXI7mkxb/zqxT+85f1cYDay/hTDZ5/uflcVGWbmubwo1Un7vNM+FQQ7&#10;VOKwYJfUkeyCWw4nu33LUSYyTI0MVzMtgmMzTnwXQ9gg2KESViXxNO56lWF3j4ynfvJJPONV7Aj2&#10;NQbBDtWoJth/YvOYlqFrqlXx1w6CHezzi7tnb3jFLrERBDtUwqpg//Xzr/faL//1f339wPfZoJyo&#10;Yh8r1zMJ8GFeboiZYdvObxIIVYeeQbBDJY4L9iHPXp+LdJ4+XpzfPfvX92tVtMu6T7M9iKy7jEk/&#10;H5d+iZsBSUGwQyXMCvYKQ8NskBeoepbh8o9/c//k+dP4WOwI9jUGwQ7VqFfBHv1ir2p0K9kR7NAG&#10;79159NQrd8nyQbBDJUwK9udPLuUlo9MibpEq2WUs92kSrhp++k/HOM0Mw8JMYn13+nNkObzfLREE&#10;O1TipGCfEiKjczOO0V5u2Javv/0X77kqhKnS3TtdM0GwQyUsCvaa1esbRLLLS02H+b+Q/42Z/5EK&#10;+KWDYF9jEOxQjWqC/c1qj2UmMUp2/7I3GwQ7tME7d89ueeUuWT4IdqjEKcE+Vlw/efHrP3xz5j47&#10;RSrMh78/LVORffylpMNnoivNZTmnr19VkTvZLUO47Hw2OgFiXZiq5P3TKBEEO1QiVLC7SDX7AqJd&#10;qsdFtucetkUj2IVhGk93p2kqCHaohEXB/k8f3q9+rtJguIodwb7GINihGvUqt48+Em2C7sZkR7BD&#10;O7yneNnpu3ceX75359HLd3766HMZ030a1/19+f+uOp4XqaYHwQ6VcMLcJ2f/8M3TQ1XkPn79+2/e&#10;H8W7vkJbpjVN1ouI6oT5uBeU5ZbcIWJ9g9tGnmkUC4IdKhEl2K9T/KWBh5AhZHJVtX/57Q8qfzAu&#10;i3/aJoJgh0oYFOyXtavXc2C0ih3BvsYg2KEaNYdG+fim/QvDL9/8ZG+5mw2CHdrhvbuP39+Tu6dy&#10;59HLd+8++kzGcZ8mc5Dh8+8zFE1CEOxQiUOCPUau7yIiOVm0P99+uekh5KWl3u8fiFTgy/eySW6p&#10;fB+2Xciybpiq/v3TKxEEO1QiUbAPqfcCVB+bl5HuL1dcdl9yGovpl6Ei2KES1gS7DM8yLVpTGK1i&#10;R7CvMQh2qEZVwf5mUGXV4nx6+6l3+ZsLgh3a4t07j154Ja8nUp0+fS2Kn989e4uK9ogg2KEShwS7&#10;jEs+fSQZN6yMZ9rHc3x4mDkxEl+E/PgdveSWqvWUGxDyPd/0igXBDpVIF+xDnr0+n7/8cynGsdo9&#10;yxee5Ou2VMF7pmcjCHaohDXBLmOhT4vWHN9/+ODct04LBsG+xiDYoRo1BbtUh7eCvJTVvw4NBcEO&#10;bSGV6F7Ju5s7jy9CqtaPQTV7YBDsUIlDgn1IluEbYl9KKgJ8+upJYqrYcwn2mOWbU338dQmCHSqh&#10;EuySZ68upZp8mtxiiOgflie9on1Yj+F/n8aOMS/zNVvFjmCHShgT7ME3+1OQdf3+g/ufDfM5Exku&#10;w7rMI/Mf/vepVNHLZ6evBfPHv7n/1mxdLATBvsYg2KEaNQX7p7c/m+baBr+8fe5dj2aCYIf2eOfu&#10;2QOv6J0nk/SV6XinT66DYIdKHBHsqmFi5sRI9ph5xkhrtWB//uRyM40UclTORwfBDpWYDbXi8tV3&#10;r19sEjPWuVSRT5NclDjRPqzfs399X1uF77bhs9fn/nksGAQ7VMKSYJdhVqbFyooT66nV5R8+eCnC&#10;PXRc+OE7L/amsVysCfZ7lz+69fa5/28lI/O9d+H/W8ksM18EO1SjrmAvegc2OzJmfNOSHcEObSLj&#10;qntl7yZ3HmV7IVnMsDSrDIIdKnFMsMcM13KKIMmeIISH7z3dm44nKsH+/MnlqRevHsPdCJAx233T&#10;LhkEOxhCJPQ4FMop4b7suOxzvv72X24Ny3REtL96mXt4m2G66RX0JYJgh0pYEexSQZ775aYyPalI&#10;980vMS/+6cP7R2/6yzyHz13ufG+pWBHs9y5/fPPeZzduXu9g+f/+z+bMvcsf3Xz7/fl8f3Tr7TP/&#10;Z7Pm5Z/f/Nn142HD/H90695Tz+eKBMEO1ag7RMxlEy86nfPxX9xyy+1fH+NBsEO7vHP38Sde4Tvk&#10;3TuPDzeOInHD0jAm++Eg2KESxwX7N3/SiOVdRNj75rHJ5kWkMYQOE3Ml2FNecjpsIzezRBapXpcg&#10;2MEw8mLQ3333+mwaVmVH6r661L44NCdSXe4bwqXUMpoaLgbBDpUwI9gzv9y0gFy/ilTDD9M/+OSf&#10;oRee2hDsf3bzZ967Ej+6ee+B7/N5cu9yS3LPKCnZpWJ9LvTnDH+vss0R7FCN+vI4+bHmxRBR7V8X&#10;40GwQ/scGsZFBPz0ETXHZP7qg2CHSpwS7MPfL3MNFSOV3MdeTJoi2IOHiZkkeexY6CnLNEe2nWxD&#10;37SLB8EOjSDV7b/zV26buhZuvQi1oHg29dJTBDtUwohgvzwmrFOQSnPPfLJGxnOfZrfH8HcLQ8Us&#10;L9hlSJhpll5KDRkjEn2ahRdXVe/5njauYv4QN++/4ftO7iDYoRq1Bfunt7eHdpCK9o9/8sCNzy6x&#10;KuCbfOkpgh364Od3z97afSmpVLG/c/csW8OTKvYDQbBDJU4K9iG/fv5NtiEbjlacJ1aKhwns6+Fu&#10;/H/3ZJiuCPnpa0nItvNOu0YQ7NAgTmI/2x6LPPaloSWZjc+ePGzeqRe6TjcctkX3UkGwQyWMCPbs&#10;Q+vK2Ome+WTPoWp2V0GfOu57vpgQ7Ec7V6WqyQ9VzW8YPlNk/W/c/MujHfZSYn8eBDtUo34F+/VJ&#10;bRTqnvnfPr/x8ZuLv8F/i3E89ov9ZbUcBDv0hYj2d3766HOR66P8fZRNth2qlF99EOxQiRDB7pIo&#10;v3c5VkGe+hJREcm+6W1lJpuDPj9EhnaZvpJE8LYtFQQ7NIxIaFfJvZHtw/+eEtM1kfHZp/9MYlin&#10;s0PToIId1ogFwZ57eJgFhmi5/OPf3N87T4p493y2ZgwI9hOyV0S473vaHK0kHygl9g8ND7OhVMX+&#10;PAh2qEZ9wf6nqWL9VEW4vfHaZbn9y2o0CHbol/fuPn5fqtrlhajTP6lw0/MJ5rUHwQ6ViJHA8qLS&#10;6Wsqhml5X0yaOt778N2gF51uqtFl2Bff33ejWd9fvfiHt4Ztu8zQMJsg2KETpGp8HJ7l1cuvvnv9&#10;Qiq8pz81i3uBqow/P1sXt54yNr1vXPqlgmCHSlgQ7LmHh5GhW3zzKR3ZltMiXLHweOzLC/ZTleQi&#10;wn3f0+ZUJXkJwe7GXz/B8Lni2x3BDtVYQrCHRircrdHUUDEIdoAYrirjyXUQ7FCJqCrr508uRRxP&#10;X03m0DAxpQX7pkLejYvu+ftWhnV1E0/AVekHVskXDYIdOkWktAwb07po/93WuPOvXpoS65sg2KES&#10;BgT71nU/h2yXinjPfKpExn6fFuOK4d+XGo99ecF+SnSXGZf83uXJSvIiYv/eybGOSlXOz4Ngh2rY&#10;FuzZxx5T09RQMQh2gBh2x3knQxDsUIkowS55rn/pqVSGH5h22hjsgYJ9exz2Jy/8nxmjGXf+1LSr&#10;BcEOK0Cqvqf/bA5Xje+T2paCYIdKGBDsWw5EKr6n/0zm+48ePPXMp1p2Jbsbj/2jBxe+zxbOsoJd&#10;hkOZZncUqfz2fT89p0V3EbF/897pBvXNv7zl/W7GINihGgj2eJoZKgbBDhDDL+6eveGVzGsOgh0q&#10;ES3Yh/z6+TcXmpd/Hh6H/VqAxzB8N0ywz6rS3RAuvs9cJXFZErZnsSDYAcxibiiYQ0GwQyWWFuy7&#10;MlpeDDr9ZzLDdJeqGL/K7nAxMka773OFs3AFe4hwHvjRzXsPvN9Pyr3LP7/5s6DHPnNWk7vhYU5U&#10;zW+QGwC+aeQKgh2qYVqw/8Tu7+CXb57tLa+5INgBYtl7kerag2CHSiQL4edPLlPHKD8o2BOFcFTF&#10;+KxKXm4UeD/jEi/Yk7dlqSDYAUzSjFyXINihEksL9vmQMBsJPf3fZIZpnM3nsVh2Xny6wNjwSwr2&#10;gCryGbmkc6xczvXS0VMvVd2iyLA410GwQzXMCvbbF+ZecrqL+aFiEOwAGraGjLnz6OWWeF5LEOxQ&#10;CbUUngnrUGSs9QPTOtwBO8JxUb6T0Cr2yGX59fOvP/dOZ8kg2AHM4V7W2opclyDYoRJLCvbdavUr&#10;Ab0jpmNZ+MWi81zurssfP3zw0vO5UllKsJ8eA32P4fMZhop5GT9f/ZAtUgk/TS2YUi93lSDYoRoW&#10;Bfunb7688fGb6peXFcf8UDEIdqjDu3cffeZk9J3HZ1L9/c7dx5+8c/csqaLUGrIeIpplHd16TuLZ&#10;/fudxxfub3ceXw453/ytqyDYoRIiyL1yNirh1d5ufs+fXPqnc/0i0hh80zmW+TwOvXBVErIsUo3/&#10;6z98c+b7/uJBsEMlZBx0kcZSmT39E3j43Xevz/YEtvUg2KESC1ewb7W7N/JZOw67jHm+M58lcynL&#10;My1a7WVbQrDfu4yq5p6hGSpGKtFDh4bZ5c9u/uwT3zQDEy/1J3IOUTMPgh2qYUGwf3r7MzccjPxv&#10;C2J9jowT71snE0GwQx2OvRz03TuPXoikHf77fRnjfPpKU7hhY+4+doJL/lvWafPfbj3vPL6Q/78R&#10;7uO/dVLxjmCHSuQR7OO47CFC+qSMjpTCp8dS9+T59otaDw0xI8s6fcTL+LJWIy809QXBDpVwgv1a&#10;ynL9OsC0nZ7OtpX9INihEksK9rlIn49R/v0H99V+cJjO5WZ6i+fDB1svcK9YYV9dsL+UivBpFmmM&#10;lexPPdM+GPl8quTeIHI+briYe5dujHnlfMebCsO0vPNIC4IdqmFBsFsfCuYYsuy+dTIRBDvU4Zhg&#10;38udRy83sroHhnV6X6rX5b+vqt3vPHaNty3h3moQ7FCJXIJ9HhHT8/HZRYLP5fvwmaMvJZXPTx89&#10;SfrQLNdV964K3TPMzFywy2cksmwyxM3w+Zci6ne/YyoIdqjEjmB3Uvbrb/9F5zY65qt//OGtYTu1&#10;IdoR7FCJBQX7VmW3SPXZ36Lfx7LL9x89eDqb3uKR5ZkWzTH8W40XsdYS7JNszshYVX5cPIsQT62W&#10;P4TIad+8dvIytVreS8JNhWNBsEM1bAwR07Zsk+p7/3otHAQ71CFKsM8jQ8rcPWu+4zusy9VvbarY&#10;dxXtciNhvq5X/91SEOxQiRKCfSsioScRPZfuw/8/KNlFdk8fO4qrXo+U3PMKehHl06S8lfBzwR41&#10;zruVINihEnuCfcpX3/7QzY39Eoho/+q71xe+bWcmCHaoxIKCfUuif//Rg4vZ3w6L4UCMDRPj8k8f&#10;3r86N1davhKC3UnvlzK8icSJZmUV9zFEoIswHgX0vRduWJWb9z7LKrg9LDVfubFwPd+0fYRgh2rY&#10;GCJm6+5lk5h84SmCHeqQLNg3Gb7fg2jfIEPHTP95VcUu67f576aCYIdKFBfs8+wMzeKqwH2fczk+&#10;rrurJA+Q3lLh7oZyef7kfCOcZTnc34f/nVfL747HPhfs839vJgh2qMQhwT6l/f5GYdyLT/3bbvkg&#10;2KESSwl2eaHptAjeIVPm1e2pWKtid5m99LTCUDE5BXtilfrNv7zlXug5fHcj5Z1Adnn7/SJyfpim&#10;G/LlSpLvzvdemReXSCW6DPniWVf3bynzHaYpgt+/T/yR+U3fBiiLjQp29R3ZxRGZ7V+3BYNghzqo&#10;BfuUnoaO2TCs1/ubMduvXpJ65/GFvAx2vu5mg2CHSvxtTcE+RKT6NGs37IpIYN/npjyVKvN55Xv0&#10;8CwzqS8y/Wo4GFnvYd7y327CE/Mx1TeCXb6/Nc1WgmCHSpwQ7H+SF6BSzX4cs+OzI9ihEgsJ9q3h&#10;YYb/vzdcyrzaOxWLVexDttd9erFroWQU7BFyXUTyKJjvXXintZd7l/J51fjtk9yeKs5DxzR3lfgq&#10;yT9811Wdx43f/kK+M00hiOF7wfsLwQ7VsCHYxxedto65F54i2KEOuQS7RMYz76maXdisj7zk1a3n&#10;sL3kv2Ws9t31NxcEO1TCiWafnC2ZYZ7T7IPk9VzKJ71UdDY/YTOeuhPtw9/n05//+6aK3t0ImE+v&#10;lSDYoRInBft1nspnp6+BB7kRITckPNtumSDYoRILCfar9vYkwfdeSLo7Znkqw7TOdqe9eGYvPR3W&#10;/5b3M3mSR7CLKJ++dpRJrEeIZl8i5fMo1mVIlUCZ70+04Jf5Dt+JkPmeTDcWAnBPAXinsR8EO1TD&#10;imDvoYr947+45VmvBYNghzrkFOybSLX3NPmumMZld7/NYbu93F1vc0GwQyUWEexDdqvSfZ+Z5apz&#10;myLY50O9bNhb75mE34zHviX2QyvmLQXBDpWIEOwuVLMfx1Q1O4IdKrGIYJ8NkyJDxXg/c0wOR/L9&#10;hw/OPdNfNPMhcgoOZZOtgv2qYeblSjZ7v5sUqUSfpn6QPEJ/JwGV+iEvYI3LvUtZl2nyfoZt7P/u&#10;fhDsUA07gr2XKvan3nVbJAh2qEMJwS6RYVSmWXSJyGvfepsKgh0qsZRgF2EtleHTYhwV5zKO+vQx&#10;Wd5jQ8p4M5f5G4Z/33vJ6nw8dif9h2Wc/u+J8eKNBsEOlYgV7C7PXp9/+e3r+GFgV4RsH++2qxkE&#10;O1SitmDfrUw/NkRKjmFihMJV4smRbT8tn7eKP0NyCfZ7ByckY53nlc3ziHh+2yt5RISXmq9Ie281&#10;u5PcceOhx+RYNfu4nf3f2w2CHaphSbBLPn7zqlPZJB/ffMO7XosEwQ51KCXYXToWvJsx2eVGggyN&#10;s7fuFoJgh0osJtiH7A7N4vuMRGT39DER3SdfbDrPfB5zhr/tCXaf9J/+84ZUwe993noQ7FCJJMF+&#10;nadff/svXQ1RlxO3bZ+9PvdstzpBsEMlKgv2rfHHj1Svu+QaJkao8ELRlFxtD7mZ4Pm7Ntkq2P8k&#10;gnf66hVl5fp1diX7KNf9n82Xe5dbkr2wXJ/F24AWae75rDcIdqiGNcH+y9tBw1mZ5pdvnu2v1xJB&#10;sEMdigp2yZ1Hx5/CaxQ3Dvs0FI68CNW77ksHwQ6VWFKwS7aqxp9//bnvM5uXlAqxgt1XvS4cEua7&#10;0n/6z5BhbOwFwQ6VUAr2TRDtRxi2z9nO9qoTBDtUoqZgn1ekh1ZtS/X59BU1BYdiSc9sPPZh+S68&#10;n0lPPsHuxmGfCedacn2TzRAqdeT6mHGd779RUa5vsiUDxvHXw7c1gh2qYU6wD/n0zbZlmpkqdgQ7&#10;1KGkYHcvAr3z+KJXyb5BRLZv/RcPgh0qsbRgn0tgEdq7Al3+//TnhJeNXleg73JUmM/GY98QP28D&#10;QbBDJTIJ9k0Q7QdYZMgYBDtUoqJg32obDP8/6OWjOavYhWND0iyVzToWqLLPJ9g3kWFM8o9BHhYZ&#10;l9337yUzjvFeVa67uHW9ee+zlHVGsEM1LAp2SeuS/dOffO5dr6pBsEMdcgr2Uag/evnzu2dvSYX3&#10;NAvH7v/viXfunj2Q7Wiukh3BDpVYXLAPmVex/+r3X3+y/ffZMC2RVeSHqteFU8J8vkwbfJ8zHQQ7&#10;VCKzYN/EhGiXdZv+0wRf/eMPb1UdMgbBDpWoJNgvt15sOs4zdMxxGUYl2zlJKuctvvRU5LosX+Zl&#10;yy/Yif0g2KEaVgW7pGXJbqKKHcEOdcgm2Ifp9CzRQ0Cww1qxINiHXFWF7YpvEe7Tn+LGQQ+Qy8Nn&#10;Lr3flcxecLrh6OcDIsPPyDqI+BeBnxq50SDbRYbUOTpkDoIdKlFIsLt89d3rF199+0OWFwzG4mT2&#10;d6/M9YvG7f3qpW97ZQ+CHSpRQ7DLWOvT7MahYSKryOffz4EI+2G6JV4qqom7CZF5LHYE+xqDYIdq&#10;WBbsLrfbbUwtXsWOYIc6aAW7q1q/+zjpeP3rn/79v53+swvccDiebbRYEOxQib+1Idi3xlkf/v/4&#10;AtKdl44elck7Efk8fe0gIqB9391EhPj0UUeqYJfpHKum1yLT9s0XwQ61KCnYN/nqu9cXw/+e1ahq&#10;n9bn7HfPXl0O/5t1WIicyLLJtikaBDtUooJg32pbJ46DvvVy1ByIzJbp7sxn0cgY7LJsGcdiR7Cv&#10;MQh2qIZ5wS65fe4qwltjrGJfcPsi2KEOGsGukesb3r3z27en/2ye3e2zeBDsUAkrgl2WY1qkK2E8&#10;l+RSub33nSORKu/pqwcR8e377jypgn8TqVifT6MEB7cNgh0qUUOwb+fVyy+//eHz3LJd1kOq5d0Q&#10;LM9eXfoq55eqpj+EbAf/NsoUBDtUoqRg3608H/7/577PhST3WOyCRck+5IVsN8+/pwTBvsYg2KEa&#10;TQh2SaOSfdEqdgQ71EEl2O8+Uj/iKFXs79559J+n/9ssMjyObxstGgQ7VMKQYN/qfIkcnle1i2z3&#10;fu9A5t89xPC5sVL+SLyV9YEJqaLPwcF9iGCHStQX7NeZKtuffvns1WcypMu0SMHIsk8vD91UrP/J&#10;/e+zf/W252U+03+aQZZ1sz2yB8EOlSgk2C9lqJNpFuO452mV69uZjeOei0my++e3UDoW7O7FqNXn&#10;Ky8qHV9W6v97mdy7HOd778L/93JBsEM1mhHsktsXNz5+M/tFpCiLVrEj2KEOyYL9zuOLXGOu//zu&#10;o//y3n/48j9O/7dZnGRXDrmTNQh2qIQZwT5kPt76fEgVqQCPqh4PFMunxnSXeU4fdcRV0V+/nLUk&#10;07bxV+Ij2KESSwp2f169lLHbpbpbIlXnEpHjLvJvw983lepb3z0i1zcV7tP/NYXcXJhuNsy2Q4Yg&#10;2KESBQT75eaFnYIbc/2jBy92PpMUeQHoNNmsmJTseV52akOwO9F88+2tE7xIYN9nM+fljZt/eV35&#10;cfP+Gz+6de+p53NZI/OQeU1zvfHnN3/2Vk3Bj2CHajQl2F0um5Psv3zzbGcdKgXBDnVIF+yPsr2w&#10;66/+6n/+m3fvPHrYg2QXfn737C0Toh3BDpWwJNgPSenYZRThPH31KMNnT1Sk7y9PkOjfGTu+JLKM&#10;3mWQINihEvYEuyoHr7+u0v2AfLeC3EDYu2mgCYIdKpFZsG/JdZl2xvHEXeaV8TmxKNkzxIJgv3cp&#10;gnma7RYlJbsI7bnknjMs0wvfd3JkmK//YjbK/SrV7Ah2qEZ7gl3SlmQfq9h961E4CHaog6aCfZpE&#10;Ft5767f/qSfJLrxz9/En3m1XKwh2qIQtwb4/tEt09bpLWPX4wcrvKb4Xk0qVve+z26lTvX6qAh/B&#10;DrXoRrA/e3Up1e3Tau3hxjs3Ltg3uGX1rWNsEOxQiWyC/cMHL1/84r5rS0xV62d7n8mT7C883dCh&#10;ZF9esB8UzhPTsDHe72qyWzG/xc37b/i+kyNbFfM7/NnNn33i+07uINihGm0K9k1MPhrp5dPbTz3L&#10;XzgIdqiDstI663EqY7qLZP/rn/79/z79U/PIsDHv3nl87tl25YNgh0pYE+yyPNOiOWLHXh8TJriH&#10;eV36v79dBS9Dw0jkv0OEf42x14f5nB4PHsEOlehFsB+T6254mO9eX1gcg/0QMmzMsF5Pd9czKgh2&#10;qEQGwX4pY4aL9J6J9aIvDi3xwtMNBYbMWTIGBPsx0T0wfKbIchwT3UIJsS8V6tPk/QzL5Pte7iDY&#10;oRptC3ZJG/JHKu79y18wCHaog0awv3vn8WWucdiF6YWnD3uT7ILIbt82LBoEO1TCmmD/9e+/2bqG&#10;nqoy9+e0YD81nvqmev1qjPOZ+A8Zu30j5HMjy3N0WJh5EOxQiX4q2P3V6V9/+y+33Jjtw2eOSXir&#10;qMZnR7BDJTRC2Y0T/jf33xKx/v0H9z/PPRzM0QzznVYhOx1JdguC/d7eY4lzpMLd9z1tpskfpMSY&#10;6G5YmmMUrJyfB8EO1WhfsA+5fX7j4784ekPOBPKSVu/ylwqCHeqgHStcJLuMOT5NTs07d7/6971K&#10;9nd++uhz3zYsFgQ7VMKUYPeMXX5yGBRfAsSyiHzvd4fIPKePzSror6X9KLn3v7eb3eFutIj0P1U9&#10;vxUEO1SiC8H+7NWliOhplbZwY69PnxPRPv1zcySNz45gh0okymSpWv9cxlsf/rt4xbovIvOnVShC&#10;J5J9ecF+qpK8hGA/WUk+MHyuxPqffBlRqSFx5kGwQzW6EOxXsT1kjCyff7kLBcEOdcj2Ms6MMvfd&#10;n/72YyR7hiDYoRKmBLun8vyYCD+Y508Od+QmDlbGP39yvpH8rsp9M4zMzjTlc3vf3US+szPUjQZX&#10;RS83GjbLEhoEO1SiecEu0vlA9brI9a3q7+Gz05+aJWp8dgQ7VCJWJLsq9Q8fvHTV656/V07RG28d&#10;SPalBfu9kyduGULG/11N7p08MIqI/QCxPXyu+HZHsEM1+hLsf3JjnVvFvey0ZhU7gh3qkE2wb3Ln&#10;8dk7d89UFZd/9Vf/898M0/q7jWTv6cWngmyjve1WIgh2qISIYK+cXSC7w8MIodXiuzlWPX5weJjn&#10;Ty53xlrfkvAb8S54K+snsb75nCzDvBo+FlmWJLG+CYIdKtG0YH/2+vxQ5boMDeOr+JZ/nz7SLMHD&#10;xiDYoRKtS2Spop9WpQj/9OH9T3zzbSTLCnaR2NPsDlNg2JRT474Lf37zZ2/5vqvJqWp9ocaLThHs&#10;UI3eBPsYWSeb1ewyZrx/mQsEwQ51yC7YN7nz6OUk248OVXeI/+M/fPm/bQT7mN++Pf2pC4Z1euHd&#10;bjmDYIdKiBD2ytnaef7kciPF5yJbiBoWZZMjFeSHXpw6F/y+7TIfV31eWe9E/EysC7/6/defyDpN&#10;n3m6GdP9FFPV/GfTNNPE+iYIdqhEs4L92atLWfZpNfZwQ6p4vtfiOOyHGNbnbHf9toJgh0r0UKX9&#10;4hf3i958k5e4eubbQpYU7PcuRWJPszuKCGH/NOLjxkG/ef/gBWaOVLr7ppGSH926F1b5OiybDGHj&#10;m0auINihGn0K9jFSzS5V45ZwVeyeZS0SBDvUoZhg34kI5XfvPvosZrx2GR5mLtnfe+u3/2n6k2lc&#10;Bf6Jqnt5Oex7dx5f+LZVtiDYoRIic71ytnquh4cReT2X1cPfn+5//lT8LzqV6fqE/bzSfJLce3J7&#10;LsllOjKPuXQXxn8/vLxTRfpnu3HS/9iwMylBsEMlWhbsh6rXhc2LTX3fmz7SBTI8jq9Sf1xXBDvU&#10;oYexxmW4mml1iiFjzvvmbTwLCvab96LG7BMx7p1OVO5d/ujES1W3yFQ978Z8D5T6giyjbzq5gmCH&#10;avQs2MfYq2YX8e9f1sxBsEMdagn23Yhwf+fu45O/7+Fz/3ku2X9+9/H/Nf3JJCLW373z+L9LBf70&#10;TweR6n7ftskWBDtUwglen5ytnWE5pkVyFeZzmX2o4vxonvvHYfdO6/n1uOvC7tAwm0hV+vQRL9Ev&#10;IS0dBDtUoknBPgrlM6lSPyTZjw2hckzMt8i4D1+93FtXBDtUogfBPqV4G/77jx489czXcpYS7KfH&#10;QN/j5l/e8k8rPEFD0uyQYwz4kCFpdikxBvwmCHaoRv+Cfcynb7688fFf2Bin8OOfPPAuY/Yg2KEO&#10;Swn2rZwQwfOXnlqV7FK1/vO7j/7LsD5/987dr/799M8nGdan3FAxCHaohBXBPh8zXcTwXGa74VY8&#10;3zmVuTQXXHX5bmX68P/nVegHt8ewTIfGdRexLn/3fm/JINihEo1WsB+9zrqqbv/3xlQQz7Jda4/3&#10;vjcsDoIdKtGRYC8+HrsgL3j1zdto6gv2cYiW02OR+1DK7pcxVeRz0mX3vcsUqe9w1fP5hqiZB8EO&#10;1ViLYL+OjWr2Ki87RbBDHUwI9iHv3nl8+c5PH30uVe2+l6SKVJ9Ldhlu5q9/+vf/dvrzoohc39wE&#10;iB3GRoaKkXX3bRN1EOxQiYNCuWZmIngaYmWrWnw+3nlMdoX4XvX68yeX83HX5fPyb1ufcXnyYlfW&#10;C24omeFv+583EgQ7VKI5wX5kaBgZX91Vch8aMmWeZ/9avM0v2/arb3+o2o/aegEqgh0q0ZNgH1J8&#10;PPZh+m98/9GDC8+8LaamYL936YaFSZTcG2TcdpH0/nn4Ms1XyTjf8LHRZRlTKtd3kWX3TV8TBDtU&#10;Y32Cfcjt88Wr2T+9/Zl/2XIGwQ51sCLY53GyPUCyD5/9OxmnffrzYgzLMg5j89PffiyyffrnYOSm&#10;wu42yBIEO1TChGD/wzdX72PayHS9YN8eg90rz2fD0gjDv22PnS6f3/nMnKSha2oGwQ6VaEqwizg/&#10;IcaD5PoQkdDTV4oybd+ntYelGeZ5hmCHWnQm2P8k8ntatWL88W/uv+Wbt8FUE+wvQ19oGspp8Xzv&#10;cvjfl6nV8oeQl5Xuz2ueqWpdeSNhziT3T8w3PAh2qMYqBfuUT3+y3O+systOEexQB4uCXfLuncfe&#10;ztheJbuI9gVffvrund++7ZZhlP3JFfWyvrvbQB0EO1RCBLJXzlbMXKYP/99J7q0hYlyluP+7hyLy&#10;e/q6wzOu+pXUF/Yk/s7QMT4sbLujQbBDJVoS7PLi0mmxvewNkXIi8vnpq0Vx2/jZ6/NhnlXbB72N&#10;NQ926U2wT4kfAjyS7z+4/5lnvtaSW7A7uXwuMlgks0jw3GJ9F6kSF2HsMs33z27+7JOcgtvH1Xyn&#10;eY7L8Pb7pecr67aZ77DNk26CyPenyQGUZc2C3eX2+fC/VR93vKL4y04R7FAHq4Jd8u6dR94GpU+y&#10;LzEuuwj1YTn/TuavlfxSsb+7/uog2KESFiTx9gtNRxG+N3TLzneORV40Oh/SZXcdd/8+jc1+PYb6&#10;ztAxwvSZLZGWOjZ8tSDYoRItCfYvv319db7xEVq9Pk8tCT2T7NXEPkAtOhXsVcZj//7DB+e+eRtK&#10;PsEuYj1apt+8/8aPbt574KSxSGonqysI65t/eUumLTcArucr/7uZ772jF6QkhvVwlehX891e19Sb&#10;EfKdYfvH7SsEO9Ri9YJ9yhIvQS3+slMEO9TBsmCXyPAp06JuIS8U3ZXs7955/N//j//w5f82faQ4&#10;16L/8X9PGRpml+z7AsEOldiVz9Xz/Mnljgx3w7jMx093cnv3e0cyr36fxPjW0DDzvwu722D379P8&#10;n4r8n/7JgWAHGGlIsB+9tp58semB1BoqRhi39auXbt7PXp/XHp8doBS9CnaGinHJJdjvXQbL4Umq&#10;D995MQ3j4pnedn50696FiGjVcC/jfD8fphMxfvuwDW7qxm+XdR3nGz5+u2wbV4UfiqxbzPjwCHao&#10;BYJ9N3VlUtGXnSLYoQ7WBbvk53fPvG0gqRrfl+yS3749faQY79z96t9v5vfef/jyP07/rEJeeOpb&#10;/+Qg2KESu3K5emYSeD4UzFywx1Sw70rwX//hm7Njf98dm10+P/3JMcr1qxeZHh9WxloQ7FCJJgT7&#10;ibHEv/72X25dvdgzIaeGnsnNlWSXINqhA3oV7BIZxmVazWJ8/9GDp755G0kewS6V2NPXDuMk8Ntn&#10;oVL9cO69iBLtmeYbK/idWI+T+XuR74eKdpHmvmn4gmCHaiDY/ZGXkNag6MtOEexQhxYEu7z0VOTz&#10;tMhbyEtOt+X6GKku14yJfgypVn/37qPPZD7D8v1djur1DVn3B4IdKrG0YJ8L7bmwnv7JESPYt4ab&#10;8Qjw+d+F4d+uXmy6K9eF+YtMd/+OYAcYaUGwf/ntD0f7+fJ33/diUltyD/M821qGcXgb2g/QJD0L&#10;9iGHBXMmXvzi/hsyn535WkkmwX5C2OaQzbtxwvsEIqf1Qn+ee5cnhXe2GwnXkW13Su67oWc83/UF&#10;wQ7VQLAfSYXx2Yu+7BTBDnVoQbC73Hm0VTE6R4aFkWFadiW7E+CZqsvnbFWvZ37BatYqdgQ7VGJx&#10;wT4b63yzLDJG+vRPjvCXnD65qiCdhoa5Hld9yK4gF9l+9fedoWqEXYG++32GiAEYMS/YA6rXU8Ze&#10;96W2ZD/yUtanMuTN9DEA83Qu2P/0Tx/eL35u+P6D+5/75m0g5SvYZYiVvJL7OgfF8837bwzzfOH7&#10;To4ckvtujPWooWAic2S4mnE7e77jCYIdqoFgD8jt8xsfv1nupUGf3n7hn682CHaoQzOCfci7dx6f&#10;H6pkd1XlP/3tx3O5fpW7jz7LOTb7pnpdUmLM92z7BMEOlVhasIs8nxblxtVQLDtieEuEH8rzJ5fz&#10;YWXmleebzP8uMl2Gi9n8TT4//cmxO3SM5NTY7eaCYIdKWBfsx6rXnVwXGe35XmpOvUg1NzI/33LM&#10;clZ7mQBi6V2w1xiLfapi985/4eQbg3362hYx0jc9O+O/F5brs2xVqo0vGy1zI2Eerxx365zviQOA&#10;bCDYw/Pp7adFXoQqVfK++amDYIc6tCTYJcckuyDjr2/J9VnkxajaYWPm1esi2qd/zkq2KnYEO1Ri&#10;aUk8l94bwZ7yMtG5IPfJ8Xl1u7BVne6rXv/D9tjtknm1vTD829XwMiaDYIdKmBbsz15dikSfFnWP&#10;ADmdlsrV41/94w9vSaW+d1k2kbHah89NXwEwRe+CXfLiF/fzO40dhvmc7c7XQHIJdpetRmIdub7J&#10;JNnryfVN3DrXkuubbA1TczUkjf+zviDYoRoI9vh8+pO8v89iw8Qg2KEOrQl2iYzJfujFp4IbMmZW&#10;Ze7Jf04V7fMqeRH20z9nR5bft+5RQbBDJSwJdhkaZvr37ZeJeqrRt7IjyGcvJb3Kvhy//kxI9bpk&#10;vqyCbz6mgmCHSlgW7DKEyrSYe7jlPiWlFTk27xKM+2H28tPDoY0B5liDYK/xslOjVexZBfuQe5ci&#10;e2OFb56I4K4q1zcZtlM9ub6JSHKXhLHtEexQDQR7YjKPzy7V8d75aIJghzq0KNglpyS7cKya3eWn&#10;v/04Zox2GYZmmPffzabxn6c/FUGq9XfXOyoIdqjE0oJ9LsY3gn13rPOTIntYh+mj/heP7ohmmeeV&#10;QB/+d1+ceyrTPbJ6dkPAZhDsUAmrgv2r715vPbmyy/CZ7ZeElkn167nMc2cZDoWhY8AMaxDsQ46e&#10;k3Lx/UcPnnrmvWRyC3bSQhDsUA0Euy65ho0pMkwMgh3q0Kpgl4hkf+fu2dFOnVSzS6X5TIr7EyDb&#10;d4W9DBcz/SkYN/zLncdnIs+Habw4NsyMrJtvvYODYIdK/K0hwb75N89Y51svK51HJPeOpL8aV/36&#10;M9sV6tsSfnvomC35vpXtzwkIdoARwxXsB6+l8jJSz+cL5dXBl72XYphv+M2DZ68u5WaEjFUvwl2G&#10;kZFhdWS/yv+X/50mC1CMlQh2GSam+O/pnz+8/75v3gsGwb7GINihGgj2PPn0tu4xqyLDxCDYoQ4t&#10;C/arBIhkkefv3nn83+eC/Fh+fvfx/yXSXeS8++9xyJZ59Xr0C05Frvuq0odpHaxEUe0fBDtUYmnB&#10;Pi2GY/Nvu8O5HBPZcxnvrV4fsluhPh9yZle+H9oeu5+Tl7P6PmcqCHaohFXBfuzlpiWHhvFmmN+x&#10;seBLMMw3y8tbGbcdarAWwS7rOa1yUeSlqr75LxQE+xqDYIdqINgz5vb5jY/fTG/4ZR8mBsEOdehC&#10;sA8RcX1qyBjh5LAxEfnrn/79/z5NNohj46q/c/fM22GeKt4vfN85GQQ7VMKiYP+v/+vrrc7n/PNb&#10;CRh73SeZ558LHVddhPr0EcfS2y0oCHaohFHB/lTGQPdVX8sLSD2fLx+pFK8sq4f5qiU7gh1qsBrB&#10;XmEcdmGYl6WXnSLY1xgEO1QDwV4iaUIq+zAxCHaoQy+C/SqBUjmHaI8dIkaWzbvMQ44NdZM8VAyC&#10;HSqxqCh+/uSqw+WGZpn+fS69T1SKX70M9dDndsdzF64q4ncE9MHhYU5IerNBsEMlDAr2vd+9VI/L&#10;sDBS1S6i2/Odmql6jQ988enBINihBisS7FWco7GXnSLY1xgEO1QDwV4qlzc+/kncY1fZh4lBsEMd&#10;uhPsQ6ZhWIJ+Q6NoDx86Zju/fXuaTBDv/PTR57vLusmhCvYNx+T8wSDYoRJ/u3Al9qYCfS7Y51Xp&#10;Us0+//w880p3Eem+z+wONzOfz658Pyjpd4aHEcyPvy5BsEMlTAn2Z6/PfVXrgohi73eWyLCctcS1&#10;bI+vvnt94V2OgCDYoQbrGSLmwVVxQGkMDRODYF9jEOxQDQR72cSOzf7pmy+900kKgh3q0KNgv8qw&#10;bqfE9QapRndjrXtF+oH89LcfT18P4uBwL4Ei3PvdY0GwQyWWFuyboVeuxPesql2QMdZ3vzN9bkse&#10;HxLec1kvzCX6rnz3yvxheXaHkTlRVW8nCHaohBnB/uzVpbyUc1qsPWTIGO/3FsyxceJzItvFN/+Q&#10;INihBgj2/AzzszJMDIJ9jUGwQzUQ7OUj0jyUT3/yuXcaSUGwQx26Fuyb3Hn08p27j69eYngMeXGp&#10;vNjUK9R3Mkz77/76p3//b6evBjFK9mGb33l8IZX2Mi67/Nv056NEDxWDYIdKLC3Yt6rQRZLvCPZD&#10;Ly6dV5+LAPd+5vk3e+2AubDfE+demf9k70XG85ekmg6CHSphRbB/9d3rgy8ed8u4/NAw/lSqZh/m&#10;lTQeO4IdaoBgz88/f3j/fd8yLBAE+xqDYIdqINgrJfAFqFmHiUGwQx1WIdiniNAOFe2CDAFzuqo9&#10;bpgYLVH7C8EOlVhasMv8p0URwf4yWLDPqs8PfWbIXid2s74i86d/usK3LXZfuCoV8Yeq5c0FwQ6V&#10;sCLYpUJ9WqQ9hr+f7X7eYIpe+1NvMiDYoQYI9vwYGocdwb7GINihGgj2mrkMkuy/vH3h+W5CEOxQ&#10;hzUJ9nliRLtUqR+S7cO0/m76WBUODjPjC4IdKuGTyjUzH9/cjaO+I9gPjcE+rz4f/v/T3b9LfC84&#10;Hf59+ux+Zfr13zbxVK8flvn2gmCHSlgaImZapC1EEJutXt+NVLN/+0NwOycWmbZ3vkeCYIcarEWw&#10;D6naxjcyDjuCfY1BsEM1EOy1c/rlp79882znO4lBsEMd1ivYz47/lg/wV3/1P//Ne//hy/8ow8gM&#10;0/k7J9ojx2LXIjcHdtfHGwQ7VGJpwT6X2E5ehwj2HXE8/JtfsM+q3DfI/E79bZPd6nVh9zOmg2CH&#10;StgQ7K9eyjjjX3/7L1tDP41jj7966f+O4Tx7fb67LjlI2VcIdqjBWgT7P314v9gNNB9//PDBS99y&#10;VA6CfY1BsEM1EOzL5JhkFzHu+050EOxQhzUK9nfvPDo4vmosUt0uwn36v1UIrmJHsEMlFhfsu0PC&#10;PP/mYv5i0quXn25n6/HqQ9LbJ8g3w7vsjr8uuCFqrr6/X71+aKx3s0GwQyUWF+zPXl3uymhXte77&#10;bHt5mlu0x95wQLBDDdYi2GVc9GmVqzDM08KLThHsawyCHaqBYF8uhyR7tnHYEexQh5VWsDf/+3rn&#10;p48+96zXdhDsUInFBfuQuVCXF43O/7+wO+b57tAvhwT7AYkuL1L1iue5YP/Vi3/YE0rNvNx0EwQ7&#10;VMJABbt3TOPh31sYdz00Z7lEu0xrZ9pHg2CHGqxFsMu46NMqV8HIi04R7GsMgh2qgWBfNocke5Zx&#10;2BHsUIe1CfZ37zy+lArwafWDiP18DVwVu2f9toJgh0pYEOwi1afFcRXre4JdxmY/8Hlhu/L8OtOf&#10;t5B/n4/7Pmcm6r2yToT1ZtpNBMEOlVhSsH/13esLmf+0KFfIv8nffN9pPOqK9mEaCHYwxxoE+/cf&#10;Pqh+XTayXRHsawyCHaqBYF86lzc+/ov9xmmWcdgR7FCH9Qn2uOFh3rl7dkukvPu+DMty59FL2WZS&#10;QZ46jnsuTu47BDtUwoJgH+IV2ht2h4nZHT99V8C7zzz/5mL68xVSle77/obhb0+H7XHpq15vbngY&#10;CYIdKrGkYP/y2x+8/Xf5d9/ne8lX371+kfoy1Nhtg2CHGqxCsH9wv7pvfPGL+7d8y1I5CPY1BsEO&#10;1UCwG8jtvc53nnHYEexQh7UJdhHj06qfZBzr/NFL33S24qT747Pawv3du48+8y7PJgh2qIQJwb4z&#10;DruPeZX67tAvUtG+NT2X/THUNy9M9Q0dIwx/e7o7/MwG9wLWvXkYD4IdKrHoEDHPXl3uVrBLhbf8&#10;u/fzveXZ6/NY0Y5gB4usQLBf1h4eRpB5epaldhDsawyCHaqBYLeRT998Oe2RkSzjsCPYoQ5rE+xD&#10;gn5bItel2t3z/dOpJNyHeb2/N+95EOxQCROCfcgh6b1hLtF3P+uT3z5RLtPwVbZvkKFjDsp3I9sp&#10;Kgh2qMRygt29rPPsy29fPxCpLv8rMnj4t6fbn1tBnr0+F3G+e7PBBy85BYv0Ltj/6cP7SU+caEGw&#10;k8WCYIdqINgtZbsT/svb557PRATBDnVYXQX73bOjAm5Dzu0iol4q539+9yxr55IKdrCCGXE8LMe0&#10;SF7cMDHPn1zKZ3cl+O4QMhLfMDAyD6mEn/7vHsck/6EXqZoOgh0qsYhgf/b6fFcmy7Ap3s+uLLId&#10;RLbvinHZXilD5yDYoQadC/aoYS5zgmAniwXBDtVAsNvKx29eNxzV47Aj2KEOqxLsdx4frDqdI2La&#10;+/0MceO5j9v8fc3LU4OGr0GwQyWsCPZjleUbNmOt+0S4fP9qes+fXPo+M/zt4BAwp9iafitBsEMl&#10;lhDsUq0+zf6K3z371/d9n111ZKicZ6/Px6QNm4Nghxp0LNgv//g39xf9DXmWqXYQ7GsMgh2qgWA3&#10;ltl47Opx2BHsUId1CfZHB6tON0ilufe7pXLn8cWmwj1kSBkR6/K5oOFrEOxQCSuCXSJjpE+L5UWG&#10;cJHPeQX71otO98dfF+TfD73g9Bibl6M2FwQ7VGIBwe69RsYOfULCgmCHGnQq2C//+cP7i7oBXnJK&#10;FguCHaqBYLeXT2+Pj6erx2FHsEMdVibYn06r7aW6XD8UN4b7sF+GOPE+5d07j89dBbzvO74g2KES&#10;lgT7kKO/881Y617BPhuH/ZBEF+F8bBiYQxjbRuFBsEMlagv23aFhBHnRp++zRB8EO9SgR8G+1Ljr&#10;c6R63rdslYNgX2MQ7FANBLvFXN74+C/Gjrdq/yDYoQ7rEuyHhfPJ8cxbDIIdKmFNHh8T4Jux1uV/&#10;p3+6YvO3Y2OshwxD46PJ8dclCHaoRG3BLjJ9mrVD5v/Vd68vfJ8l+iDYoQa9CfbvP7hvwi0a2a4I&#10;9jUGwQ7VQLDbzKe3x8fKP33zpffvQUGwQx3WJNilCnxa7S3MVK7nDoIdKmFNsJ8aI10kuU+wC/K3&#10;Q8PMiLhPEc4yrybHX5cg2KEStQS7e4nps399fzP++jTm+pkbX9zzeZInCHaoQUeC/dJC5foGWRbP&#10;MtYOgn2NQbBDNRDshuPGYFe86BTBDnVYu2AXCe37bBdBsEMlrAn2YXkOd8IGRMAfEuyyLtN/7iGC&#10;PWX89fnQM80FwQ6VqFbB/uxft37DIn5TX9xJwoNghxp0ItgXH3N9l+8/uP+ZZzlrB8G+xiDYoRoI&#10;druRKvZRsvv/fjIIdqjDWoeIkZeFBr0otOUg2KES5gT7kF/9/uuDlV+H5LqQMr76KbZfntpYEOxQ&#10;iVqC/etv/2XvNz78+9nu50jeINihBq0L9u8/fHAu451Pq2OGYdle7C7rAkGwrzEIdqjGL2+f++Us&#10;MZBxLHb/307n4594H08HyE3XFdy7ufPIjav887tnb8kLQ72f6SkIdqiERcE+LNNlCVkeixvXfVgW&#10;7zK2EAQ7VMQnZrPm2eu949m92JQK9uLx3dgAyE3Dgv1SqsRf/OL+wQKApZBlkuXbWd7q+f6jB4ff&#10;gfNjBHu3QbBDNVRjfJMK+WRI2lMGmxelAhSm2/HHD+XOo5fv3nl86f1bZzk05jxAbgwPgfJ0WsTF&#10;MHnzISLHXvgKkJsKonvrxjNyvV7kCYVpswMUY5LBXkFrNh8+eGmxan2DlZsWUt0/LdI+P0awdxsE&#10;O1RDNcY3KR4ZJibpJsjtw3dnATLz3t3H7++KWdJNGGoKquCqtD1y1kJ+9eIfFu20SgW4b7kayuI3&#10;KWA9uBeQeuRsvrx6KVJdZO+Xz159hlyvFM+TAwAlaEywm61an2Nk/HXJi2mR9vnRrbfPfHKWtJ8f&#10;3XybDi3UQTMECakTNxa759+P5dOfcJMOqiFjkXvELGk8UqX/zt0znoSBavz6+TcXHjm7fBYc4qTp&#10;l5tOSXmpK0AqrqLcJ2gz56vvXl/4/p0UC0PWQTW+/+jBU4+ctZRLWUbrYn2Dq7D3r0fVHH3xq0hY&#10;n5wl7efGzb+kQwv1SBG4pGZih4i5vPHxTR6hhKp0/7LPNYbx16EylodCWUIST2OvN129LjdNjr0Q&#10;FiA3UlmO/O4sz15d8oJTqInpcdiNDwezi0ht73pUjgwPc/yGxM37b/z41r1Ln6AlTYdxCqEuImNl&#10;SBG/rCXN5d9RKQbVkSr2tYxLvorceXwh+3TavQDVMCuUF3jhqeUbDqGheh2W4MtvXz/wilrSZGQo&#10;nmnXAlTjjx89ONuVtIvmwwcvZaiVafGaYVj2F3vrUj+XctNkWqTDUMXeW+5d/ujmvdM7HiA3H//k&#10;gV/WksZCxSksxnuMxd5TkGKwCCKxfaLWRCoOFTNVr196l6OR/PoP39AmgcX43Xevz3ZFLWkvMqb+&#10;tEsBqvP9Rw8uPLK2Zi5bq1if8+IX92951ql6vv/gfvjwuT++de+FX9aS1sLLTWFRPn7zrRu/vH3u&#10;kbbEfi5vfHqb6g5YnHd++uhzj6wljUSeQnj37iPOJbAo//V/ff3AsFyu8sLOv/3DkxeeeTeTXz//&#10;5iVDw8DSfPntD5/7pC1pJk9lyJ9pdwJUR8S2DC3ik7aFIy8v/VwE9bQoTSLr4Fm3mkl7CeyPb977&#10;zCdsSSuRynVebApGkBdk+iUusZhP33zpXlYLYISf3z17S4YY8QlcYjh3Hr2UfTftRoBFcRXcf/jm&#10;6a64tZDSw540PTSM3BgZlh+5DlaQsbt/9+z1uUfeEqt59uryd8/+FTcCZhBJ65G3ueOq1ZOEsEEW&#10;H8deW/n/5zd/9tYo2u+9+NGtexfEet4+d08fDPtMxtOfdiOAHWQsb5Htn95+SoxFhoKRinV56gDA&#10;KFIJLdLWK3OJibhx84d9JPuKMdfBIiKz//YP3zyVl2Xuydyl8vzJ5a9e/EOR66/x6v3Dccv85EWp&#10;7QKgRYTt79ywMa9eyktQia3ITZDhf1989e0Pn1C1DhZx1ewf3P88U0X7pQw/M03rhbwItAepPkfW&#10;y61jzQzbc/jfpyL3w7fnjRv/f6jAOwSvCyR/AAAAAElFTkSuQmCCUEsDBBQABgAIAAAAIQA6mt6F&#10;4AAAAAgBAAAPAAAAZHJzL2Rvd25yZXYueG1sTI9Ba8JAEIXvhf6HZQq96SaNtTbNRkTankSoFsTb&#10;mB2TYHY3ZNck/vtOT+1l4PEeb76XLUfTiJ46XzurIJ5GIMgWTte2VPC9/5gsQPiAVmPjLCm4kYdl&#10;fn+XYardYL+o34VScIn1KSqoQmhTKX1RkUE/dS1Z9s6uMxhYdqXUHQ5cbhr5FEVzabC2/KHCltYV&#10;FZfd1Sj4HHBYJfF7v7mc17fj/nl72MSk1OPDuHoDEWgMf2H4xWd0yJnp5K5We9EomCSvvCUo4Mv2&#10;4mU+A3HiXBLNQOaZ/D8g/wEAAP//AwBQSwMEFAAGAAgAAAAhAK7EtbPPAAAAKwIAABkAAABkcnMv&#10;X3JlbHMvZTJvRG9jLnhtbC5yZWxzvJHBagIxEIbvBd8hzN3N7goixawXKXgt9gGGZDYb3UxCkpb6&#10;9g0USgXFm8eZ4f/+D2a7+/az+KKUXWAFXdOCINbBOLYKPo5vyw2IXJANzoFJwYUy7IbFy/adZiw1&#10;lCcXs6gUzgqmUuKrlFlP5DE3IRLXyxiSx1LHZGVEfUZLsm/btUz/GTBcMcXBKEgHswJxvMTa/Jgd&#10;xtFp2gf96YnLjQrpfO2uQEyWigJPxuHvctVEtiBvO/TPceibU6S7Et1zJLo/CXn14uEHAAD//wMA&#10;UEsBAi0AFAAGAAgAAAAhANDgc88UAQAARwIAABMAAAAAAAAAAAAAAAAAAAAAAFtDb250ZW50X1R5&#10;cGVzXS54bWxQSwECLQAUAAYACAAAACEAOP0h/9YAAACUAQAACwAAAAAAAAAAAAAAAABFAQAAX3Jl&#10;bHMvLnJlbHNQSwECLQAUAAYACAAAACEAsVuY6NoDAAApDAAADgAAAAAAAAAAAAAAAABEAgAAZHJz&#10;L2Uyb0RvYy54bWxQSwECLQAKAAAAAAAAACEAjVjcr0sQAABLEAAAFQAAAAAAAAAAAAAAAABKBgAA&#10;ZHJzL21lZGlhL2ltYWdlMS5qcGVnUEsBAi0ACgAAAAAAAAAhALHn1d6lBwAApQcAABUAAAAAAAAA&#10;AAAAAAAAyBYAAGRycy9tZWRpYS9pbWFnZTIuanBlZ1BLAQItAAoAAAAAAAAAIQA3RIMHyckAAMnJ&#10;AAAUAAAAAAAAAAAAAAAAAKAeAABkcnMvbWVkaWEvaW1hZ2UzLnBuZ1BLAQItABQABgAIAAAAIQA6&#10;mt6F4AAAAAgBAAAPAAAAAAAAAAAAAAAAAJvoAABkcnMvZG93bnJldi54bWxQSwECLQAUAAYACAAA&#10;ACEArsS1s88AAAArAgAAGQAAAAAAAAAAAAAAAACo6QAAZHJzL19yZWxzL2Uyb0RvYy54bWwucmVs&#10;c1BLBQYAAAAACAAIAAICAACu6gAAAAA=&#10;">
                <v:group id="Group 81" o:spid="_x0000_s1027" style="position:absolute;left:-5732;top:-333;width:28471;height:8279" coordorigin="-2336,-1049" coordsize="28473,8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GwwAAANsAAAAPAAAAZHJzL2Rvd25yZXYueG1sRI9Bi8Iw&#10;FITvgv8hPGFvmlZZkWoUEZU9iKAuLN4ezbMtNi+liW399xtB8DjMzDfMYtWZUjRUu8KygngUgSBO&#10;rS44U/B72Q1nIJxH1lhaJgVPcrBa9nsLTLRt+UTN2WciQNglqCD3vkqkdGlOBt3IVsTBu9naoA+y&#10;zqSusQ1wU8pxFE2lwYLDQo4VbXJK7+eHUbBvsV1P4m1zuN82z+vl+/h3iEmpr0G3noPw1PlP+N3+&#10;0QpmMby+hB8gl/8AAAD//wMAUEsBAi0AFAAGAAgAAAAhANvh9svuAAAAhQEAABMAAAAAAAAAAAAA&#10;AAAAAAAAAFtDb250ZW50X1R5cGVzXS54bWxQSwECLQAUAAYACAAAACEAWvQsW78AAAAVAQAACwAA&#10;AAAAAAAAAAAAAAAfAQAAX3JlbHMvLnJlbHNQSwECLQAUAAYACAAAACEAanvyBs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8" type="#_x0000_t75" alt="CEWO_logo_inline_LowRes.jpg" style="position:absolute;left:-2336;top:-1049;width:28472;height:6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0xSCwwAAANsAAAAPAAAAZHJzL2Rvd25yZXYueG1sRI/RisIw&#10;FETfBf8hXME3TVVcl65RRBFchAWrH3Bp7jZdm5vSRK379UYQfBxm5gwzX7a2EldqfOlYwWiYgCDO&#10;nS65UHA6bgefIHxA1lg5JgV38rBcdDtzTLW78YGuWShEhLBPUYEJoU6l9Lkhi37oauLo/brGYoiy&#10;KaRu8BbhtpLjJPmQFkuOCwZrWhvKz9nFKvj3vlyv/r7zaTB6tP85tZvt/qBUv9euvkAEasM7/Grv&#10;tILZBJ5f4g+QiwcAAAD//wMAUEsBAi0AFAAGAAgAAAAhANvh9svuAAAAhQEAABMAAAAAAAAAAAAA&#10;AAAAAAAAAFtDb250ZW50X1R5cGVzXS54bWxQSwECLQAUAAYACAAAACEAWvQsW78AAAAVAQAACwAA&#10;AAAAAAAAAAAAAAAfAQAAX3JlbHMvLnJlbHNQSwECLQAUAAYACAAAACEAetMUgsMAAADbAAAADwAA&#10;AAAAAAAAAAAAAAAHAgAAZHJzL2Rvd25yZXYueG1sUEsFBgAAAAADAAMAtwAAAPcCAAAAAA==&#10;">
                    <v:imagedata r:id="rId18" o:title="CEWO_logo_inline_LowRes"/>
                  </v:shape>
                  <v:shape id="Picture 77" o:spid="_x0000_s1029" type="#_x0000_t75" style="position:absolute;left:-2336;top:5365;width:26396;height:1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shdwQAAANsAAAAPAAAAZHJzL2Rvd25yZXYueG1sRI9Pi8Iw&#10;FMTvC36H8IS9rakeVKpRirKgB2H9d380z7bYvIQkW7vf3iwIHoeZ+Q2zXPemFR350FhWMB5lIIhL&#10;qxuuFFzO319zECEia2wtk4I/CrBeDT6WmGv74CN1p1iJBOGQo4I6RpdLGcqaDIaRdcTJu1lvMCbp&#10;K6k9PhLctHKSZVNpsOG0UKOjTU3l/fRrFHguLseN/DnMq/10W0Rnrp2bKPU57IsFiEh9fIdf7Z1W&#10;MJvB/5f0A+TqCQAA//8DAFBLAQItABQABgAIAAAAIQDb4fbL7gAAAIUBAAATAAAAAAAAAAAAAAAA&#10;AAAAAABbQ29udGVudF9UeXBlc10ueG1sUEsBAi0AFAAGAAgAAAAhAFr0LFu/AAAAFQEAAAsAAAAA&#10;AAAAAAAAAAAAHwEAAF9yZWxzLy5yZWxzUEsBAi0AFAAGAAgAAAAhADQyyF3BAAAA2wAAAA8AAAAA&#10;AAAAAAAAAAAABwIAAGRycy9kb3ducmV2LnhtbFBLBQYAAAAAAwADALcAAAD1AgAAAAA=&#10;">
                    <v:imagedata r:id="rId19" o:title="ColorPalette_symbolsOnly"/>
                  </v:shape>
                </v:group>
                <v:shape id="Graphic 11" o:spid="_x0000_s1030" type="#_x0000_t75" style="position:absolute;left:35952;top:1577;width:16453;height:3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vaYwQAAANsAAAAPAAAAZHJzL2Rvd25yZXYueG1sRE9Na8JA&#10;EL0X+h+WEXoputGDtDGr2EKh18Qq9DZkxySanQ27a4z+elcQvM3jfU62GkwrenK+saxgOklAEJdW&#10;N1wp+Nv8jD9A+ICssbVMCi7kYbV8fckw1fbMOfVFqEQMYZ+igjqELpXSlzUZ9BPbEUdub53BEKGr&#10;pHZ4juGmlbMkmUuDDceGGjv6rqk8FiejwBZFv9252SEvP9mt309f7fU/V+ptNKwXIAIN4Sl+uH91&#10;nD+F+y/xALm8AQAA//8DAFBLAQItABQABgAIAAAAIQDb4fbL7gAAAIUBAAATAAAAAAAAAAAAAAAA&#10;AAAAAABbQ29udGVudF9UeXBlc10ueG1sUEsBAi0AFAAGAAgAAAAhAFr0LFu/AAAAFQEAAAsAAAAA&#10;AAAAAAAAAAAAHwEAAF9yZWxzLy5yZWxzUEsBAi0AFAAGAAgAAAAhAGTi9pjBAAAA2wAAAA8AAAAA&#10;AAAAAAAAAAAABwIAAGRycy9kb3ducmV2LnhtbFBLBQYAAAAAAwADALcAAAD1AgAAAAA=&#10;">
                  <v:imagedata r:id="rId20" o:title="" cropbottom="23535f"/>
                </v:shape>
                <w10:wrap type="tight"/>
              </v:group>
            </w:pict>
          </mc:Fallback>
        </mc:AlternateContent>
      </w:r>
    </w:p>
    <w:p w14:paraId="53C7E241" w14:textId="77777777" w:rsidR="00F91267" w:rsidRDefault="00F91267" w:rsidP="005B0AA3">
      <w:pPr>
        <w:numPr>
          <w:ilvl w:val="1"/>
          <w:numId w:val="0"/>
        </w:numPr>
        <w:contextualSpacing/>
        <w:jc w:val="center"/>
        <w:rPr>
          <w:rFonts w:eastAsiaTheme="majorEastAsia" w:cstheme="majorBidi"/>
          <w:b/>
          <w:iCs/>
          <w:color w:val="2E74B5" w:themeColor="accent1" w:themeShade="BF"/>
          <w:spacing w:val="15"/>
          <w:sz w:val="32"/>
          <w:szCs w:val="32"/>
        </w:rPr>
      </w:pPr>
    </w:p>
    <w:p w14:paraId="585C00A4" w14:textId="494E16A7" w:rsidR="005B0AA3" w:rsidRDefault="005B0AA3" w:rsidP="005B0AA3">
      <w:pPr>
        <w:numPr>
          <w:ilvl w:val="1"/>
          <w:numId w:val="0"/>
        </w:numPr>
        <w:contextualSpacing/>
        <w:jc w:val="center"/>
        <w:rPr>
          <w:rFonts w:eastAsiaTheme="majorEastAsia" w:cstheme="majorBidi"/>
          <w:b/>
          <w:iCs/>
          <w:color w:val="2E74B5" w:themeColor="accent1" w:themeShade="BF"/>
          <w:spacing w:val="15"/>
          <w:sz w:val="32"/>
          <w:szCs w:val="32"/>
        </w:rPr>
      </w:pPr>
      <w:r w:rsidRPr="00B55660">
        <w:rPr>
          <w:rFonts w:eastAsiaTheme="majorEastAsia" w:cstheme="majorBidi"/>
          <w:b/>
          <w:iCs/>
          <w:color w:val="2E74B5" w:themeColor="accent1" w:themeShade="BF"/>
          <w:spacing w:val="15"/>
          <w:sz w:val="32"/>
          <w:szCs w:val="32"/>
        </w:rPr>
        <w:t xml:space="preserve">Commonwealth Environmental </w:t>
      </w:r>
      <w:r w:rsidR="00EC4D89">
        <w:rPr>
          <w:rFonts w:eastAsiaTheme="majorEastAsia" w:cstheme="majorBidi"/>
          <w:b/>
          <w:iCs/>
          <w:color w:val="2E74B5" w:themeColor="accent1" w:themeShade="BF"/>
          <w:spacing w:val="15"/>
          <w:sz w:val="32"/>
          <w:szCs w:val="32"/>
        </w:rPr>
        <w:t>Water Office Monitoring, Evaluation and Research Project</w:t>
      </w:r>
      <w:r w:rsidR="00541E7C">
        <w:rPr>
          <w:rFonts w:eastAsiaTheme="majorEastAsia" w:cstheme="majorBidi"/>
          <w:b/>
          <w:iCs/>
          <w:color w:val="2E74B5" w:themeColor="accent1" w:themeShade="BF"/>
          <w:spacing w:val="15"/>
          <w:sz w:val="32"/>
          <w:szCs w:val="32"/>
        </w:rPr>
        <w:t>:</w:t>
      </w:r>
    </w:p>
    <w:p w14:paraId="5C916DB7" w14:textId="1DC833A7" w:rsidR="005B0AA3" w:rsidRPr="00B22680" w:rsidRDefault="00DE3CF4" w:rsidP="005B0AA3">
      <w:pPr>
        <w:numPr>
          <w:ilvl w:val="1"/>
          <w:numId w:val="0"/>
        </w:numPr>
        <w:contextualSpacing/>
        <w:jc w:val="center"/>
        <w:rPr>
          <w:rFonts w:eastAsiaTheme="majorEastAsia" w:cstheme="majorBidi"/>
          <w:iCs/>
          <w:color w:val="2E74B5" w:themeColor="accent1" w:themeShade="BF"/>
          <w:spacing w:val="15"/>
          <w:sz w:val="32"/>
          <w:szCs w:val="32"/>
        </w:rPr>
      </w:pPr>
      <w:r>
        <w:rPr>
          <w:rFonts w:eastAsiaTheme="majorEastAsia" w:cstheme="majorBidi"/>
          <w:iCs/>
          <w:color w:val="2E74B5" w:themeColor="accent1" w:themeShade="BF"/>
          <w:spacing w:val="15"/>
          <w:sz w:val="32"/>
          <w:szCs w:val="32"/>
        </w:rPr>
        <w:t>Lower Murray</w:t>
      </w:r>
    </w:p>
    <w:p w14:paraId="522AF306" w14:textId="136199A8" w:rsidR="005B0AA3" w:rsidRDefault="00541E7C" w:rsidP="005B0AA3">
      <w:pPr>
        <w:numPr>
          <w:ilvl w:val="1"/>
          <w:numId w:val="0"/>
        </w:numPr>
        <w:contextualSpacing/>
        <w:jc w:val="center"/>
        <w:rPr>
          <w:rFonts w:eastAsiaTheme="majorEastAsia" w:cstheme="majorBidi"/>
          <w:iCs/>
          <w:color w:val="2E74B5" w:themeColor="accent1" w:themeShade="BF"/>
          <w:spacing w:val="15"/>
          <w:sz w:val="32"/>
          <w:szCs w:val="32"/>
        </w:rPr>
      </w:pPr>
      <w:r>
        <w:rPr>
          <w:rFonts w:eastAsiaTheme="majorEastAsia" w:cstheme="majorBidi"/>
          <w:iCs/>
          <w:color w:val="2E74B5" w:themeColor="accent1" w:themeShade="BF"/>
          <w:spacing w:val="15"/>
          <w:sz w:val="32"/>
          <w:szCs w:val="32"/>
        </w:rPr>
        <w:t xml:space="preserve">2019-20 </w:t>
      </w:r>
      <w:r w:rsidR="005B0AA3">
        <w:rPr>
          <w:rFonts w:eastAsiaTheme="majorEastAsia" w:cstheme="majorBidi"/>
          <w:iCs/>
          <w:color w:val="2E74B5" w:themeColor="accent1" w:themeShade="BF"/>
          <w:spacing w:val="15"/>
          <w:sz w:val="32"/>
          <w:szCs w:val="32"/>
        </w:rPr>
        <w:t>Technical</w:t>
      </w:r>
      <w:r w:rsidR="005B0AA3" w:rsidRPr="00B22680">
        <w:rPr>
          <w:rFonts w:eastAsiaTheme="majorEastAsia" w:cstheme="majorBidi"/>
          <w:iCs/>
          <w:color w:val="2E74B5" w:themeColor="accent1" w:themeShade="BF"/>
          <w:spacing w:val="15"/>
          <w:sz w:val="32"/>
          <w:szCs w:val="32"/>
        </w:rPr>
        <w:t xml:space="preserve"> Report</w:t>
      </w:r>
      <w:r w:rsidR="00EC4D89">
        <w:rPr>
          <w:rFonts w:eastAsiaTheme="majorEastAsia" w:cstheme="majorBidi"/>
          <w:iCs/>
          <w:color w:val="2E74B5" w:themeColor="accent1" w:themeShade="BF"/>
          <w:spacing w:val="15"/>
          <w:sz w:val="32"/>
          <w:szCs w:val="32"/>
        </w:rPr>
        <w:t xml:space="preserve"> </w:t>
      </w:r>
    </w:p>
    <w:p w14:paraId="7A551D0F" w14:textId="56C7AF00" w:rsidR="00755BBC" w:rsidRPr="00B3181F" w:rsidRDefault="00755BBC" w:rsidP="005B0AA3">
      <w:pPr>
        <w:contextualSpacing/>
        <w:jc w:val="center"/>
        <w:rPr>
          <w:rFonts w:cs="Arial"/>
          <w:color w:val="44546A" w:themeColor="text2"/>
          <w:sz w:val="6"/>
          <w:szCs w:val="2"/>
        </w:rPr>
      </w:pPr>
    </w:p>
    <w:p w14:paraId="459167AB" w14:textId="77777777" w:rsidR="00B3181F" w:rsidRPr="00A67C76" w:rsidRDefault="00B3181F" w:rsidP="005B0AA3">
      <w:pPr>
        <w:contextualSpacing/>
        <w:jc w:val="center"/>
        <w:rPr>
          <w:rFonts w:cs="Arial"/>
          <w:color w:val="44546A" w:themeColor="text2"/>
          <w:sz w:val="24"/>
        </w:rPr>
      </w:pPr>
    </w:p>
    <w:p w14:paraId="02E23781" w14:textId="70AAEB3C" w:rsidR="005B0AA3" w:rsidRDefault="005B0AA3" w:rsidP="005B0AA3">
      <w:pPr>
        <w:contextualSpacing/>
        <w:jc w:val="center"/>
        <w:rPr>
          <w:rFonts w:cs="Arial"/>
          <w:color w:val="000000" w:themeColor="text1"/>
          <w:sz w:val="22"/>
          <w:szCs w:val="22"/>
        </w:rPr>
      </w:pPr>
      <w:r w:rsidRPr="002A3CE7">
        <w:rPr>
          <w:rFonts w:cs="Arial"/>
          <w:color w:val="000000" w:themeColor="text1"/>
          <w:sz w:val="22"/>
          <w:szCs w:val="22"/>
        </w:rPr>
        <w:t xml:space="preserve">A report prepared for the Commonwealth Environmental Water Office by the South Australian </w:t>
      </w:r>
      <w:r w:rsidRPr="00755BBC">
        <w:rPr>
          <w:rFonts w:cs="Arial"/>
          <w:color w:val="000000" w:themeColor="text1"/>
          <w:sz w:val="22"/>
          <w:szCs w:val="22"/>
        </w:rPr>
        <w:t>Research and Development Institute, Aquatic Sciences</w:t>
      </w:r>
    </w:p>
    <w:p w14:paraId="680F4612" w14:textId="77777777" w:rsidR="00755BBC" w:rsidRPr="00755BBC" w:rsidRDefault="00755BBC" w:rsidP="00B3181F">
      <w:pPr>
        <w:contextualSpacing/>
        <w:rPr>
          <w:rFonts w:cs="Arial"/>
          <w:color w:val="000000" w:themeColor="text1"/>
          <w:sz w:val="22"/>
          <w:szCs w:val="22"/>
        </w:rPr>
      </w:pPr>
    </w:p>
    <w:p w14:paraId="2BD95E23" w14:textId="77777777" w:rsidR="0007370B" w:rsidRPr="00755BBC" w:rsidRDefault="0007370B" w:rsidP="005B0AA3">
      <w:pPr>
        <w:contextualSpacing/>
        <w:jc w:val="center"/>
        <w:rPr>
          <w:rFonts w:cs="Arial"/>
          <w:color w:val="000000" w:themeColor="text1"/>
          <w:szCs w:val="22"/>
        </w:rPr>
      </w:pPr>
    </w:p>
    <w:p w14:paraId="2C908839" w14:textId="43C87FF2" w:rsidR="00541E7C" w:rsidRPr="00755BBC" w:rsidRDefault="00A253EC" w:rsidP="005B0AA3">
      <w:pPr>
        <w:contextualSpacing/>
        <w:jc w:val="center"/>
        <w:rPr>
          <w:i/>
          <w:noProof/>
          <w:lang w:eastAsia="en-AU"/>
        </w:rPr>
      </w:pPr>
      <w:r w:rsidRPr="00A253EC">
        <w:rPr>
          <w:noProof/>
        </w:rPr>
        <w:drawing>
          <wp:inline distT="0" distB="0" distL="0" distR="0" wp14:anchorId="44F75037" wp14:editId="566A2995">
            <wp:extent cx="5655728" cy="4149701"/>
            <wp:effectExtent l="0" t="0" r="2540"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cstate="email">
                      <a:extLst>
                        <a:ext uri="{28A0092B-C50C-407E-A947-70E740481C1C}">
                          <a14:useLocalDpi xmlns:a14="http://schemas.microsoft.com/office/drawing/2010/main"/>
                        </a:ext>
                      </a:extLst>
                    </a:blip>
                    <a:srcRect l="6819" r="6375" b="11670"/>
                    <a:stretch/>
                  </pic:blipFill>
                  <pic:spPr bwMode="auto">
                    <a:xfrm>
                      <a:off x="0" y="0"/>
                      <a:ext cx="5658086" cy="4151431"/>
                    </a:xfrm>
                    <a:prstGeom prst="rect">
                      <a:avLst/>
                    </a:prstGeom>
                    <a:noFill/>
                    <a:ln>
                      <a:noFill/>
                    </a:ln>
                    <a:extLst>
                      <a:ext uri="{53640926-AAD7-44D8-BBD7-CCE9431645EC}">
                        <a14:shadowObscured xmlns:a14="http://schemas.microsoft.com/office/drawing/2010/main"/>
                      </a:ext>
                    </a:extLst>
                  </pic:spPr>
                </pic:pic>
              </a:graphicData>
            </a:graphic>
          </wp:inline>
        </w:drawing>
      </w:r>
    </w:p>
    <w:p w14:paraId="52760FAF" w14:textId="2D000252" w:rsidR="00541E7C" w:rsidRDefault="00541E7C" w:rsidP="005B0AA3">
      <w:pPr>
        <w:tabs>
          <w:tab w:val="center" w:pos="4510"/>
          <w:tab w:val="left" w:pos="6205"/>
        </w:tabs>
        <w:contextualSpacing/>
        <w:jc w:val="center"/>
        <w:rPr>
          <w:noProof/>
          <w:lang w:eastAsia="en-AU"/>
        </w:rPr>
      </w:pPr>
    </w:p>
    <w:p w14:paraId="7465DF33" w14:textId="77777777" w:rsidR="00755BBC" w:rsidRPr="00755BBC" w:rsidRDefault="00755BBC" w:rsidP="005B0AA3">
      <w:pPr>
        <w:tabs>
          <w:tab w:val="center" w:pos="4510"/>
          <w:tab w:val="left" w:pos="6205"/>
        </w:tabs>
        <w:contextualSpacing/>
        <w:jc w:val="center"/>
        <w:rPr>
          <w:noProof/>
          <w:lang w:eastAsia="en-AU"/>
        </w:rPr>
      </w:pPr>
    </w:p>
    <w:p w14:paraId="11EFEE8F" w14:textId="7277866D" w:rsidR="00F91267" w:rsidRDefault="0071490A" w:rsidP="005B0AA3">
      <w:pPr>
        <w:tabs>
          <w:tab w:val="center" w:pos="4510"/>
          <w:tab w:val="left" w:pos="6205"/>
        </w:tabs>
        <w:contextualSpacing/>
        <w:jc w:val="center"/>
        <w:rPr>
          <w:color w:val="000000" w:themeColor="text1"/>
          <w:sz w:val="24"/>
          <w:szCs w:val="24"/>
        </w:rPr>
      </w:pPr>
      <w:r>
        <w:rPr>
          <w:color w:val="000000" w:themeColor="text1"/>
          <w:sz w:val="24"/>
          <w:szCs w:val="24"/>
        </w:rPr>
        <w:t>April</w:t>
      </w:r>
      <w:r w:rsidR="004F3EF6" w:rsidRPr="00755BBC">
        <w:rPr>
          <w:color w:val="000000" w:themeColor="text1"/>
          <w:sz w:val="24"/>
          <w:szCs w:val="24"/>
        </w:rPr>
        <w:t xml:space="preserve"> 2021</w:t>
      </w:r>
    </w:p>
    <w:p w14:paraId="3BE1D609" w14:textId="4D87C209" w:rsidR="005B0AA3" w:rsidRPr="00630FB0" w:rsidRDefault="00F91267" w:rsidP="005B0AA3">
      <w:pPr>
        <w:tabs>
          <w:tab w:val="center" w:pos="4510"/>
          <w:tab w:val="left" w:pos="6205"/>
        </w:tabs>
        <w:contextualSpacing/>
        <w:jc w:val="center"/>
        <w:rPr>
          <w:rFonts w:cs="Arial"/>
          <w:bCs/>
          <w:i/>
          <w:color w:val="002060"/>
          <w:spacing w:val="40"/>
          <w:sz w:val="24"/>
          <w:szCs w:val="24"/>
          <w:lang w:eastAsia="en-AU"/>
        </w:rPr>
      </w:pPr>
      <w:r>
        <w:rPr>
          <w:noProof/>
        </w:rPr>
        <w:drawing>
          <wp:anchor distT="0" distB="0" distL="114300" distR="114300" simplePos="0" relativeHeight="251660293" behindDoc="0" locked="0" layoutInCell="1" allowOverlap="1" wp14:anchorId="1285BA37" wp14:editId="364DD4E7">
            <wp:simplePos x="0" y="0"/>
            <wp:positionH relativeFrom="column">
              <wp:posOffset>4465320</wp:posOffset>
            </wp:positionH>
            <wp:positionV relativeFrom="paragraph">
              <wp:posOffset>12700</wp:posOffset>
            </wp:positionV>
            <wp:extent cx="1552463" cy="1000125"/>
            <wp:effectExtent l="0" t="0" r="0" b="0"/>
            <wp:wrapNone/>
            <wp:docPr id="23" name="Picture 59" descr="\\cluscbdfs02\USER30\SARDI\Inland Waters\MER 2019-2022\2019-20 Technical Report\report images\SARDI_Lockup_Full_Colour_RG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9" descr="\\cluscbdfs02\USER30\SARDI\Inland Waters\MER 2019-2022\2019-20 Technical Report\report images\SARDI_Lockup_Full_Colour_RGB.png"/>
                    <pic:cNvPicPr>
                      <a:picLocks noChangeAspect="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1552463" cy="1000125"/>
                    </a:xfrm>
                    <a:prstGeom prst="rect">
                      <a:avLst/>
                    </a:prstGeom>
                    <a:noFill/>
                    <a:ln>
                      <a:noFill/>
                    </a:ln>
                  </pic:spPr>
                </pic:pic>
              </a:graphicData>
            </a:graphic>
          </wp:anchor>
        </w:drawing>
      </w:r>
      <w:r w:rsidR="005B0AA3" w:rsidRPr="00630FB0">
        <w:rPr>
          <w:i/>
          <w:color w:val="002060"/>
          <w:sz w:val="24"/>
          <w:szCs w:val="24"/>
        </w:rPr>
        <w:br w:type="page"/>
      </w:r>
    </w:p>
    <w:p w14:paraId="61DCE51E" w14:textId="79D43CE1" w:rsidR="005B0AA3" w:rsidRPr="001F65AB" w:rsidRDefault="005B0AA3" w:rsidP="00BE0564">
      <w:pPr>
        <w:spacing w:line="240" w:lineRule="auto"/>
        <w:rPr>
          <w:rFonts w:cs="Arial"/>
          <w:b/>
          <w:bCs/>
          <w:color w:val="355F91"/>
          <w:szCs w:val="22"/>
        </w:rPr>
      </w:pPr>
      <w:r w:rsidRPr="006C4E7D">
        <w:rPr>
          <w:rFonts w:cs="Arial"/>
          <w:b/>
          <w:bCs/>
          <w:color w:val="355F91"/>
          <w:szCs w:val="22"/>
        </w:rPr>
        <w:lastRenderedPageBreak/>
        <w:t>Ye, Q.</w:t>
      </w:r>
      <w:r w:rsidRPr="006C4E7D">
        <w:rPr>
          <w:rFonts w:cs="Arial"/>
          <w:b/>
          <w:bCs/>
          <w:color w:val="355F91"/>
          <w:szCs w:val="22"/>
          <w:vertAlign w:val="superscript"/>
        </w:rPr>
        <w:t>1</w:t>
      </w:r>
      <w:r w:rsidRPr="006C4E7D">
        <w:rPr>
          <w:rFonts w:cs="Arial"/>
          <w:b/>
          <w:bCs/>
          <w:color w:val="355F91"/>
          <w:szCs w:val="22"/>
        </w:rPr>
        <w:t>, Giatas, G.</w:t>
      </w:r>
      <w:r w:rsidRPr="006C4E7D">
        <w:rPr>
          <w:rFonts w:cs="Arial"/>
          <w:b/>
          <w:bCs/>
          <w:color w:val="355F91"/>
          <w:szCs w:val="22"/>
          <w:vertAlign w:val="superscript"/>
        </w:rPr>
        <w:t>1</w:t>
      </w:r>
      <w:r w:rsidRPr="006C4E7D">
        <w:rPr>
          <w:rFonts w:cs="Arial"/>
          <w:b/>
          <w:bCs/>
          <w:color w:val="355F91"/>
          <w:szCs w:val="22"/>
        </w:rPr>
        <w:t xml:space="preserve">, </w:t>
      </w:r>
      <w:r w:rsidR="00906BCD" w:rsidRPr="006C4E7D">
        <w:rPr>
          <w:rFonts w:cs="Arial"/>
          <w:b/>
          <w:bCs/>
          <w:color w:val="355F91"/>
          <w:szCs w:val="22"/>
        </w:rPr>
        <w:t>Bice, C.</w:t>
      </w:r>
      <w:r w:rsidR="00906BCD" w:rsidRPr="006C4E7D">
        <w:rPr>
          <w:rFonts w:cs="Arial"/>
          <w:b/>
          <w:bCs/>
          <w:color w:val="355F91"/>
          <w:szCs w:val="22"/>
          <w:vertAlign w:val="superscript"/>
        </w:rPr>
        <w:t>1</w:t>
      </w:r>
      <w:r w:rsidR="00906BCD" w:rsidRPr="006C4E7D">
        <w:rPr>
          <w:rFonts w:cs="Arial"/>
          <w:b/>
          <w:bCs/>
          <w:color w:val="355F91"/>
          <w:szCs w:val="22"/>
        </w:rPr>
        <w:t xml:space="preserve">, </w:t>
      </w:r>
      <w:r w:rsidR="002B4901" w:rsidRPr="006C4E7D">
        <w:rPr>
          <w:rFonts w:cs="Arial"/>
          <w:b/>
          <w:bCs/>
          <w:color w:val="355F91"/>
          <w:szCs w:val="22"/>
        </w:rPr>
        <w:t>Brookes, J.</w:t>
      </w:r>
      <w:r w:rsidR="002B4901" w:rsidRPr="006C4E7D">
        <w:rPr>
          <w:rFonts w:cs="Arial"/>
          <w:b/>
          <w:bCs/>
          <w:color w:val="355F91"/>
          <w:szCs w:val="22"/>
          <w:vertAlign w:val="superscript"/>
        </w:rPr>
        <w:t>2</w:t>
      </w:r>
      <w:r w:rsidRPr="006C4E7D">
        <w:rPr>
          <w:rFonts w:cs="Arial"/>
          <w:b/>
          <w:bCs/>
          <w:color w:val="355F91"/>
          <w:szCs w:val="22"/>
        </w:rPr>
        <w:t xml:space="preserve">, </w:t>
      </w:r>
      <w:r w:rsidR="00CC1E80" w:rsidRPr="006C4E7D">
        <w:rPr>
          <w:rFonts w:cs="Arial"/>
          <w:b/>
          <w:bCs/>
          <w:color w:val="355F91"/>
          <w:szCs w:val="22"/>
        </w:rPr>
        <w:t>Furst, D.</w:t>
      </w:r>
      <w:r w:rsidR="00CC1E80" w:rsidRPr="006C4E7D">
        <w:rPr>
          <w:rFonts w:cs="Arial"/>
          <w:b/>
          <w:bCs/>
          <w:color w:val="355F91"/>
          <w:szCs w:val="22"/>
          <w:vertAlign w:val="superscript"/>
        </w:rPr>
        <w:t xml:space="preserve"> 2</w:t>
      </w:r>
      <w:r w:rsidR="00CC1E80" w:rsidRPr="006C4E7D">
        <w:rPr>
          <w:rFonts w:cs="Arial"/>
          <w:b/>
          <w:bCs/>
          <w:color w:val="355F91"/>
          <w:szCs w:val="22"/>
        </w:rPr>
        <w:t xml:space="preserve">, </w:t>
      </w:r>
      <w:r w:rsidRPr="006C4E7D">
        <w:rPr>
          <w:rFonts w:cs="Arial"/>
          <w:b/>
          <w:bCs/>
          <w:color w:val="355F91"/>
          <w:szCs w:val="22"/>
        </w:rPr>
        <w:t>Gibbs, M.</w:t>
      </w:r>
      <w:r w:rsidRPr="006C4E7D">
        <w:rPr>
          <w:rFonts w:cs="Arial"/>
          <w:b/>
          <w:bCs/>
          <w:color w:val="355F91"/>
          <w:szCs w:val="22"/>
          <w:vertAlign w:val="superscript"/>
        </w:rPr>
        <w:t>2,</w:t>
      </w:r>
      <w:r w:rsidR="00A47EFB" w:rsidRPr="006C4E7D">
        <w:rPr>
          <w:rFonts w:cs="Arial"/>
          <w:b/>
          <w:bCs/>
          <w:color w:val="355F91"/>
          <w:szCs w:val="22"/>
          <w:vertAlign w:val="superscript"/>
        </w:rPr>
        <w:t>3</w:t>
      </w:r>
      <w:r w:rsidRPr="006C4E7D">
        <w:rPr>
          <w:rFonts w:cs="Arial"/>
          <w:b/>
          <w:bCs/>
          <w:color w:val="355F91"/>
          <w:szCs w:val="22"/>
        </w:rPr>
        <w:t xml:space="preserve">, </w:t>
      </w:r>
      <w:r w:rsidR="00906BCD" w:rsidRPr="006C4E7D">
        <w:rPr>
          <w:rFonts w:cs="Arial"/>
          <w:b/>
          <w:bCs/>
          <w:color w:val="355F91"/>
          <w:szCs w:val="22"/>
        </w:rPr>
        <w:t>Nicol, J.</w:t>
      </w:r>
      <w:r w:rsidR="00906BCD" w:rsidRPr="006C4E7D">
        <w:rPr>
          <w:rFonts w:cs="Arial"/>
          <w:b/>
          <w:bCs/>
          <w:color w:val="355F91"/>
          <w:szCs w:val="22"/>
          <w:vertAlign w:val="superscript"/>
        </w:rPr>
        <w:t>1</w:t>
      </w:r>
      <w:r w:rsidR="00906BCD" w:rsidRPr="006C4E7D">
        <w:rPr>
          <w:rFonts w:cs="Arial"/>
          <w:b/>
          <w:bCs/>
          <w:color w:val="355F91"/>
          <w:szCs w:val="22"/>
        </w:rPr>
        <w:t>,</w:t>
      </w:r>
      <w:r w:rsidR="00CB5E0F">
        <w:rPr>
          <w:rFonts w:cs="Arial"/>
          <w:b/>
          <w:bCs/>
          <w:color w:val="355F91"/>
          <w:szCs w:val="22"/>
        </w:rPr>
        <w:t xml:space="preserve"> </w:t>
      </w:r>
      <w:r w:rsidR="002B4901" w:rsidRPr="006C4E7D">
        <w:rPr>
          <w:rFonts w:cs="Arial"/>
          <w:b/>
          <w:bCs/>
          <w:color w:val="355F91"/>
          <w:szCs w:val="22"/>
        </w:rPr>
        <w:t>Oliver, R.</w:t>
      </w:r>
      <w:r w:rsidR="002B4901" w:rsidRPr="006C4E7D">
        <w:rPr>
          <w:rFonts w:cs="Arial"/>
          <w:b/>
          <w:bCs/>
          <w:color w:val="355F91"/>
          <w:szCs w:val="22"/>
          <w:vertAlign w:val="superscript"/>
        </w:rPr>
        <w:t>2</w:t>
      </w:r>
      <w:r w:rsidR="002B4901" w:rsidRPr="006C4E7D">
        <w:rPr>
          <w:rFonts w:cs="Arial"/>
          <w:b/>
          <w:bCs/>
          <w:color w:val="355F91"/>
          <w:szCs w:val="22"/>
        </w:rPr>
        <w:t>, Shiel, R.</w:t>
      </w:r>
      <w:r w:rsidR="002B4901" w:rsidRPr="006C4E7D">
        <w:rPr>
          <w:rFonts w:cs="Arial"/>
          <w:b/>
          <w:bCs/>
          <w:color w:val="355F91"/>
          <w:szCs w:val="22"/>
          <w:vertAlign w:val="superscript"/>
        </w:rPr>
        <w:t>2,</w:t>
      </w:r>
      <w:r w:rsidR="00A47EFB" w:rsidRPr="006C4E7D">
        <w:rPr>
          <w:rFonts w:cs="Arial"/>
          <w:b/>
          <w:bCs/>
          <w:color w:val="355F91"/>
          <w:szCs w:val="22"/>
          <w:vertAlign w:val="superscript"/>
        </w:rPr>
        <w:t>4</w:t>
      </w:r>
      <w:r w:rsidR="002B4901" w:rsidRPr="006C4E7D">
        <w:rPr>
          <w:rFonts w:cs="Arial"/>
          <w:b/>
          <w:bCs/>
          <w:color w:val="355F91"/>
          <w:szCs w:val="22"/>
        </w:rPr>
        <w:t xml:space="preserve">, </w:t>
      </w:r>
      <w:proofErr w:type="spellStart"/>
      <w:r w:rsidR="002B4901" w:rsidRPr="006C4E7D">
        <w:rPr>
          <w:rFonts w:cs="Arial"/>
          <w:b/>
          <w:bCs/>
          <w:color w:val="355F91"/>
          <w:szCs w:val="22"/>
        </w:rPr>
        <w:t>Zampatti</w:t>
      </w:r>
      <w:proofErr w:type="spellEnd"/>
      <w:r w:rsidR="002B4901" w:rsidRPr="006C4E7D">
        <w:rPr>
          <w:rFonts w:cs="Arial"/>
          <w:b/>
          <w:bCs/>
          <w:color w:val="355F91"/>
          <w:szCs w:val="22"/>
        </w:rPr>
        <w:t>, B.</w:t>
      </w:r>
      <w:r w:rsidR="00A47EFB" w:rsidRPr="006C4E7D">
        <w:rPr>
          <w:rFonts w:cs="Arial"/>
          <w:b/>
          <w:bCs/>
          <w:color w:val="355F91"/>
          <w:szCs w:val="22"/>
          <w:vertAlign w:val="superscript"/>
        </w:rPr>
        <w:t>5</w:t>
      </w:r>
      <w:r w:rsidR="002B4901" w:rsidRPr="006C4E7D">
        <w:rPr>
          <w:rFonts w:cs="Arial"/>
          <w:b/>
          <w:bCs/>
          <w:color w:val="355F91"/>
          <w:szCs w:val="22"/>
        </w:rPr>
        <w:t xml:space="preserve">, </w:t>
      </w:r>
      <w:proofErr w:type="spellStart"/>
      <w:r w:rsidR="002B4901" w:rsidRPr="006C4E7D">
        <w:rPr>
          <w:rFonts w:cs="Arial"/>
          <w:b/>
          <w:bCs/>
          <w:color w:val="355F91"/>
          <w:szCs w:val="22"/>
        </w:rPr>
        <w:t>Bucater</w:t>
      </w:r>
      <w:proofErr w:type="spellEnd"/>
      <w:r w:rsidR="002B4901" w:rsidRPr="006C4E7D">
        <w:rPr>
          <w:rFonts w:cs="Arial"/>
          <w:b/>
          <w:bCs/>
          <w:color w:val="355F91"/>
          <w:szCs w:val="22"/>
        </w:rPr>
        <w:t>, L.</w:t>
      </w:r>
      <w:r w:rsidR="002B4901" w:rsidRPr="006C4E7D">
        <w:rPr>
          <w:rFonts w:cs="Arial"/>
          <w:b/>
          <w:bCs/>
          <w:color w:val="355F91"/>
          <w:szCs w:val="22"/>
          <w:vertAlign w:val="superscript"/>
        </w:rPr>
        <w:t>1</w:t>
      </w:r>
      <w:r w:rsidR="002B4901" w:rsidRPr="006C4E7D">
        <w:rPr>
          <w:rFonts w:cs="Arial"/>
          <w:b/>
          <w:bCs/>
          <w:color w:val="355F91"/>
          <w:szCs w:val="22"/>
        </w:rPr>
        <w:t xml:space="preserve">, </w:t>
      </w:r>
      <w:r w:rsidR="006C4E7D" w:rsidRPr="006C4E7D">
        <w:rPr>
          <w:rFonts w:cs="Arial"/>
          <w:b/>
          <w:bCs/>
          <w:color w:val="355F91"/>
          <w:szCs w:val="22"/>
        </w:rPr>
        <w:t>Deane, D.</w:t>
      </w:r>
      <w:r w:rsidR="006C4E7D" w:rsidRPr="006C4E7D">
        <w:rPr>
          <w:rFonts w:cs="Arial"/>
          <w:b/>
          <w:bCs/>
          <w:color w:val="355F91"/>
          <w:szCs w:val="22"/>
          <w:vertAlign w:val="superscript"/>
        </w:rPr>
        <w:t>2</w:t>
      </w:r>
      <w:r w:rsidR="006C4E7D" w:rsidRPr="006C4E7D">
        <w:rPr>
          <w:rFonts w:cs="Arial"/>
          <w:b/>
          <w:bCs/>
          <w:color w:val="355F91"/>
          <w:szCs w:val="22"/>
        </w:rPr>
        <w:t>,</w:t>
      </w:r>
      <w:r w:rsidR="002B4901" w:rsidRPr="006C4E7D">
        <w:rPr>
          <w:rFonts w:cs="Arial"/>
          <w:b/>
          <w:bCs/>
          <w:color w:val="355F91"/>
          <w:szCs w:val="22"/>
        </w:rPr>
        <w:t xml:space="preserve"> </w:t>
      </w:r>
      <w:proofErr w:type="spellStart"/>
      <w:r w:rsidRPr="006C4E7D">
        <w:rPr>
          <w:rFonts w:cs="Arial"/>
          <w:b/>
          <w:bCs/>
          <w:color w:val="355F91"/>
          <w:szCs w:val="22"/>
        </w:rPr>
        <w:t>Hipsey</w:t>
      </w:r>
      <w:proofErr w:type="spellEnd"/>
      <w:r w:rsidRPr="006C4E7D">
        <w:rPr>
          <w:rFonts w:cs="Arial"/>
          <w:b/>
          <w:bCs/>
          <w:color w:val="355F91"/>
          <w:szCs w:val="22"/>
        </w:rPr>
        <w:t>, M.</w:t>
      </w:r>
      <w:r w:rsidR="001229D2" w:rsidRPr="006C4E7D">
        <w:rPr>
          <w:rFonts w:cs="Arial"/>
          <w:b/>
          <w:bCs/>
          <w:color w:val="355F91"/>
          <w:szCs w:val="22"/>
          <w:vertAlign w:val="superscript"/>
        </w:rPr>
        <w:t>6</w:t>
      </w:r>
      <w:r w:rsidRPr="006C4E7D">
        <w:rPr>
          <w:rFonts w:cs="Arial"/>
          <w:b/>
          <w:bCs/>
          <w:color w:val="355F91"/>
          <w:szCs w:val="22"/>
        </w:rPr>
        <w:t xml:space="preserve">, </w:t>
      </w:r>
      <w:r w:rsidR="00BE0564">
        <w:rPr>
          <w:rFonts w:cs="Arial"/>
          <w:b/>
          <w:bCs/>
          <w:color w:val="355F91"/>
          <w:szCs w:val="22"/>
        </w:rPr>
        <w:t>Huang, P.</w:t>
      </w:r>
      <w:r w:rsidR="00BE0564" w:rsidRPr="00BE0564">
        <w:rPr>
          <w:rFonts w:cs="Arial Bold"/>
          <w:b/>
          <w:bCs/>
          <w:color w:val="355F91"/>
          <w:szCs w:val="22"/>
          <w:vertAlign w:val="superscript"/>
        </w:rPr>
        <w:t>6</w:t>
      </w:r>
      <w:r w:rsidR="00BE0564">
        <w:rPr>
          <w:rFonts w:cs="Arial"/>
          <w:b/>
          <w:bCs/>
          <w:color w:val="355F91"/>
          <w:szCs w:val="22"/>
        </w:rPr>
        <w:t xml:space="preserve">, </w:t>
      </w:r>
      <w:r w:rsidRPr="006C4E7D">
        <w:rPr>
          <w:rFonts w:cs="Arial"/>
          <w:b/>
          <w:bCs/>
          <w:color w:val="355F91"/>
          <w:szCs w:val="22"/>
        </w:rPr>
        <w:t>Lorenz, Z.</w:t>
      </w:r>
      <w:r w:rsidRPr="006C4E7D">
        <w:rPr>
          <w:rFonts w:cs="Arial"/>
          <w:b/>
          <w:bCs/>
          <w:color w:val="355F91"/>
          <w:szCs w:val="22"/>
          <w:vertAlign w:val="superscript"/>
        </w:rPr>
        <w:t>2</w:t>
      </w:r>
      <w:r w:rsidR="00BE0564">
        <w:rPr>
          <w:rFonts w:cs="Arial"/>
          <w:b/>
          <w:bCs/>
          <w:color w:val="355F91"/>
          <w:szCs w:val="22"/>
        </w:rPr>
        <w:t xml:space="preserve"> and Zhai, S.</w:t>
      </w:r>
      <w:r w:rsidR="00BE0564" w:rsidRPr="00BE0564">
        <w:rPr>
          <w:rFonts w:cs="Arial Bold"/>
          <w:b/>
          <w:bCs/>
          <w:color w:val="355F91"/>
          <w:szCs w:val="22"/>
          <w:vertAlign w:val="superscript"/>
        </w:rPr>
        <w:t>6</w:t>
      </w:r>
      <w:r w:rsidR="00BE0564">
        <w:rPr>
          <w:rFonts w:cs="Arial Bold"/>
          <w:b/>
          <w:bCs/>
          <w:color w:val="355F91"/>
          <w:szCs w:val="22"/>
          <w:vertAlign w:val="superscript"/>
        </w:rPr>
        <w:t xml:space="preserve"> </w:t>
      </w:r>
      <w:r w:rsidRPr="001F65AB">
        <w:rPr>
          <w:rFonts w:cs="Arial"/>
          <w:b/>
          <w:bCs/>
          <w:color w:val="355F91"/>
          <w:szCs w:val="22"/>
        </w:rPr>
        <w:t>(20</w:t>
      </w:r>
      <w:r w:rsidR="00AA0560">
        <w:rPr>
          <w:rFonts w:cs="Arial"/>
          <w:b/>
          <w:bCs/>
          <w:color w:val="355F91"/>
          <w:szCs w:val="22"/>
        </w:rPr>
        <w:t>2</w:t>
      </w:r>
      <w:r w:rsidR="006B5A2D">
        <w:rPr>
          <w:rFonts w:cs="Arial"/>
          <w:b/>
          <w:bCs/>
          <w:color w:val="355F91"/>
          <w:szCs w:val="22"/>
        </w:rPr>
        <w:t>1</w:t>
      </w:r>
      <w:r w:rsidRPr="001F65AB">
        <w:rPr>
          <w:rFonts w:cs="Arial"/>
          <w:b/>
          <w:bCs/>
          <w:color w:val="355F91"/>
          <w:szCs w:val="22"/>
        </w:rPr>
        <w:t xml:space="preserve">). </w:t>
      </w:r>
      <w:r w:rsidRPr="00DC734E">
        <w:rPr>
          <w:rFonts w:cs="Arial"/>
          <w:b/>
          <w:bCs/>
          <w:color w:val="355F91"/>
          <w:szCs w:val="22"/>
        </w:rPr>
        <w:t xml:space="preserve">Commonwealth Environmental Water Office </w:t>
      </w:r>
      <w:r w:rsidR="00541E7C">
        <w:rPr>
          <w:rFonts w:cs="Arial"/>
          <w:b/>
          <w:bCs/>
          <w:color w:val="355F91"/>
          <w:szCs w:val="22"/>
        </w:rPr>
        <w:t>Monitoring, Evaluation and Research</w:t>
      </w:r>
      <w:r w:rsidRPr="00DC734E">
        <w:rPr>
          <w:rFonts w:cs="Arial"/>
          <w:b/>
          <w:bCs/>
          <w:color w:val="355F91"/>
          <w:szCs w:val="22"/>
        </w:rPr>
        <w:t xml:space="preserve"> Project</w:t>
      </w:r>
      <w:r>
        <w:rPr>
          <w:rFonts w:cs="Arial"/>
          <w:b/>
          <w:bCs/>
          <w:color w:val="355F91"/>
          <w:szCs w:val="22"/>
        </w:rPr>
        <w:t>:</w:t>
      </w:r>
      <w:r w:rsidR="00DE3CF4">
        <w:rPr>
          <w:rFonts w:cs="Arial"/>
          <w:b/>
          <w:bCs/>
          <w:color w:val="355F91"/>
          <w:szCs w:val="22"/>
        </w:rPr>
        <w:t xml:space="preserve"> Lower Murray </w:t>
      </w:r>
      <w:r w:rsidR="00541E7C">
        <w:rPr>
          <w:rFonts w:cs="Arial"/>
          <w:b/>
          <w:bCs/>
          <w:color w:val="355F91"/>
          <w:szCs w:val="22"/>
        </w:rPr>
        <w:t xml:space="preserve">2019-20 </w:t>
      </w:r>
      <w:r w:rsidRPr="00DC734E">
        <w:rPr>
          <w:rFonts w:cs="Arial"/>
          <w:b/>
          <w:bCs/>
          <w:color w:val="355F91"/>
          <w:szCs w:val="22"/>
        </w:rPr>
        <w:t>Technical Report</w:t>
      </w:r>
      <w:r w:rsidRPr="001F65AB">
        <w:rPr>
          <w:rFonts w:cs="Arial"/>
          <w:b/>
          <w:bCs/>
          <w:color w:val="355F91"/>
          <w:szCs w:val="22"/>
        </w:rPr>
        <w:t xml:space="preserve">. A report prepared for </w:t>
      </w:r>
      <w:r>
        <w:rPr>
          <w:rFonts w:cs="Arial"/>
          <w:b/>
          <w:bCs/>
          <w:color w:val="355F91"/>
          <w:szCs w:val="22"/>
        </w:rPr>
        <w:t xml:space="preserve">the </w:t>
      </w:r>
      <w:r w:rsidRPr="001F65AB">
        <w:rPr>
          <w:rFonts w:cs="Arial"/>
          <w:b/>
          <w:bCs/>
          <w:color w:val="355F91"/>
          <w:szCs w:val="22"/>
        </w:rPr>
        <w:t>Commonwealth Environmental Water Office</w:t>
      </w:r>
      <w:r>
        <w:rPr>
          <w:rFonts w:cs="Arial"/>
          <w:b/>
          <w:bCs/>
          <w:color w:val="355F91"/>
          <w:szCs w:val="22"/>
        </w:rPr>
        <w:t xml:space="preserve"> by the</w:t>
      </w:r>
      <w:r w:rsidRPr="001F65AB">
        <w:rPr>
          <w:rFonts w:cs="Arial"/>
          <w:b/>
          <w:bCs/>
          <w:color w:val="355F91"/>
          <w:szCs w:val="22"/>
        </w:rPr>
        <w:t xml:space="preserve"> South Australian Research and Development Institute, Aquatic Sciences.</w:t>
      </w:r>
      <w:r w:rsidR="00BE0564" w:rsidRPr="00BE0564">
        <w:t xml:space="preserve"> </w:t>
      </w:r>
    </w:p>
    <w:p w14:paraId="724EA588" w14:textId="31D2BDA4" w:rsidR="005B0AA3" w:rsidRPr="00EC460F" w:rsidRDefault="005B0AA3" w:rsidP="005B0AA3">
      <w:pPr>
        <w:spacing w:after="0" w:line="240" w:lineRule="auto"/>
        <w:contextualSpacing/>
        <w:rPr>
          <w:rFonts w:cs="Arial"/>
          <w:bCs/>
          <w:sz w:val="18"/>
        </w:rPr>
      </w:pPr>
      <w:r w:rsidRPr="00EC460F">
        <w:rPr>
          <w:rFonts w:cs="Arial"/>
          <w:bCs/>
          <w:sz w:val="18"/>
          <w:vertAlign w:val="superscript"/>
        </w:rPr>
        <w:t>1</w:t>
      </w:r>
      <w:r w:rsidRPr="00EC460F">
        <w:rPr>
          <w:rFonts w:cs="Arial"/>
          <w:bCs/>
          <w:sz w:val="18"/>
        </w:rPr>
        <w:t xml:space="preserve"> South Australian Research and</w:t>
      </w:r>
      <w:r w:rsidR="00541E7C">
        <w:rPr>
          <w:rFonts w:cs="Arial"/>
          <w:bCs/>
          <w:sz w:val="18"/>
        </w:rPr>
        <w:t xml:space="preserve"> Development Institute (Aquatic</w:t>
      </w:r>
      <w:r w:rsidRPr="00EC460F">
        <w:rPr>
          <w:rFonts w:cs="Arial"/>
          <w:bCs/>
          <w:sz w:val="18"/>
        </w:rPr>
        <w:t xml:space="preserve"> Sciences)</w:t>
      </w:r>
    </w:p>
    <w:p w14:paraId="4E31595A" w14:textId="77777777" w:rsidR="005B0AA3" w:rsidRPr="00EC460F" w:rsidRDefault="005B0AA3" w:rsidP="005B0AA3">
      <w:pPr>
        <w:spacing w:after="0" w:line="240" w:lineRule="auto"/>
        <w:contextualSpacing/>
        <w:rPr>
          <w:rFonts w:cs="Arial"/>
          <w:bCs/>
          <w:sz w:val="18"/>
        </w:rPr>
      </w:pPr>
      <w:r w:rsidRPr="00EC460F">
        <w:rPr>
          <w:rFonts w:cs="Arial"/>
          <w:bCs/>
          <w:sz w:val="18"/>
          <w:vertAlign w:val="superscript"/>
        </w:rPr>
        <w:t>2</w:t>
      </w:r>
      <w:r w:rsidRPr="00EC460F">
        <w:rPr>
          <w:rFonts w:cs="Arial"/>
          <w:bCs/>
          <w:sz w:val="18"/>
        </w:rPr>
        <w:t xml:space="preserve"> The University of Adelaide</w:t>
      </w:r>
    </w:p>
    <w:p w14:paraId="0E619540" w14:textId="77777777" w:rsidR="00A47EFB" w:rsidRPr="00EC460F" w:rsidRDefault="00A47EFB" w:rsidP="00A47EFB">
      <w:pPr>
        <w:spacing w:after="0" w:line="240" w:lineRule="auto"/>
        <w:contextualSpacing/>
        <w:rPr>
          <w:rFonts w:cs="Arial"/>
          <w:bCs/>
          <w:sz w:val="18"/>
        </w:rPr>
      </w:pPr>
      <w:r w:rsidRPr="00EC460F">
        <w:rPr>
          <w:rFonts w:cs="Arial"/>
          <w:bCs/>
          <w:sz w:val="18"/>
          <w:vertAlign w:val="superscript"/>
        </w:rPr>
        <w:t xml:space="preserve">3 </w:t>
      </w:r>
      <w:r w:rsidRPr="00EC460F">
        <w:rPr>
          <w:rFonts w:cs="Arial"/>
          <w:bCs/>
          <w:sz w:val="18"/>
        </w:rPr>
        <w:t>Department for Environment and Water</w:t>
      </w:r>
    </w:p>
    <w:p w14:paraId="682D8B78" w14:textId="505A2468" w:rsidR="005B0AA3" w:rsidRPr="00EC460F" w:rsidRDefault="00A47EFB" w:rsidP="005B0AA3">
      <w:pPr>
        <w:spacing w:after="0" w:line="240" w:lineRule="auto"/>
        <w:contextualSpacing/>
        <w:rPr>
          <w:rFonts w:cs="Arial"/>
          <w:bCs/>
          <w:sz w:val="18"/>
        </w:rPr>
      </w:pPr>
      <w:r w:rsidRPr="00EC460F">
        <w:rPr>
          <w:rFonts w:cs="Arial"/>
          <w:bCs/>
          <w:sz w:val="18"/>
          <w:vertAlign w:val="superscript"/>
        </w:rPr>
        <w:t>4</w:t>
      </w:r>
      <w:r w:rsidR="005B0AA3" w:rsidRPr="00EC460F">
        <w:rPr>
          <w:rFonts w:cs="Arial"/>
          <w:bCs/>
          <w:sz w:val="18"/>
          <w:vertAlign w:val="superscript"/>
        </w:rPr>
        <w:t xml:space="preserve"> </w:t>
      </w:r>
      <w:r w:rsidR="005B0AA3" w:rsidRPr="00EC460F">
        <w:rPr>
          <w:rFonts w:cs="Arial"/>
          <w:bCs/>
          <w:sz w:val="18"/>
        </w:rPr>
        <w:t>Wetland Research and Management</w:t>
      </w:r>
    </w:p>
    <w:p w14:paraId="1BDF255C" w14:textId="55058536" w:rsidR="00A47EFB" w:rsidRPr="00EC460F" w:rsidRDefault="00A47EFB" w:rsidP="00A47EFB">
      <w:pPr>
        <w:spacing w:after="0" w:line="240" w:lineRule="auto"/>
        <w:contextualSpacing/>
        <w:rPr>
          <w:rFonts w:cs="Arial"/>
          <w:bCs/>
          <w:sz w:val="18"/>
        </w:rPr>
      </w:pPr>
      <w:r w:rsidRPr="00EC460F">
        <w:rPr>
          <w:rFonts w:cs="Arial"/>
          <w:bCs/>
          <w:sz w:val="18"/>
          <w:vertAlign w:val="superscript"/>
        </w:rPr>
        <w:t>5</w:t>
      </w:r>
      <w:r w:rsidRPr="00EC460F">
        <w:rPr>
          <w:rFonts w:cs="Arial"/>
          <w:bCs/>
          <w:sz w:val="18"/>
        </w:rPr>
        <w:t xml:space="preserve"> CSIRO</w:t>
      </w:r>
    </w:p>
    <w:p w14:paraId="08DABD9C" w14:textId="166853A5" w:rsidR="001229D2" w:rsidRPr="00EC460F" w:rsidRDefault="001229D2" w:rsidP="001229D2">
      <w:pPr>
        <w:spacing w:after="0" w:line="240" w:lineRule="auto"/>
        <w:contextualSpacing/>
        <w:rPr>
          <w:rFonts w:cs="Arial"/>
          <w:bCs/>
          <w:sz w:val="18"/>
        </w:rPr>
      </w:pPr>
      <w:r w:rsidRPr="00EC460F">
        <w:rPr>
          <w:rFonts w:cs="Arial"/>
          <w:bCs/>
          <w:sz w:val="18"/>
          <w:vertAlign w:val="superscript"/>
        </w:rPr>
        <w:t>6</w:t>
      </w:r>
      <w:r w:rsidRPr="00EC460F">
        <w:rPr>
          <w:rFonts w:cs="Arial"/>
          <w:bCs/>
          <w:sz w:val="18"/>
        </w:rPr>
        <w:t xml:space="preserve"> The University of Western Australia</w:t>
      </w:r>
    </w:p>
    <w:p w14:paraId="364C5C60" w14:textId="4EF9C160" w:rsidR="005B0AA3" w:rsidRDefault="009757D6" w:rsidP="005249A7">
      <w:pPr>
        <w:pStyle w:val="NoSpacing"/>
        <w:jc w:val="center"/>
        <w:rPr>
          <w:noProof/>
          <w:lang w:eastAsia="en-AU"/>
        </w:rPr>
      </w:pPr>
      <w:r w:rsidRPr="009757D6">
        <w:rPr>
          <w:noProof/>
          <w:lang w:val="en-AU" w:eastAsia="en-AU"/>
        </w:rPr>
        <mc:AlternateContent>
          <mc:Choice Requires="wpg">
            <w:drawing>
              <wp:inline distT="0" distB="0" distL="0" distR="0" wp14:anchorId="5E7C57C4" wp14:editId="355648EB">
                <wp:extent cx="5229225" cy="1200150"/>
                <wp:effectExtent l="0" t="0" r="0" b="0"/>
                <wp:docPr id="33" name="Group 14"/>
                <wp:cNvGraphicFramePr/>
                <a:graphic xmlns:a="http://schemas.openxmlformats.org/drawingml/2006/main">
                  <a:graphicData uri="http://schemas.microsoft.com/office/word/2010/wordprocessingGroup">
                    <wpg:wgp>
                      <wpg:cNvGrpSpPr/>
                      <wpg:grpSpPr>
                        <a:xfrm>
                          <a:off x="0" y="0"/>
                          <a:ext cx="5229225" cy="1200150"/>
                          <a:chOff x="0" y="0"/>
                          <a:chExt cx="5229225" cy="1200150"/>
                        </a:xfrm>
                      </wpg:grpSpPr>
                      <wpg:grpSp>
                        <wpg:cNvPr id="53" name="Group 53"/>
                        <wpg:cNvGrpSpPr>
                          <a:grpSpLocks noChangeAspect="1"/>
                        </wpg:cNvGrpSpPr>
                        <wpg:grpSpPr bwMode="auto">
                          <a:xfrm>
                            <a:off x="0" y="0"/>
                            <a:ext cx="5229225" cy="1200150"/>
                            <a:chOff x="0" y="0"/>
                            <a:chExt cx="2842" cy="706"/>
                          </a:xfrm>
                        </wpg:grpSpPr>
                        <wps:wsp>
                          <wps:cNvPr id="86" name="AutoShape 3"/>
                          <wps:cNvSpPr>
                            <a:spLocks noChangeAspect="1" noChangeArrowheads="1" noTextEdit="1"/>
                          </wps:cNvSpPr>
                          <wps:spPr bwMode="auto">
                            <a:xfrm>
                              <a:off x="0" y="0"/>
                              <a:ext cx="2842" cy="7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pic:pic xmlns:pic="http://schemas.openxmlformats.org/drawingml/2006/picture">
                          <pic:nvPicPr>
                            <pic:cNvPr id="115" name="Picture 115"/>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1344" y="85"/>
                              <a:ext cx="749"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1043" name="Picture 1043"/>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738117" y="92839"/>
                            <a:ext cx="1798765" cy="1070955"/>
                          </a:xfrm>
                          <a:prstGeom prst="rect">
                            <a:avLst/>
                          </a:prstGeom>
                          <a:noFill/>
                          <a:ln>
                            <a:noFill/>
                          </a:ln>
                        </pic:spPr>
                      </pic:pic>
                      <pic:pic xmlns:pic="http://schemas.openxmlformats.org/drawingml/2006/picture">
                        <pic:nvPicPr>
                          <pic:cNvPr id="1049" name="Picture 1049" descr="Logo&#10;&#10;Description automatically generated"/>
                          <pic:cNvPicPr/>
                        </pic:nvPicPr>
                        <pic:blipFill>
                          <a:blip r:embed="rId25" cstate="email">
                            <a:extLst>
                              <a:ext uri="{28A0092B-C50C-407E-A947-70E740481C1C}">
                                <a14:useLocalDpi xmlns:a14="http://schemas.microsoft.com/office/drawing/2010/main"/>
                              </a:ext>
                            </a:extLst>
                          </a:blip>
                          <a:stretch>
                            <a:fillRect/>
                          </a:stretch>
                        </pic:blipFill>
                        <pic:spPr>
                          <a:xfrm>
                            <a:off x="4003533" y="188107"/>
                            <a:ext cx="483235" cy="831850"/>
                          </a:xfrm>
                          <a:prstGeom prst="rect">
                            <a:avLst/>
                          </a:prstGeom>
                        </pic:spPr>
                      </pic:pic>
                    </wpg:wgp>
                  </a:graphicData>
                </a:graphic>
              </wp:inline>
            </w:drawing>
          </mc:Choice>
          <mc:Fallback>
            <w:pict>
              <v:group w14:anchorId="7ECB777D" id="Group 14" o:spid="_x0000_s1026" style="width:411.75pt;height:94.5pt;mso-position-horizontal-relative:char;mso-position-vertical-relative:line" coordsize="52292,120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QEowCAQAAPYNAAAOAAAAZHJzL2Uyb0RvYy54bWzUV11v2zYUfR+w/0Bo&#10;wN4aS7Icy1rsIkjaoEDWBUuKPdMUJRGVRI6kI7u/fveSkj8TtM0+uj5YFi/Jy3sPD8+lLl6vm5o8&#10;cm2EbOdBdBYGhLdM5qIt58GHh7ev0oAYS9uc1rLl82DDTfB68eMPF53KeCwrWedcE3DSmqxT86Cy&#10;VmWjkWEVb6g5k4q30FlI3VALTV2Ock078N7UozgMz0ed1LnSknFjwHrtO4OF818UnNnfisJwS+p5&#10;ALFZ99TuucTnaHFBs1JTVQnWh0FfEEVDRQuLbl1dU0vJSosTV41gWhpZ2DMmm5EsCsG4ywGyicKj&#10;bG60XCmXS5l1pdrCBNAe4fRit+z9450mIp8H43FAWtrAHrllSZQgOJ0qMxhzo9W9utO9ofQtzHdd&#10;6Ab/IROydrButrDytSUMjJM4nsXxJCAM+iLYtWjSA88q2J2Teax685mZo2HhEca3DWfb2Mbd5zY5&#10;yg3aJ7n53YM0byX7aEgrryralvzSKCARxI0z3HI7OPwy/fJk2f0qc4CPrqx0XPh3sYnTJPaQTsNz&#10;F9xzoMDJMjvymL9HnvuKKu44aZAYPcDp+UCeS8jejSE9xm4YkgcBNs+iuwNca9lVnOYQaARe5QPw&#10;6E0u9vZgz2WnDDiFKF6E/vMY0kxpY2+4bAi+zAMNLHC7Sh9vjUUu7IZgZq18K+oa7DSr2wMDDEQL&#10;cMeHiqwx2VLmGwgbpBOcV1J/CkgHMjQPzJ8rqnlA6nctIDCLkgR1yzWSyTSGht7vWe73tKvmSoLS&#10;AW60ZeB1Htjh9cp62QPdUdTetveK4UAMFTN8WP9BteqTtQD5e7+NT+Xsx/Yp+UT6BhBtcaEEy+DX&#10;yxW8nTDu87IOs+wKYfClofkiHw3VH1fqlc9QLEUt7MZVCUgCg2of7wRDImJjR94oAm3y0gf9uCxB&#10;E+zlMM7PAqAEe04dnuEvEuXQi2seRLKshULy4Fbge58zbNeRyj8Bm68g15KtGt5aXxI1r6mFemwq&#10;oQzQJePNkudA4Xc5EINBObYgU1BfRY1JwqnU7Hegt3+3mltWobmAmHo7cNgMHS6BXcyY3RedwGic&#10;JAGBEpA6bGk21IdpMvNClkxczdmq++6E/WOHcIi23xZoOub2ReQ75G6YbGvb3UBetB2xd+DhtyIe&#10;lqpvRbzpOI2iqaPeLE7HM0/6gX3RdJZOz4fbSTgNZxPHz/+ahchM+H0/qhnisT2STWfLuWEgXrey&#10;lD//tL78xT2u0SgU6hLBGxLc5wWjdb0hJW+5BknK/2+chYP1FGcHHfxagURJPboSJmE4nuDFGy/G&#10;aRqF00NuJuk4HvfUTMdR6u/NL2WmE26U6hPxg48LsB18vey3nUTuPtcWfwEAAP//AwBQSwMECgAA&#10;AAAAAAAhADLszDwKGQAAChkAABQAAABkcnMvbWVkaWEvaW1hZ2UxLnBuZ4lQTkcNChoKAAAADUlI&#10;RFIAAACQAAAAUQgCAAAAspC4/gAAAAFzUkdCAK7OHOkAAAAEZ0FNQQAAsY8L/GEFAAAACXBIWXMA&#10;AA7DAAAOwwHHb6hkAAAYn0lEQVR4Xu1dCVQUV9ZuGgSUfW82AQERBMQtKq5gImg0SAOCJuISM+pM&#10;ogIjRgX3oCI7zSKLaCIooKggq2iM+w4quKEIgkJERBRkE+r/ul9Z6QEn58wEz2/9P9/x9Ln3Lbde&#10;ve/d++6rKhIO1QdWoY8wlqGPMJahjzCWoY8wlqGPMJahjzCWgU2EZWVlKaqoyMmryckpKCioKCkp&#10;41dOThX/FKEpKSkoKAplZVVlZWVUysvLyymryikoKikrySmqySsqKqOxsKmygqICbMgrq8JWREQE&#10;fQE2gE2EpaWlSfZTHvL5UoNZvoOmrzNw8DVwWGs609dgpq/RdMi+xjN8DWatNnFcb+bga+a4ymSa&#10;7+BpvsbCZsIGpg5+pjP/aTDdC6qw+1f+Zg5eUrKqAQEB9AXYAHYRlsGV0TKe+ZOOa4w2P4bHj9d2&#10;idHhx+i5RuvyBbr8eF2XKE1+9Gyvo3GHiwtuVszfkq07OxpttPixBi5Rem7Rwo5u0brOMQP5sbr8&#10;aJNZoVIyaoGBgfQF2AA2EZaelsaV1hnotJ3nEsVzE2i5C9TdBDx+lCrUOQKeezzPLUbbJWpNXA7d&#10;vvC+4ZcCUcvd4FXDJUbVZY8KPwEqjx+r6hqlzw/lSqvt2rWLtGcF2ERYJgiT1Rr01S6eRxzPNZrH&#10;F/Bc44U8ucdrucTD4cDNQI99HqtTWtqoFopaGXbUkC8w5IdZ8bcdv1E3zD1Ifw6ogsPBHZPQa5Bz&#10;iKSsRl9I/FjAHsaV0TZw2spzi9VwSeDxE+BPPH60GhzLNVLvK8FAp2j4nLZryBTv5HH/2Gc0JwJV&#10;Jm5Bb1o70L2Nosw9gvSEhMVouMbwXGMN+MKQuHPnTmKfFWAbYdI6+k4B2i5wL6GjwMlU+NFDPEJt&#10;/x6berpuuHuUNj9OnR83cDaqElRdolVdQqb5HHne9A7dn7155+SfyXOK4bnvVucLEEj7QuLHhTBL&#10;lNU0+ioQ0UzNNVrLRaDlFq0/Jy7iyJWOTmGDpg7K2jNMz2W3qXOUhYeA5xKrORshMXbe9pPfbU1Z&#10;EpirP0eYqijz0TGGN2e3ETxMVn379u0i8+wA2wiT0TZ02onkQhO5HybdZbflgsQGul6I7IdvLObH&#10;3Kt8/eptxxcrfzZ0Dp21Js3ALdKIn6DPj1EXdomDd2oK05aYga7hXBn1vpD4scCERBVhMERIRKKB&#10;fSg49NDpji5hg5ZO7FKBuvzwQ5drTtxtGjgzIOPC03aKulPXbsQX6PBBVZQ6P5YnFBBLo/T44Rxp&#10;taCgIJF5doCFIdEJITFOR5glRsFj9Plxll9Hz/Tad+RMre2CSJ47gl7sIJdIXX7EQLfda/cWPX1D&#10;xeeWiba93ZpzaLaESeacWAO3KAlpzb6Q+LGQdjiNK6k8aNISLft/6tov1bFfqWW3gmf/g+4kL96k&#10;7w3sl2p9sULL/nvelH9q2a3UmuyjM8VXe7K3xYwfDexXa9n5aE32Vpviq2nvpWWPZit1J3kbTPLi&#10;Smvs2LGDvgAbwC4Py9RQkkwKmpgYPG5v2Nj9kWOTg0YlBw2PC7KNCJweH+mcFDIlIcguKWBsYvAX&#10;b+rLq6t/rxHieX19/b1798qra2prGmpq6l4KCyHU1tS8UFCTCw4Opi/ABrCJsMzsbA05zrFQnWyB&#10;bHZUv1wBN0sgeSxKY+mcAfM9Jm7esNjTxWqJs8kCZ73vvzWKF2xetGjBokXfzJs3z9fX19PTc8sW&#10;f4oS5vfiUFZU3rt3L62wAWwi7MqVK1ISnNRg43yBVHYEN1vAPRqu8495vG2bVgdsDeLP5re/Q4Yh&#10;xIuaqmeVlTdv3qTVFw1hYWGbN2/29/dvbGwkhUAX1cXl9i8oKKB1NoBNhDW8fcWR4uwJ1M8WcPLC&#10;ZLMjpdN9zXNSk9b6+e3YsfPly5dFt4uKii6dOXOmpaWttbX1wIEDly5dunr1KqpCQ8P9N27My86+&#10;nvgzbY6i6l7WcTiciooKWmcD2EQYoKAgvctHFx6WEyFZGKp0cJb1xeR0/w3+27Ztu158PeNoxuHD&#10;h9PSDra2trS3t6WmHkhNTU1LSwWFIeEhmzZvOp1/4oytK22Loq5dvSrFlaIVloBlhFmZmS1z08wW&#10;KB6PlCkMUtozQu/KwfSNGzbt3Bn4yy+/hMKPRGhpbmlra4uJicEZixTid8uWLb8VFGbqT6BtUZQg&#10;NEpDW4NWWAKWEbZmzRo9Nc6RYKVsgdSJCMVDMyzP/5y+du3arVu3Hjt2LDk5GbTt27evqakJhEEG&#10;UHjo0CEQhg3sVG7eiUnutC2KMjQ0QUpCKywBywgrLS2V7SdxLMwoM7Q/trHU2YMuJR/08/NDSMzK&#10;ytq/fz/YSkpKamlBSGxH+oeSlJSU9PR0JB2bNiEkFpyZ+jUxhTb9uNIXLlwgKlvAMsIAbW3t2ZOk&#10;siIHnA1SSncefOZA+oZNGwICAm7cuAFicAoOCQkBW+/evUtISICcm5tbXFxMQuKZE4Un7WnC/Fav&#10;VlBQJTKLwD7CBILdcjKc/YFqZ4M09k0yPLc/Y9261d7e3pcvX87JydmzZw+8CiHx7du38K34+Hh4&#10;HqoQNjdu3Phrbl6BxQwYaWhoUFJQ8PfbQGyyCOwjrKOjQ1lJfvZUpcJQ3b2TjS4kH/BesRpUgZiM&#10;jAykhQKBwFEECEgajxw5kpmJM3e2j4/P6byCXDMHqr0LR2lZWdnm5lbaKHvAPsKA89fOS3I4ezZY&#10;HXI2O3v44N0Hj+7cKb1b8qjyQXnR9esHU/YNAoyND6akFJ0/X/HowZ2ykvt3Sh8+uFeYmXlmomd5&#10;eTmHK5l+/BBtjlVgEWHC1/wEXV1dy5YtVZTipM+w3muiuXuwVqy5ToKFXpyFQfzQgTHG+qO53HEc&#10;6b0mkxKGT0+0cYwb7rBntGOC9eeJw+1PTvPsLyHh6uzR2Sl66ck2sIGwDurakvXNCRnUnWqqnX4Y&#10;2NbRMdrKykRNIj1kYHa0UlaEbH6IfHaEbG74gHOB2nnOZsVrN1HPm6i2NtJehI7WN00WZmZGRtrY&#10;4egyoOFN54WiV/7R5ccK6ZJPGGwgrKvruuKYJ5KWd2VsrhnavQ3eCw9DISp4PH1dVc7hcKP8SG62&#10;gHNMIFkYKZMfKZMdrEdRVXT392htbTU01JGXl6d1WHlUU/3VD0UyNg9kLJ9xhlUG76GrPmGwgbC3&#10;HZf6j6iSMH7KMa3mmD2UMC9RGlO7JZJq62p++3aopbmSHCfiR91swYC8MJncaM6xMNksAfL1Grq7&#10;CEU3b6qqqhobGtbXNwrJfvis1HbBAymbKo5JOcfssYRpJce4PCSR+uTDJDtC4q9yI59wTKs4ZjUc&#10;8ycSFpWcIY85g09aTCfz6+3tJS3NdZ8unx6mlR3GPSqQzRAS9lLUmWptbvby+YHL5Xp60g81Okvu&#10;FEtb1nCsn3CHVkta1HCGPuGYVHCG3g9OIg0+ZbAiJFLtJ67dmfrdDdnhmNZnHPOn0maPJIe0b02k&#10;67u6SouK1NXUlGU46/6ueTxW/4hAg6LqUJWSnKKgoCAtzTl37pwwkJL2b5quq40DYTBVwzF+IWNz&#10;hzex2juos7aZNPiUwQbCCOBMZdVVkxZWcswx0XdVRnXV/vFmC+jsfLc7Jk5RUU5PkeP+pca2LSs0&#10;NNWl+0uHhIZ2vPsjwxSiq6vRL7RcwrSKa1khadkQfoBiz4GMPYQBndStCXNL1Ec9UrV9JG151fbr&#10;t/nXqIa2bhtPckqKtr6eroZubGw0Eg26lOBtF/WkvjE05QpvfKn86NJh/NJ+Vh1Hf6Nr2QA2EdaW&#10;e7pYfmRDQmanX0LbekGpybRSmTFFckNvmXz+Yv56Kq2AKn5MVb6injdTda+F/142U7WvqJJn1K+l&#10;78IO3LTzLNYdVypnWaw4os077M1PSdTv9bdMpt42tqeaxbP/TxpsIuxZfPIl1XFtkenXJy+kMk+d&#10;cVxE3a65qzfhnsLoGvslt/pb3VYbdUPK8kZ/6xuyo67I2kC4KW91U2boQ80Jj9TG1kye/9hlZYPg&#10;UHNyDpV/7dHU79qj0h5ZOt8wd6SqXtDX+OTBqpAIVDwtnvDNRf0JNe5enX/fRRWUXJexrljg98hr&#10;+y3HZU2Flx4tWU/tPt7oFUbF5zUGJHQuWHtL0rLjbFmpldub9Jyr7iupO8/fZVwsn7aw2oJ/mTem&#10;aec+ilUPFNlGGFLGd52dj+uq14Qd1xp7Q2FUNWfYswnzqLD0zuWBLXty6nxDqezzDZFZjTv31wQl&#10;1M1dfU9yVEvOpdp/7KCC08v0p5YY2l1UsDw9bObrjHPU2xbYYxdYR5gY2imqvKY6PLlynu/toTNL&#10;1G1vDvisSH70DWmbEkmbWzrji+Ws78rY3EZg1LC9aeRw97N5lasCmrLPUc3t1Lvu37uxBWwmrBvg&#10;K6Dw9xbqXi11o5wqvkfdvEdV1FKv2ymxB4dsx/8hwv5/oI8wlqGPMJahdwhrbm6+cOHCtWvXbohw&#10;/fr106dPo7yxsfHq1avirwpfvHiBEiLfvn0bLaGiIwRSyODly5cwRSsiwBrz9XVxcXG3N5CwXFUl&#10;fKXS0dEBo+SNV3V1ddu/vBKjamtrGxqEfwJIPgrGpfGLZiiprKyEfPny5XPnzsGaqDmNs2fP7tmz&#10;Jy8vj6j19fXkLtAFN87cBen+/PlzCBgGaQzcv3+fjO2vo3cIe/LkiZeXV0BAgKGh4aRJk3bs2LF6&#10;9WqUX7x4UUlJqampiTQDcnJymDdSHh4ew4YNS0tLi4iI6PlnkFlZWSYmJrQiQllZ2YgRI4gM+1Om&#10;THknluxlZGSEhYVBwGwOGDDgzZs3kIcOHRodHS2qpzFhAv0hqaKi4rp16/bv3799+3ayvMLDw/X0&#10;9IqKinJzc1VUVH766SfS0t7eHpZxjw4ODlhkKElJSZGSEn4yXFhYuH79etx4v379MKTNmzdv2rSp&#10;paUFtX5+fqLeFBYWxoOFQtS/iF4OiePHj1+1ahWtiAhTVVUVJ+zUqVMoIfLy5cv/5DtOEDZ69Gha&#10;EQGeAftExjRJS0tPnDiRqACc4Oefhd/Nw90xQaQQTAwaNIjxxbq6ugULFhDZwMAAnkRkgri4OCwg&#10;IsMa6QgfItwAUMkj/4KCAuYuCPr373/37l1aEbm7jIwMlg5kT0/P337rtceVvUzY559/7uPjQyui&#10;7z7V1dXLy8sRzbDk8QsalJWVSe2KFSsIYQhf4gGEANQy/kSAUDN79mwiYyE/fvzYyMjI0dGRlGD2&#10;jx49CgExUEFBgRTCBTHvzOrGqkcvIsOZiGPh6sRTk5KSxowZA6G1tXXs2LG+vr6Q4S7wxblz55Kw&#10;SQDHQndaEaEbYcA333wD17x37x6fz6eLegO9TJizszMJhgQgDH4wf/58rOuFCxcuWbLkyy+/VFNT&#10;I7XwRciIbFjX8fHxpJBBdna2jY0NrYgAwr799lsie3t7YwaxCAYOHGhnZweSsCcdOXIEVZh9hjAg&#10;NjaWEI9yJycnUgjo6+uPHDkSTjxkyBCMEyUgTE5Oztzc3NjYmHBPAI6tra25XO64cePI/nfy5ElT&#10;U1NSS9CTMLTEMHR1dUmX3kIvE4Y1hc2MVigK+wEowSKldYo6f/48E0y+//57cEnknkhPT+9GGKb1&#10;u+++I/KyZcsQ3yDAODZOOMSDBw8IYSDvjw83RDkIohPiJLYrjIcuFX1BjMHQigggDCEXxGORIU2g&#10;S0VAJPz9999Bkru78NN8hEREVFJF0JMwAGEAIYdWegm9TJitra14SESaB8IwWbROUb/++qt4SER8&#10;J3JPoK+srKx4qMTefuzYMSIjYSGEAfAzJBe4EKnFlilOGLBo0aLFixfD+2ldBB0dnW6EJSYmkj0M&#10;zOHS5O/G4Jft7fTfCaKcGEFI/PM9jGDDhg3Tpk2jlV5CLxOGCMM4AYB8F3NHEjYCBDomXmHSkXch&#10;A8bEYW8jhQwwTbCGgIltAFHl4MGDZIMhQBi8desWrYi8CnldZmYmZDRGZCMbPgMOh3P48GFaEQHp&#10;K7JTJOVYQyQkIks0MzMjtX/729/gglhqcEqsQrjX06dPETzv3LmDWmSJMEhaAlhVIAwJPa2/B3YH&#10;8TH3CnqZMOz84mEHuw5yB2aFAjiOYIKIjEwsPz8f6okTJxjXEQc6Ii9AYBH+addvv5HUgAB9u71N&#10;xrIgOTfIO3PmzL98eUhRJSUl3fIasIvIhgEfP36ccI+gio6kFgkhTiAox0VxC0hKsRcyi+DZs2dY&#10;eUQGEDCxq4FUWn8PnMwwTlrpJfQyYX342OgdwrDz48iFAEjO/PhFlCPylStXGBUrDnEDAnk6ABCV&#10;6YsNn/kFSDnakEchpBcMEpW5hPgVUUWu+J9egqgf6RLoKL4v/BX0eRjL0EcYy/C/Q9isWbOYR0Ti&#10;QCY2YMAApJHI0JA3q6urI1nHMeuLL77o9jQWGQEa4NQ8aNAgIyMjnIKRpiN5IbXI8tEXyTdR/x2Q&#10;xC9fvpxW/hUwi5MWOdgBr1+/hkGMDRcFtLS0MDA9PT2c/5hHJwxiYmLI2ExMTMjY0BdRlK7+a/jo&#10;hK1atQpHYNw/rYvSbuTEkpKSr169ooveo7a2FlWWlpbM0z8ISDsnT56M8hEjRjA7AVI7lMydOxeZ&#10;JNJFlJeXlzOkYrJQi52DqB9EdXW1hIQE89SxGzDRqGVWAPJ7cIADtXjy+fDhQyw7XAiUIG+kS0XH&#10;AxT6+vqSsTU2NpaVlfW82f8OH5ewH374AXsvBPEXJU5OTmQ61q5dSxe9B44BuNXPPvuMIYwBTs2o&#10;AvEkO4f3QBU/84nD3Nwc9pEp0PqHMHPmTGtraxjZtm0bXSQGuA6Xy0U2QVRkVTweD6fp7l+mik6W&#10;WHz9+vVjng/s3bsXZj/SfyTuIxKG2e/29BbAQsOptq6uDidN3GS3sxEhDIflnoShBOdW1JIwhfPT&#10;nxCGkIjp7vY6TRwVFRUYBk5OMALX6UmDo6MjLDBnShAGrwVh4mdKAhzC5s2bBzvMU5v9+/dDZQFh&#10;OLFitSIUYK1hj8FtwFd27NghfpN+fn5bt26FgM0DdxUZGUnKCUAnCu3t7Zk/XBDHrl27UDtq1CjI&#10;f07Y8OHDserJ84uegPGlS5eS92QzZsyAndTUVFLFALsmypmnTWAUcQ+LTPzwzgBnfzTW1NQkKqxB&#10;JbfZ6+g1wuArGhoa2J82btyYnJyMkvHjxyOJILUE8BIlJSVs4JBRhSWsqKgoPgWEMDs7uw8Slp+f&#10;j1p4BuSzZ89CVlZWnj59OghGcIOjkGYAFgoII4+RegKzj2GQCIZhwI6ZmVm3K06dOhXlzPjhYSAM&#10;G94HB/bgwQNcTkZGhgSMjIwM9NXV1QXrEyZMQGojvoX/RfQaYdj/yX+LdeLEiWTfQqbXLYCsW7fO&#10;xsYG+QKA0G9qaoobg0xXvycMk/XBeSkoKEAtMi7IxMM8PDxqamqQqmBmxf1pzJgxUlJSPZ/GEqxY&#10;sQIRjwwDGDx4MKZb/Ika4ODgAPuVlZVEBWHICUFYz5AI3L9/H5eD/5FhZ2Zmoi8iDQZGxvbvRvJf&#10;oNcIQ5qLlYuhY6fBQkPa1i1xh2PBOVauXLlGBGQcPj4+uE8mkgBkD/t3ITEwMBC1xCwhjHk91g3w&#10;MFj+YEjE1KPjjz/+iNWDMUAAf8hQmHcIBCQkMik7esFjQNgHQyJZSdg4iUpC4qe+h1lZWSG1tbW1&#10;JRHv66+/ZnJiAtxAz0fXJPIwz9EJYR8MiSghSQc50BDCFi9eTGq7wcLCAk7zwXWNYwbznQEBOBg5&#10;ciRjmQCLBiWM2yGbx9nrg2cADIwkHcz/w+WXX36ByoKkQ/xxNeIDLYmAFYptQ/yFCMHt27dxb8jC&#10;SagB5VA/GBKTkpJQhR2LVGE1QF2yZAmp7QYsdnhYSUkJrb8HQi4yPQyG1t8jLy8P1sRzWqQ2KGEI&#10;w4aHUPzBLBFXgYPC/2idohISEtCXHWk9VitQVVU1Z84cukgEHP4NDQ1RRetiUFFRwQ2fOnUKMjri&#10;VuGI4mk9TrhwC2QosMkcA5Dco+XChQuJimgMMphjtbGxMTyMfBOHLqh9+fIl5hoxUDwCiwMhHcNg&#10;OAY9sM+8CYJlxPNuhOGKoaGhaIbMgrk0QAr9/f0h40Zw9fr6+p6r5L9DLxOG4AZiXFxcxF0EMqZP&#10;/NMBcSQmJqIWR2nIZWVlIAYqEhaUAEgjcVxDjvDw4UPSniAlJYW0hCcBEADymRugo6PDVAGQ0Rje&#10;DL/HAZy06QYk+mjGBG20hIp8j6jghlwOmTBGRRIQWMb5gTlcM0Ce3HNszFOuv4heJgzAUup57IVv&#10;9SxkgAMcs3Ihwyfwi4UJQPigX8IaqgB0BNBF6NrvW5IqqKQBfmEK64YUkjY9QVoSGQJsii87MhiC&#10;PxkYwIwNDcjYIP/J7f9H6H3C+vBR0UcYy9BHGMvQRxjL0EcYy9BHGMvQRxirQFH/A+DOvCQOUu/V&#10;AAAAAElFTkSuQmCCUEsDBAoAAAAAAAAAIQBAfJqDSCsAAEgrAAAUAAAAZHJzL21lZGlhL2ltYWdl&#10;Mi5wbmeJUE5HDQoaCgAAAA1JSERSAAAAvAAAAHAIBgAAAKRjGmQAAAABc1JHQgCuzhzpAAAABGdB&#10;TUEAALGPC/xhBQAAAAlwSFlzAAAOwwAADsMBx2+oZAAAKt1JREFUeF7tfQt8HFXZ/klLb8leApRL&#10;oVDA0pa0yd4KLaVtmuzubKBtsjuzm1REK/qnolCh1NqWtszu7KbNpReRghYQBbkJgvCpKHyKKHwI&#10;CoqIeAGVWxFBFMu1UO3/ed+57CWzaUpTSNJ5fr/3N+c+k+xz3nnPmXPeIxw4cODAgQMHDhw4cODA&#10;gQMHDhw4cODAgQMHDhw4cODAwQGP0JIRYtYKt5DUQ0R41aEsp6geMXHpKKPEAY7QCPeU+KFiQv1o&#10;MT45xkjsHROb+vi/qz8oL2K4ntYbUihTVKcPKCxP9Q801KtHimh2rohqd4im3O49SjTzjIjmThdh&#10;dZLRwgGDMYHmo6qDib8Q0b1B5eaDp6d2G1m9oiog/9EIlsWYE5NHewPJF6lNjz/xkNevPID4m1XT&#10;lDqjSA+4/crN1QF5F9VxBVrucQeU51w+5RzqlEaRHnDXyXdQ+epQ8r+uYOIyI/kAQEyTRUR7tAeh&#10;pexOEcv+HfIIwvehMzwI+auIZd7oUTaqvYw2LhDR5VVGq0ManqC8GURZa0SFx6/83AiWxRhf/BQi&#10;2Bjf/KONpLJwB5XFBZ1oOIWJ9EbcFuh4/+Y6NTUjKe4Jya95A8o9CFZQ3A7VIXlndSDxrhEd4ohq&#10;nwR5XyombvZaaO7Pi1OWeoxS5TCMO0pTLos2XsvXz+xCB0kjv+w/eSjAG0r+3OtL/FKEFlRS3OWT&#10;45zRCzw+5TwipNufvM1IKosSwgsKVweT7xlRW/QgvD/5EMVH1S08ngvYAJ32naFP+JrUSJDyMYuk&#10;Ee1NEVHPEDUq/6MKkc1mL9qwYcMnKNze3n5eLpc7hTOAVArtmIio00H226w2Y7m/i0j2bCN3yAEa&#10;fYtOQvnVyroE/3/2BFdAucETkN/x+uW/GUllYafhPYHkDiNui1LCV/mUVopXTo1LXMAGQ5/wUvZj&#10;bKqYxCSb3dDGIPQqTdPuUlXY8gaQttYk/MqVK73I438myD58/fr1negQH4V8DUm6Rp9z8Tho/t/q&#10;pNf+K6Lpazl9qGFys9u0s8kG9gSV64wcW1ROTfhcgbjs9svLqc7IKaf3Ou4xCY/y90Oz/xmd5Wm6&#10;p5Fti1LCo40Z3IZPyXABGwxtwkcy11tEl9THjVQGSGtpAZD8BRDfR2GQeqUd4U1A49+ZyWRmQL5s&#10;JOkIa0uY8Drxf2ukDjm4pskqEZ6IVVnT4jeSe8BbF5fp6g7ET6Wy1YHk3ZxRBpaGn9x8FJcPKq8a&#10;WWXRg/B++QyKj6lNNHMBGwxdwkfTN1haV1KL7E2QtR4k5x+EABJ/HvEzKQzCL0Z4KYXXrFkzIRTK&#10;j/qpAyDvlxRGR7BsfoQP4UCDNhX30+17KYsONnSmvqA1lxlBUVWXaCRieXzJjxlJPeAOJH7l9Se3&#10;klAH8QbkV4wsWxSaNK5A4m4KV4bkT3NmGZQSnkwoio+a2vQRLmCDoUn4xvR5lmavV6dRErR2LecB&#10;S5YsGQHivgOi8gCM7HSEydRhoOxS5H+t0H5HRzgUciXSi34EegPg7XBHOp3WCXGqejhs+xf53lHt&#10;QU4bAvD45efEOH3ASvPYTLQpiXF6vBiumuaaSp+8xoiCiPIXqbzLn6wxknrAIjyRd2KTh8I0o2Jk&#10;28IivDEVSSYX3iQPcWYZYPA9xAgfVf2WaRHOKJQE82UeyHo2yHkclwFA0iTIuwnpC5A/y0juFegA&#10;81evXn2EEWWg7n14Y6QojDYDuFSIhjUfAdn1cUM0cwXlDXa4A6lfeYLyfW5f/CwQ7WZ3QNaMrGKg&#10;U1SHlNsx4LyUojAvxnsCyteJmF5f4imeQChFjXRIdUB5lEkeUL5DBMZgt5vinmD8p0apIsDOvwBl&#10;3+UyIXmVNyj/Dm+Ry/WPSvZAPnc8DLz/4wkmPmckD3LEsq8z0SKZi40U0s4Xgazn4vpLXB8D8cca&#10;WQwQ/wikfwqavRFlTkX+IZ2dne5Vq1YdDBKHkB7B9SyQ+xijCrV5KtIfwbUZdYPIa0Q7z6LuPC5A&#10;szj0HDyQVRs5bTDD11JNX01H1sUncbg3kJY2zAxgOA8+TSkHs06+np4mCuJFKChfWKc3FJYvMFUH&#10;LyTtLiYZSb1q9XRo4FNBygTISLMxw4jEeg5rbQVi+2ouBeofhbbOxdVFcZD8IrpSeyD+S+gA1huE&#10;EdVW66TPPmukOHDQj5By/zHIXkw8YNmyZYeAkKTFu0HYYdDGDSAq2/WLFy8eDcL2+nEE5TWy/SlM&#10;g1eQfTGFSfMj73WzExQhhUFrVNvFzyRpqpHqwEE/oNH4sBRNl9Wm5ocjkDQOgvLMCsgqg+wP43o7&#10;hGdq7IC8nSh3K+qNhUyjeXm0s5LyEB/PhewQzST058o+b6Q4cNAPkLS3mFgzigeVpQA5p4C4EykM&#10;Ld0GE+UHIPOzkO2QVi5kAyI85HXU/RGI/knS8MuXL6/q6OjY04B3OEya9/jZGtbyXL8DB/uGxvYj&#10;mFAkQh1mpNrCNGNA3N+DwE/guhNmzm7Y8W9BFnIhGyDvDaMcDVT/gHbOpLbQRtQ0dcqCzBl6tliu&#10;148vDhz0DZLxaV9K81RYOUArf5Gu0OqfI/IWCoj8E2h/1vx2ALHvKij7Z5D9l0hjEwjXsm8GxrxM&#10;vU547fdGigMH7x8PjJZ+1H30ojuOrV11sJFkC5DUXD7wZiHZSUDa60HksstY0VnuRb2HC+sg/iLq&#10;zES7SaOYLVKiZuRfKxp+uF3UP2ckOXDw/vGCmPvWdjFv94ti9mFGki1ocAliy4WkNQWEvgkE5jUY&#10;IDB9QLJQX19/EPL+hXK/KayDtv4L6SKTxuxM5UDPR/I34esxg+TAwV7heTFnl06okPHpuydgxsyg&#10;mRVcf0xELSQuCQj/BrT1BioLcl+EMq+gLH+pRfp8xC8trUOCdP4SiOtn6VoO28XsX+mdcta5RtKg&#10;Aq1N36NMV96tDik7TXH74xegatkvn4Wwbc8UajeQb9s9TblCjJ/Zty2GQxGm9vwJ/rnlBpAg5Da6&#10;QhM32xEXpL4Q2RUgexvKTsP1aZqJoS+uyJve0dExvky9Txnt2q4Rp05G1xfEnOvoGZ8XszdyxiAD&#10;fZLfF/H65Ed62/lkV6ev4gq0fJH32h4oMAn/iAiNAAGvA/lO6urqsta4E0Bei2gg9A478iL9dtR/&#10;CGFzA8g5lI607yP8bGFZU9DB+K1CnYOuBJhOB9EbBZ3mXGqT0g50wpviCciPj5oa77Ga0a7s3oon&#10;qDzZ2wK1IYPtI2d/9cXDZtz4BAaHIN4ESgPpxoL4NyJO61tGr1mz5iNERCNvuh15TQFJeRCKup+x&#10;yzcF+deiLSY86py3e/fuCnSOLyP9Z4jfiLwTIEdR/tvXDVuyY/XB17yaHF/249ZAhh3B3q9UB5Lv&#10;uf3Fu6bsyr1f8QZg8lgrO4cg3r5dvLPzDrH737eLQ2mACcJFQMiXQL6VpklBAPmsASPyrgYpe2h6&#10;aOV/o5y51p2WILxbWsYo14ly/OUW19EoN4VrALj/BLSvGOlzKO3tO8QuesadN4tB+fHJjlj7IsYa&#10;eWvFpV2ZfRFPIPHWiJMWTjWaH1oA4Xfs/Lb4+O5tgu13kGzZ0qU9fclA4xfNvoCQY1F2OeQJk8gI&#10;fxbXFsoHqReAuJsKSP425ArUK5ppQZmEESwCiH8M8s4VExaPnqQsfepTFzTzOGIwwo5U/SGeYAtt&#10;l9xv7bvqZJ54GFqIZB7Wl+FqXzFSijwIgKTfoivIt4QTbEBvAtLIICktEX6U0lCezJNP4zqOOgeS&#10;bD0ToMwX6Ipy6zihGBWiQZ2lfxjTXjDSBh3syNQfQpp+9NSWWXZ5/SXuOoUnFoYSKqxNH3nQjMv5&#10;pJWh2ePQ+GymgLjHcm4Btm3bNoLIjnJn4noCiHsNDUZR9zZKh3ZP4Tqy0DwyAbJ/nK6o04K3w1so&#10;+xDV4Uyzg0jamfqX1swPOD60cZDbn+yg6UM78tlKKPWaUbd3HFbvcgUSN3qDylvUUWzbKiMeX3lP&#10;BoMT5uKxRn3xGMj3Z4i1D5MAInpo2hIkLZolQLlPg9y3Qh5A3jmksRFWkb4eRP4+5LsId2QyGbbH&#10;TaxYseIopNcbUcbq1asPQ9r/oc7fcKXthRUior3Lz9bQt51VQwWuYOJGO/LZCWzubxjV+gxvMPkL&#10;u7bKSZVvKNn0key9TKpo7g8UBdn+h9MBaO7JIOBKXHnjNvJoeXDRtCUB6VtA9rdQbgvCrSD9lZCv&#10;ou6VRhELKDcBbZxhRHsAml638yNqq/5c2T36ZhmKcPsSZ9uRr1SqA8l/GFX2ClWBljBtzLZrs1Q8&#10;AWXnEPpgBXNDMjZbzOQ1MRUg5HiQ10fLePUyeYDEMZA6akQtQIuTGfScMUh9jghvZFkA2Wej/kwK&#10;o41e5n3xTLHsqzrhtbK+UoY63P7Et+wIWCri0Fm9+qEpi4lNHnND957EFVB4D8PQQDhzN5OL/EPa&#10;uMgA+U8CWdcSWcm8oZkcEDyB9B6vumXLlvXQBGvWrDkGBF+EzsCL1NBGDeLPoA02a2655RZy1kRf&#10;bHVEMhfy80gH9ha/0SfJE+zIVyowa642quw1XBObDvMG5bft2i2VMb7kHn1dDh5EMzuYZJFMkWam&#10;QSjI/lGQvZviILn1AYg2a4O8U0DebaS9jWQGaXCkfYU6C8jc4/M16o1Fm09R2xTH9SbOmJc5zRpI&#10;0yzNAQ5PUNluR75CqQ4qfzGKvy+4a5ub7dotlSpfoqw/ncGHWepReaLldxiBuMvpCtL+wSAuz6CA&#10;rN/t7OxsoLCBChrYgsgjafaG4nqyDhCaNm4XbTJBWVpN+XA6nf4mohVi3JJKPIM+UI1kb9VLHdjw&#10;BOSr7MhXKPtKeEJ1QHnaru1CwZvgP0bxIYLG7DaL9PMyMygJZsh1RHTIo6ZND609ma4g/Z2QhSDz&#10;nylOQLlJkLORPr/wIxbKzELn2UH5RhKD3hAcqEPbYe0dvrek/ZrTHIDwytV25CuU/iD8iLrENLu2&#10;S8UVbCmacRv8iKg35zX9JTxXXg4gL38QApmtuVqkXQ2RQG4N188bydRJfCg3AemPQ4qmPXXHqsb+&#10;1YjmbNouALTqU3bEKxRPINkvPjlxr1ft2i8Ut0/+pFF8CCF8SadFekm7VDT1XG4AMjeBuJbTJhPQ&#10;7J3Iy+DKH5+MZLbZzTjyrjHfEiKqLeL78L3ST/bmAetAAw0o7UhXKqMDzZa7w32BN6Q8add+oXh8&#10;8pBxg1gMPgQhp2vdmPaGaCzejgdtfQOkaKBKAJkvhBm0BNc16BCWP0mQvRHl2QETo16dKKTMjy2y&#10;RzLfMXIcGPD4ZfYt35vQCkqj+D7Da7jo3pMYxYcg6EymaPoZi5RR7Xdi3rqwkWtt0igEaXjIgzSA&#10;hRZvBtGLNXZkBQbH2XutN0hE2yUkZzamFGQr25GtVNx1id8ZVfYdk2PH2d2jVIzSQxhNmTAIqs+e&#10;MPGzb0IeF+HMqUaJ3kGegcPpm9DGSxbRmezZy6Hpe3oeO8DhqVU+Wh1S/mNHtlLZ0+EHe4kKu3uU&#10;Sj/fcwBjrnYif5UtJG2hxNKU/p7lus9OqH5Y6zRadJBHBZ2xVO3XT9jri/TXYLUQdvcpFRFKeY3i&#10;BxDoa2gk+xhr7XKdgIgvaTswFngS9vo3RGTlAfeP8gZTS8qJO6jkvP4EHyi2t0Jb/oxb9B8m1Ffb&#10;3atUhJjonL8rxC3D+US/KMyX2asOFk2XOv8UaO3qoPwXO9Lsi3iCySeM9vsVo2ub59rdr1SM4g4c&#10;9ISnZuFEaOM+LdDqi7j8yn47GNgbiD9gd89CwdjiX0ZxBw7sMaaumU/J2xchE8YVkIvn29UFlaKz&#10;9WqxsW2L6E5dK9SmPZ2Z2ys8AeU5u3sXiiu4/zqcgyEE8jZgR6DepDok/5P2lrrp9BA7dCtPio2t&#10;f+JwZ+vvQPx92jvQl5mh6oBc1nGuAwdFcPsSaTsSlQoRb0QvR1ta2NT2nuhq24XQcNHddovY1Pq+&#10;N7u7A/Ff2z1LqdB2QaPKAEZoyQgeSErqISKk+4Nx8OHAHZCvtCNSqUC7/0fUpHonV7cyQ2xatBvE&#10;3yGWiBFCrR8tulo7IF+CidN314Q19S67ZygVdzDxI6PGAEY406JPEWaeFrHsIyKqvWPkDH5MUEfj&#10;7zE9Lgwa0Ml5doQqFW9QeY82gRjVitGRWCQ6U3fAjHmWSd+R/A2nb5p/tOhO8t6FvqI6lPy73f1L&#10;pbI2bp3xNTAxExqd5scj2XOMlGLMXXuiiGY7hJS9XEQzp3MarVyUtJWixjhJO5r9jJhjnMIX0ZpF&#10;LHeNkHIXWnPqUqZBNLXXoX5O1K+aKBq0yaJJO4vX4kS065F+GpejKUtqt0E9A9dvoN25yP9/6IRf&#10;E+F1+S+2kfTZeJ5vol7+eMSolkS7MurkkNclZi4bw9OekracO3MsN7hW8B0RrfKE9ryxg4T2rI6Z&#10;3Mxe2CxsStaLTSl9bXp702Giu/W/MGkgyfPFRnmvlhp4gokn7O5bKu5A8idGlQGMBnUuCP8Gh8Pq&#10;PJBlPYt52gctF4ikVSGllyN9pwgbDpeiCEe0EzlMhJqz5hgRycRENIcymfko+0MQUnedEdO+zYvM&#10;JK1dNKyZIGKZc7lOOLOVCU9hAuXxmyb7dRFNf4vDEfUStHMbOiRvIAexFyH/cdxnITrS3ah/s56e&#10;eQbpzyN/GdJ3IP4TJn0Y9+R7aSu43CCCu7Z5sjeQ6NNXVW9IfoHMDqOqgMnyJmv1rlb9wLfOtgUc&#10;J9J3KH32MOAJKo/Z3c9ORtVFjzeqDWA0tjeAiG9xuGHtZJBFYY1PR1NG1JlMFvOYylh2O/L1XUZR&#10;7TfIfxDEugLk10f+4fRPQebXUP9hpD1hEZkIH9X+yGGCSXjawUTjBbOcSfj6i8aC0Kl8/ex5ILOu&#10;raTc/ZBX+B6x3J9w5ePqmfBhVfemEM1sRB391OiIeqzVziDEGF/8FDty2YnXr7xoVCPCKzrBW98V&#10;G1s3i+5FjSD6q1baptRtoitZdp0Tnd7tDfRtHyuJyxe3txAGHGigSgSPgpQMaHaT8JNXuHUCGou3&#10;opl/gsif4fDJ6pFcTsq+Iuov1mcLItnvIv4vcYrqsYRAhCeNbyJPeAyWbQhPabGcPq4gEOHNsJRZ&#10;hfh3etyDCB9J68uHY9qGoUJ4gssnL7EjmZ14/LK5qb1CdMRnY2D6MxD+G6Izqe8t6G6bh87wlOho&#10;jXG8BG6/vBWD4Zf3xhkTnQZuVB8kqL+gmkmhr2vR17yYWj2iPaoTm5bo5t7mNBOx3HM9yCSpf9LL&#10;8gIw3Q2bbtJ8l8OEfSE8bf6g81nz92CX2WUJTx4WqC6VHcRw++QVdmSzE5D1X7Dr7y0nZGv3PBxB&#10;2bW3HsdI8BZ41XhEBw76FzTlZ0e6D0tAdn1cNfAAM6WxvY5nZD4oRLurrIHvQAUdyTnIUA2S2ZHv&#10;gxaPL5F/Yw840AAzqv0b0nOmIpa5CPb1nWxj04zN+wbIzSQ3QGaEOaPTOypgl28V0fR5Rvz9gWaJ&#10;9gqGqaOjgsP1KvmrHNCorDnjSDJZ7Ej4QUh1UN6FN81843EGACb2WHKr/5gNa3tORdWrY9k+D2cX&#10;w+ad14M05oCwL5Byj4umgv2rfSU8dUIp+zpsbBo39P2TdI1+1D0jnG3jTr0nkJsPC0WEx/O2H2bn&#10;UW0gwj3l9El2ZNzfAhOmfeD4j5y3bgbI+xr/iDRf3ngJn5rHcVOi7foHHhO0Lp0IH83wocIW6EzW&#10;WPbtfD1tC6fHckGOm6DwxKWjkP6YVVbSNll5UuYlvpIPyNmr7Y+9pD2wsezFIkpz6AXPEctuRLv6&#10;10AatNLMDCGidebvlbkEz9+cj2v/5DIcVu/iKyG8NmCViRpletPwUva+fHmV1pXb+q7/MEEuqu1I&#10;uT/EXZf4hKiRPjhzuE8IZ/8NAujHr9Mm6vzyAFPD69NSxagA0To4X0J5moMnkP8X84MOvQUon7R9&#10;OcITYnRid4mGj2Vo6ku/v/mVthD0hZXyZi47BPfvFJHMDiOnPOGjmbdwr9/zHlgT9DGqUMPz/bRH&#10;rS/B9Ay8Toi++CJPhEb0SvhZnW6EJ/Ip3/S/oLoDEB6/fKYdQftDYLZcWBlMjMNtBlxn10Ga2jwU&#10;QNJCILLp8qw3wucRyzzHpOcw2mpQTf+QBhkugvlTQPh69TgO90Z406ShcCzT0+6LZr/CU6G0x5WE&#10;7tuY1uf5Cwkfza22CE/TkuH01/Gsu1CfTx+xJbw1LQno8adQ/ngOiyY8c28aHm1Hsl/j8lJuJy+o&#10;G6AYWds8uaouMe39yKi65PFiwhlHCjFuEC4WjGbW4kf9F7QktHv2r5CfGTnlCR9edSjqXYEfOM5l&#10;IjAvCEQ2rqM2inDmZfz4upu8xouP1klJn/czL3AZk/Dk+o58yITXncxxyuuN8GSD09fTaCZlpNDf&#10;8L/WWyqcTaPNf+KZmrlTmISXsueISG46PxetpyFEaA0NLSdQde9mfD+T8EtGcLwR5lJD+uMcpgVl&#10;vRGelEUj3gbkNJb+3nLmmIMPGdGshB/6Bvz4eWdGhBjMFtLQpaBXfkT9MteJZSyXd4wItHVMux6y&#10;GrH8a40WhYXT3+SFXpHM+dbUY83nXCh7DZ5Bd6xE94xdTK9EI2x4ETPRmFvI6YVozMzhNOutgY4n&#10;ZTXRqNbhOfUDEiTck563MV3si1zKaEi/lsPURuHCMp9azXUiIDzfkw9YrtDDBig8Qz/hBPer4b+9&#10;sb2G24329IHvwIEDBw4cOHDgoBiXYhDdnVwhulo3c7xb2YD4IrG5TcL102KDvFB0R6tEd6pTbGi9&#10;DtctojO1THSkZouO1nahNo0XXalruC5hg3yCUMVBYklohOhM6ov21sdPFZ3NbtGV/L7okq8Xy9He&#10;BqVFbEx9Umxq/bHY2PYorotEu5J3db3ZWEa8QQlYKys7Il7R2fpNkRL6N4v2hD7u6Ux0is2JoNi4&#10;YCzqtXKaAwe2oPXpXW1XiVswkN7Ytkpso2lToKv1fsQ/KzYlT+H4ZuSpYpjobt3K8e5kDQj7BbHh&#10;zINxvYvTCF2p88SGJJ+HC3L+nq/krYA6wMZF+U3c3Ina5gm1/iBeNkzoSjzF183UyVppubE+RtvS&#10;lj8wurvtEr6ul29C+/dzeFPrZyD3iFxiHG8+2d9QVbW6u7v7cEf6X/Dv3b9z0Wq9i4lMy3a721Zw&#10;nEDaeGPbErFR0R3JErkJvRFe/ehYhO+A3C3UxaPRxpOcTtrd1MobU/oMnkl4AhG+o/UHoj2pz0h1&#10;o41NbbeI9mb9YDmT8LvxvzAJ39V6Jy8/7sLbgwhPf8MGvCm6k42cvz+xfv36e+h0PEf6XwzS7z9s&#10;SKR0syWlz5R1y92iU46zSUEk2iRfBeIu5TxCp0IHlFXAjAjCPFkDUwJaVdG/cG9o1ddDkabtbL1C&#10;aPKJMJFaxcbWrwhVOgTXDhBS/75BZk13Kx9XJDal9M3XHW3fF2pLNecROlu/J9Y3z0AnOQ9E38L3&#10;6mq9keO0IZzQnfoq2slZHbUjrr+R9ic6OjrOx49zuSP9L1u3bu37Gh8HDhw4cODAAvmh8QaUlzx+&#10;ebU3mGRb3BNMfA1p93gCySaXT36E/M94A/EbqvzKRynPE5DXuEPya5TvDiT/lxsC3HUwP6Yt1D+g&#10;1UWrqv3yu96gcpnHJz/uCsaXUHJlINHk8icurvI3RzwB5X6PsW/WMy0RddUubKGwmNhU9HXZW3Bu&#10;Ex2Q5qlVeKcZnuPakSfJJyLtj56gvNoTSHynyp/ocSi1AwcW3MGWC72BJM+mMNlgn3tDyrLqUPLK&#10;Sl+L3x1MzKSDwjxBtt2Fx5dY6Q7ETwWRacZl2Kip8Y9QOsEdUp4E8e40osLlj7/uCaTO9dbOPwHk&#10;fFaMW1BJW/mMbAFy5nAZpt83xYNa8xkoTECH/Hh1SN5pRIU3mLiLyow4aeHUyrpEE5KGU8fxTpcj&#10;CFd4A/IuMSXe49xdBw4YFuEPbXZ7/fp5TEz4gHxVpS/Om3bG+OOseb3BOK1irTAJ7/Ep1umItD5p&#10;TCCRqQ4krSNCmfD+5Ge9fiVX5Wt+sPLk1JGekPy6kW1CJ/zEplGivv6gHoT3y1/Fm+edMQHd9w0R&#10;Hvf+RbUvvsuG8HgDJP9BbxEK7x/QxomYNpUlrJ5gpA4dRDNp/G3FJ1k00XJl429O3dJz40bpGv8B&#10;DCK82688B6K+V+mXec2QqeFdAeUGLgSQKwzyKQlCfdskvOuklriRLcZMa57OZkxIIQ3OhCXCu4LK&#10;D6phMlGcCT899RqFC9Crhh9zYuPRaPOvo/1xnl8nwtPVHZRfdweUKxDsQXi3P95zOXi/IZabL8hz&#10;WOPqI3C9RDSmdV8t/QVaKNaQtV6b/YJo2voh94hwWl9BWYiY1sp7dBvVoJAyPzdS88ivhR/wMDU8&#10;28B+/dQOk/CjA/LckVNOn4QOwQSqrE0EQahfWCbNBJ4aHAbibXAF4ufC7OmERv4tCMjmD2t4n3w+&#10;2n+vqq6lTfhaqqljUV4ByhJ+1KSFx6Otja5g4kbY5+y1wiS8x9d8nlG2iPBev/z2KF9L/kNVv4MI&#10;L2nm+nXSbqfxykACeRGLaJtENLuW4+HMRSDbaqStQTl9tSCtTiTnRZHMl4XpoYu8fUna1fpKRTp9&#10;O3stbwIJa1tEY0ZD/cuFpMZ172GZ69l9HqFh7Zl6HtJpk/Spyw/HM1yCMptFVLtGRNSj0AbKZP6I&#10;Zyr2I07uOeie4fRXUFbfZUVlwhla7qw/vwkivAnaxEIrIKX0VaivzyeTuz2+Ii2sfgllbuBlvuw4&#10;Svse5xHof0P/Cymjlw9nFOSvQ7lf4nodpxHIG9p+givQ8kWQ/QUySchWBnFlEDiNQesNonb+wegE&#10;3wVhz3ZNWxAfWRef5PFj0Do1LrmDCu/ecvnlzWJKbJyrruUeilfCzEEen7wNu/0d2ODtXl8iQXth&#10;Kc1dl9jm8TdfAq0wEkSm38AiPI0HDBLzF1aYMpby5HQMZukIHkS5c9C5rRRGOXRC+eN41lV0TA/l&#10;7T+UEl5qn4If+XbWfhGDGLTbZ+bFR/MPb2prSmtYU6y5yYUegVzsmftG69Vqq040c79ozB3NYSn9&#10;J2s3EKUTTM9ktH80BrOiXh2PPL1j1atH4jk/wWEpfRNfC0EkjazV3ffRMZVEPEKjsdGjEER4KbOe&#10;O6Kk/Q+71SMXfCbM9fDRzMt8JbOPjtfUw2PR6WjZcx5SRv+KKWU3W3sHyLsZdULSduS7cj/Bi4Ep&#10;SdW0hUdU1SUOp43apCFNGT215RjKG4PBK4iVoDqF+SSk6fE2YKeqZnt0kh5dK/0JH5KHcznjUGdo&#10;/noXOgGFK6ckxpntUBtcDoNbytPbTA13+ZtruE08H+fX1DA36LmoTbM+dVBK378oJXw4czLIBm2t&#10;zsP1Oyy0x3Pu2gAT3gTtaaXdQ2T307Y52oxhbg0kwpsoJDwfFGxs7pZ4w4hu60nZB/ga1X6Rvyc0&#10;PRE+psmcR+iN8IW7lAi0vp5QjvCx3DhrrbpO+LyrZrMtsxOQY9Wo+jSHw+sP5bdCaEklrr9A+ifR&#10;nr4HWMpeZZlDs1a4eW189JIf8jZEBwMERYTHq519PZLbjMwMi2AmiPC+C6o5fNraqWzOSNk3OU6g&#10;PZx8fb+EV/PmAqEc4SO2Gn49b9bgcHsUZfSjK8sRvhBlCW9s/bMjfDTbyP8nQgQKgVBIeEKD9g+8&#10;DfS3hIMBglg2gh/2ZZaIdqmRqiOauwU/5jOcx3He+bMN6U8jTSfpHNq7mX0FHeRF5P+V08hxaiFi&#10;2b+z7R7N3gYS65/aJcOMIZBfSUJUPQtvEzqmcjvCjexau3B7n2lixbRu2PHPWQQ3Eck8zKaHlNVN&#10;I0IYdngpyFtBISYsHo00wz8mYO7vbcrpLpx5d1f6YQ7P3nCwCGNMQBqe/y71RRFp11f4kUmj74jS&#10;QW/A/h6wl8Dlb7mMZl88dYn73HUym38YBH6dfcAE5FthxuwYWXf6JC7ji98JO9pD5zmNrpX5RD1X&#10;bfzX7kDLn70++SYMbrfRFKKrtsVa5ju6ZsGx1QHlaQxmL6jkD0g1I2Frv+ENJd/xhOTXaM7cE0z+&#10;n2G7swLDQPdFut/oqcosurqD8q0o84x7evNkb0h+yh1IPkblXEHlZvpGgPHGP9x18WcwsP0DxiOv&#10;m+bVh49Ck8bBniFBw+/nGR/6sFTtl1+hMAaE3wI5uzx+OmlbpqW6w6pqFT7KH2S6GoTnbYwgWTtd&#10;iaQef+vJZOe7Kd+fOBmELziyMjWcTwoxBqE6qVNE+M08IzSxaRT5lqQ8IrYx6yNcPuVLID3PftE0&#10;I+z343ie3tdS7Q0mvoCyO10++TRolFHeuuTxnmnN0z2hxJdA9mvFCdHDBw7hyx184KAnYtnLMICl&#10;Ad9+RSHhq4PKxdCkd5iEx+CyRXcrgnK1iWY605U0vMuf4M3vrOHrUrNdPmNJQgnhR/lixxVOQ6LT&#10;/A1Ev8YkPM/6hGQ+H8ATSv4MaVtoEAoyf7GQ8J6p8Y9UGmdKEeG9QfmryH9XHNLkIcJTukX4gYXU&#10;cGuT9ECHPkMy5FFKeBD0J0z4gPwKNOntJuHJ6xcRvGqq3MZxgOJef3JrOcJ7Agsnoh1rPAbT5HnI&#10;fUz4usR2EFQ/MEHHQbTswBNM/M4TSC4t0vAhZb1rmvXhiWe00FFe8PiT6odD+MJd+r2BZmQkbYER&#10;2zNOPq/nmgj6EPVBfNGl42pKQfPsEfUe0aR9r8gZ055AZkljpn8/yPUTSgnv9ctbLZNmQj3GOPUH&#10;wf7mL7DugHIr8nQX4YBp0pBGFpMjRxURHh1k1KTo8YUaHvV3jKmLy0T4ar9iLUEwMIy+A4wJwDwp&#10;JTxPRUaOdfmVdSbhx9QunMkd7kMhvJTTNwDsCXtL+Giubx1pf8CO8DSNSNBnZfID20GMSn/8dJPw&#10;Hl9iu5i0YCwRHgNBnlVy+xaeNXKaPIXz/fKZsK+/TGECE96XPEWckPJ6/coPabWkSXgQlj/WYQD8&#10;PYGBK3UAEJm9u7mC8esKCW8cjDYMHetRMT45BoPfL8Bs4sMVYEa9yoQHkL8VY4UMDXw5L6A8ahKe&#10;Vn3iXt+n8P6HSXgp/VmQ4kEhdldAE+p+FOdqtUj/tahfTCfa0UECCwR9BCI/NgRei5O9WIQuGitm&#10;rD2J6zJwjWbJq28F6reJqPoOa3z62GSe79SovqyXyz3PcSm9neP1q/XNvSZOW3ksO2slZ6+NaV0L&#10;RLM/Qv3zdR830NqcprWL8LqLEJ8twjanCZqEJ3+RUto4fke9UsxZfrxoUJtFGM9JPnIkmmXCc0ja&#10;XSKmPlY0LdmIv4Py6JnowAcCOV8Kpxfrf4txeEJUBTkQ35PXtn0H/b9NMVGYVpguxLhQoalXWq5U&#10;GN7a+Qcbx9KYaUX5QGGYUJhvhgvjeWAga4QKy+xnWIQn50j61zSeh9ev1nppPpWvHOHJRCBvW4Wu&#10;5UwNT96H6UMPwSR8VP0VytcLaf1EkCQDkk5H2uMgKnkc6/mHs+s6lcrqc+P6PL6OSOYbfI1q+rQo&#10;IZbt+Yk6knkR974af6e+fob+jlj2Xn4Gklj2ATzDXIh+DA99cygkvJQ9BvXzTpwkw8whB7Qm2OUg&#10;xjrR3DNQFlAADgYeighvwCR8OPNjvhJoKYFJ+EbDwalJeBOkFekrLKE3wtNXzAbNh/pjWYRxTA6t&#10;lSn8CESQ1NuhgfUORo5OCXRAmQma7yZI2Uf4Sohk8s9kwtTwNLdPKyLpDKdY5m7rGeioTHKTR19I&#10;CbyqsoTw9dn80lVzvYwd4QmNmQTK6PccSGhfeIRoh5mzIVnLcdpPuj4+SagLKtmtBnkooDyS7tZp&#10;XJbOeSpMoyt5TODN1wVppUJeDQYceiN8tH0aftCl+iIx9Q4mfAjEkDI/Re4wEGs9yGwsAFMR186w&#10;zkXlMviDbQmvTkFbl3K+6VOSfcyTdizQ3gR6yxA5SfvGtL9zmh3h6Q0TXXcaxhqT0LZerhAm4QlR&#10;DaYbQBo+Ak1MH59oWQUvUFv3e328ksXfVkB4+h9EtFf1hWp41mhGN3PsCM/uCelvSdNy2g/oVd1H&#10;bGybJLqUy0RX62liU/IWPU1ZAFI/xBuwO5Nt+jX1hFCTh7DXARV2N7nr2NT6ilBTI0V7Y/4EFPI7&#10;0504HG39kTvA0qZRQk2MR84w9ngw4EB2OqFw9oS+KJogIpDfR3KgStqdEIG9Ts5JaRWhlJ0l5oDQ&#10;FA+nP8b5BNLWUe0sXldiTmfSMfXmGhbyVMwOTo3lA1L2YxwvnUGh+lL6HGjjOdC+QU4j8ptoWJc/&#10;wVnK0YrFRUz6UtD6IBNz0enoWerptG38bXSIselDU195GUfeRH12Bh25wTDhqA49o5Q9m+OERpQ1&#10;Ec618JXW2FC5ooMUBghMwm9pO0l0YNDalVwDIjeIbMsxojt5LzS9/n8gwhMK/coQ4Qnd0fxv1N2q&#10;KyyT8IROZQ46wYc3aeGgj6AZHDJVeC1R+qfW2p+hBJPwm3glJHkJW8yE71C2sabuatUH9J2GXxo7&#10;wnfOcovONlqCUCG6z9I7dSHhdQ1PntEc78kDHqThadGbefzmUAOZJOxICZIyxhtst88/mP3K6KgQ&#10;W1O07qmCbXsSgplGoLL58noeEV7FldoiGWjmnAMHDhw4cODAgQMHDhw4cODAgQMHDhw4cODAgQMH&#10;Dhw4EEL8f+N11dxQXKA5AAAAAElFTkSuQmCCUEsDBAoAAAAAAAAAIQAcK61FILcAACC3AAAUAAAA&#10;ZHJzL21lZGlhL2ltYWdlMy5wbmeJUE5HDQoaCgAAAA1JSERSAAADjQAABhwIAwAAAJGIn0oAAAAZ&#10;dEVYdFNvZnR3YXJlAEFkb2JlIEltYWdlUmVhZHlxyWU8AAAD92lUWHRYTUw6Y29tLmFkb2JlLnht&#10;cAAAAAAAPD94cGFja2V0IGJlZ2luPSLvu78iIGlkPSJXNU0wTXBDZWhpSHpyZVN6TlRjemtjOWQi&#10;Pz4gPHg6eG1wbWV0YSB4bWxuczp4PSJhZG9iZTpuczptZXRhLyIgeDp4bXB0az0iQWRvYmUgWE1Q&#10;IENvcmUgNS4zLWMwMTEgNjYuMTQ1NjYxLCAyMDEyLzAyLzA2LTE0OjU2OjI3ICAgICAgICAiPiA8&#10;cmRmOlJERiB4bWxuczpyZGY9Imh0dHA6Ly93d3cudzMub3JnLzE5OTkvMDIvMjItcmRmLXN5bnRh&#10;eC1ucyMiPiA8cmRmOkRlc2NyaXB0aW9uIHJkZjphYm91dD0iIiB4bWxuczp4bXBNTT0iaHR0cDov&#10;L25zLmFkb2JlLmNvbS94YXAvMS4wL21tLyIgeG1sbnM6c3RSZWY9Imh0dHA6Ly9ucy5hZG9iZS5j&#10;b20veGFwLzEuMC9zVHlwZS9SZXNvdXJjZVJlZiMiIHhtbG5zOnhtcD0iaHR0cDovL25zLmFkb2Jl&#10;LmNvbS94YXAvMS4wLyIgeG1sbnM6ZGM9Imh0dHA6Ly9wdXJsLm9yZy9kYy9lbGVtZW50cy8xLjEv&#10;IiB4bXBNTTpPcmlnaW5hbERvY3VtZW50SUQ9InV1aWQ6NUQyMDg5MjQ5M0JGREIxMTkxNEE4NTkw&#10;RDMxNTA4QzgiIHhtcE1NOkRvY3VtZW50SUQ9InhtcC5kaWQ6QjlDN0JGRkNCNjVEMTFFNDgwRjM4&#10;QkIxODZFOEMxRTciIHhtcE1NOkluc3RhbmNlSUQ9InhtcC5paWQ6QjlDN0JGRkJCNjVEMTFFNDgw&#10;RjM4QkIxODZFOEMxRTciIHhtcDpDcmVhdG9yVG9vbD0iQWRvYmUgSWxsdXN0cmF0b3IgQ1M2IChN&#10;YWNpbnRvc2gpIj4gPHhtcE1NOkRlcml2ZWRGcm9tIHN0UmVmOmluc3RhbmNlSUQ9InhtcC5paWQ6&#10;RjJBNUUwNUUwODIwNjgxMTgzRDFGMDA4NTRBNzc3MjkiIHN0UmVmOmRvY3VtZW50SUQ9InhtcC5k&#10;aWQ6RjJBNUUwNUUwODIwNjgxMTgzRDFGMDA4NTRBNzc3MjkiLz4gPGRjOnRpdGxlPiA8cmRmOkFs&#10;dD4gPHJkZjpsaSB4bWw6bGFuZz0ieC1kZWZhdWx0Ij5VV0EgRnVsbCBWZXItQ01ZSzwvcmRmOmxp&#10;PiA8L3JkZjpBbHQ+IDwvZGM6dGl0bGU+IDwvcmRmOkRlc2NyaXB0aW9uPiA8L3JkZjpSREY+IDwv&#10;eDp4bXBtZXRhPiA8P3hwYWNrZXQgZW5kPSJyIj8+Ty77SgAAAR1QTFRFx8/mj5/MWHCzkKDNLkyg&#10;8fP5dIjA4+fyq7fZSmStPFin1dvsnavTgpTGucPfZny6MS0u8fHxkY+QWldY0agKyMfHLygf1tXV&#10;r40PUkQadnN0raurgGgVLEeR0aoS37YYPzs8TElK5OPj/frwQ1V/upwkaVYXxp8Mloc/Z2pkRjoc&#10;OjEdl3oSg4GCo4MQaGVmupYNurm5XU0Zn52d+fDRjHETdF8W48A37tiE6s5m8uKi4bso+/Xg5sVH&#10;9uvB8N2T9Oey7NN16MlWc3FbW2NtxaMbOE6Ioo42rpUtioBIf3lST1x24tGN2r5Q3MNf4Mx+064i&#10;5Nac3shv17hA7ena1rQx59qr6+TK6N+7OlOXIx8g3bEJ////IECa////hbXTLQAAAF90Uk5T////&#10;////////////////////////////////////////////////////////////////////////////&#10;/////////////////////////////////////////////wCTml8sAACxK0lEQVR42uy9d2PcNhbu&#10;zWGvM+qWJTmRlMSOLcs1drJpm2y27+33vm3a9/8Y74w0hQUkARIAAfJ5/tp1pBGHxI/n4DQYS6n6&#10;YQZBGkkuHgZohCDQCEGgETRCEGgEjRBoBI0QBBpBIwQaQSMEgUbQCIFG0AhBoBE0QqARNEIQaASN&#10;EGgEjRAEGkEjBBpBIwSBRtAIQaARgkAjaIQg0AhBoBE0QhBohCDQCBohCDSCRgg0gkYIAo2gEQKN&#10;KtM4WkCQRgKNEAQaQSMEgUYIAo2gEYJAIwSBRtAIQaARNEKgETRCEGgEjRBoBI0QBBpBIwQaQSME&#10;gUbQCIFG0AhBoBE0QqARNEIQaASNEGgEjRAEGkEjBIFGCAKNoBGCQCMEgUbQCEGgEYJAI2iEINAI&#10;GiHQCBohCDSCRgg0gkYIAo2gEQKNoBGCQCNohEAjaIQg0AgaIdAIGiEINIJGCDSCRggCjaARgkAj&#10;BIFG0AhBoBGCQCNohCDQiOcLgUbQCEGgETRCoBE0QhBoBI0QaASNEAQaQSMEGkEjBIFG0AiBRtAI&#10;QaARNEKgETRCEGgEjRBoBI0QBBpBIwSBRggCjaARgkAjBIFG0AhBoFEWjYFpTqyMXNMMOniUwfo6&#10;YmMlb/4oZ/1/fMuadHI9LApN08zexGT1L91cyOqPr+9btLmJ8/X/GT88VdCoLI2huVr6u0dWlLfi&#10;wDVtGRhOLN9w5tXyjDiRcjVMss1ktfTLr9pZcZCYoRQMV4/Tq7mJzuqZirwa0Nhk+Se+MaeUY8Su&#10;OMvEciUPTI4tUxEQQzeufYXsZPiJqcaVPDxSa2KDRhVoNC2m5b9dTTH/59fsStYXY3XtuAbJ2GG/&#10;7sh3QzWuZH0x8QQ0dkpj6DZ8dNvnZ/NbRMa8jRzf7cprtSe+1/zCPY5EtnucK42TEDR2Q2OYRPPW&#10;Mng8v0nszTlo7HaAojtuf+FRzMG2B3HE4yZGXN9qoJFSxpyTonZAmr7D60rmhmwYLV5X7rUDMuTz&#10;PnsUaJRP45yjGr9Qua6iDmg0OF68ZzV8q9lJxPMmgkbNaVzJbxAinBicL0JrGtfX7zbxLTjfRNCo&#10;P42rd7vL+Eb3uF+C7jTO547F5mW4EfebCBr7QCPTUrItR8AF6E/j2sugd1hdT8DfB439oJGaRzEs&#10;9oRGah7FsAgae0MjHY+CWOwNjVQ8TgSxCBp7RGP9/lHcMuoPjbUvtUDYXwaNvaJxBUVF7iw0RP7h&#10;3tC4eqlVFKrZscCbCBr7ReN8bpX91cSZg0ba2qIy82h6c9AIGhnqAYjm0TbE/tV+0Th3yOYxFnsT&#10;QWPvaJzPE8I73ZmDRrZoTtE8BtEcNOpNo1F0IUU/0+JKsoT/SaPqC/MrSjWk0TiP8sHViTOXRqPV&#10;+i0HGlWhMbeSbH8OGht4q1mXPxF/E0FjL2nMrCQ7moPGRkonjCS80UBjT2lM4ygDxn7SmMIxnoNG&#10;0Mgh0zEHjRy/FWgEjaARNIJG0AgaQSNoBI2gETSCRtAIGkEjaASNoBE0gkbQCBpBI2gEjaARNIJG&#10;0AgaQSNoBI2gETSCRtAIGkEjaASNoBE0gkbQCBpBI2gEjaCxNY3exFwrcyCh8fBPDyNQ3Yf/uW6x&#10;iyyyWGj0CL/v7C8ite6Mye4SHuX47sMRPLbp5s4x7Z5Gwrd66Ow0EnMvK33ZRvE34uY0js3czXq4&#10;KHf/t936A6RBoxI0Pv4Hk4CTs3tIZsUKdxhoNEqucnMR7v4nk+yH54YnZ4Y2dU9j2a/lL2P/ziNd&#10;YHMaQ1Jbcu7T7ZojA0CjEp4qgcbJ/of3/zWp+ystaNysJ9vJLbCwbPFaqtPoki/DdQTQuP3RsPqi&#10;qmcUgUaFaAzS/2SSaDRF0pjkVoL/+P8fxzMRJowqT6NZchmT8guMmtLoEj+B8BfGoFF1GoPif0kB&#10;Wu+pRjxo3Liqtpf1vby0qdaKRqvsMnz+ttHOGOSKi7Id0Kg4jZPCM49Sr/F6GuctaYzS73cz8wlu&#10;egupMY2BuXcsQu40jve0ES7KNs391LAYNCpOY1xY33Hq0e0hcYyNNits+38b0OgaKW1Cpnbqj0Zp&#10;S7lfFO54/W6PxpaZWaHK0Jj+Vk7qMh5+PjLTbx+reCOipjS6ecObuahHx98m7EdAo4I0RoUHFaSW&#10;DSHGQ/gnRhqt8jf8egLrdgRknN7EZuKojqMijWU34vHnnXTk0yq/Eaw0OnZhV1q8KKM2AQwa1cj+&#10;Z/Zo+z1cOJdK4/YVH+xcUzP9slgEjrrZfyoaM04IRxofA16BnX2I+YsKyjb5oFEtGvPxzDgdz5RH&#10;49YiWuNMyMFd1K0jXWg0xND4uO9PJvmNYfaizLrPAo1q0BjlslVB2lbKo3FnBe1MOD4khAtBY+ol&#10;trlbcT7lCBr1rFPNejHZ4hyJNG6Ncto0b69m4elPoy+Exs2nbm9UVE0jPFXlacy4ptv/5wuk0c3F&#10;HnNVB+lt4phUZqIojftv5ZFodFM3thhTbUqjuQ3fBDkfIvMIHERxdKHRyWSrskVqQmgsq+TZhwd3&#10;h1tZtY6qivnGhECjn7byVm3alpJGbxeoTXIpx8znTooxV9CoaEfVJLVTi7LLXzSNMTmRHec+y9KL&#10;xmwRQ7wyfb6b+U9WbYEhJY3xDvEol3JMGew4JOQjQaNAGm3TTCx/nUN2XFYaxykCk+wGQzSNWcw8&#10;O19RKZnGdfNR/OA2xvxoJFDHjcZgnywOs+aP8LcD1KlKoNE1PIL3wtBtbO+9nGzzhGTbaBYqKuXR&#10;aOaqYUIhNCZzrjR6qU91s/EuqpJi0MidxqB4Z0PTnFgeNY3JzpGJcpBI3TdahfXckMaHNl/GNeQU&#10;wiP2ukfYaL9vTL83S18XTiMa49SPjLOPrqxgnZpGz1p9fxs0MtJo1hX519Lo7Tb5SS6hIIRGM9v5&#10;T2Q1bkPj7j8ZvpVQrijaLsJyGvffyihhLsndIrN8hAIdjWE6dGNn3JrCVsZg7Dbe5YGNsWWZIWiU&#10;ReM25ejkNx8y843biKqddqus+q9Yv24j15ZBY8WNyLvlnPKN0dbJflA2b5z/ftWt/xU07kxlCBrl&#10;0LgJv/tRLogik8ZJtjLuMeNYX+5MtW6dpEMaXSvJ7YZ50Uj8Vm7OYJs5u9yQxrVfbINGGTQ623WT&#10;S1pJpDHebYInqeXj1e956Hw6w+6MRiP7lTjSSLRWdu6iPLs+hkNH49wLQKMEGjcBudDMv0al0Rjt&#10;435OulI1rC3Goc2TBx3S6OWimnxojMjfxM9dlEWzTKho3GfPQKNIGsfpPVskn0YnnVBId3Eki7pq&#10;HNoassjujsZslxgvGkvQmOQuavt289vTuOu0AY0iaUw7PcFcPo1J5k+nCrm8RR2O1L1H4w5pzMw2&#10;4EVj2evFy12Un9+2NqdxX6ABGgXSmJDzUqKrxjcV1jlPbrt2jbQBCDfjgY14YjeikTTuiieNRn6u&#10;RrpONc4QQZjEkS2gp/lW40KaxEwhn/5aQX21Ly2N2U4b0CiGRo+ciBad/d8sETcX5fD3fyTzMt5O&#10;XDIa0RiJpTGtsFA1nmnULJ8mx/Ct3HwAPDO2If21jPobRE3j3AaNwmmcB0SXUDyNZuoJe3nH2duT&#10;Wbpy6Wn05dG4KNA4Tv+2VVWfTvut7HwAPNOqmvlaZm2hKjWNHmyjBBp94tOXQ6NRaPjxUz6XX71y&#10;G81zkk9jhggeNPqEl2eqVTXztTxiWXAjGk3QKIFGZ0HKJcihMS6slcwEgrHNwzZG4aJTGqMUETxo&#10;nBQc1UyravZrJXWBHNqYKkX5L2gs3rZUWIDuCDeX9DTE0zgpLNuUq7p5NThWlsfAq163nhEVq+Oa&#10;ZP+NfXdMaxq3N3hNBAcasz3iRUSzX2vrF0zoaXSKAwk8i6YaBzRmnYmQsaPq8fmvfy0ws/WMD60Q&#10;ZpL/J9tMmtAYmUWtzZz/+KfTCD0Ue5u7r+b47mZPFE7i2hMrrE3Hp2tZ62jl2HLraywLQeaAuqOK&#10;8K0ebo+//g7h7ms5DzGoYP2NfcKvMJ7DEa3vWWjmTNl4/Tfs9b8+PrndDYzXP766JR41jcam43Ni&#10;WeP1XbQSqkoc0FgScWejkZvE/bnIoHMhm/Q3luyPcJoqOqpa0Wj0lkbadcuBRmcBGkFjy27jlbO/&#10;q7QHjU27jQ3DD0AjaGxC42K9ObLWJ0vb5L560EihyXqck5WYub5a0Aga2WgsEWjkINAIGkEjaASN&#10;oBE0gkbQCBpBI2gEjaARNIJG0AgaQSNo7JxGh3gsE2gUTGOUPkALNKpM4yTfYvgom1winqRb9dlo&#10;jHZFo0G8T7lHxKrmySL3d6ziB3dPYyZFaSb7rgpCOerDF8z0zweu7zDQSCpx3RTGJsV/3rXFOLGZ&#10;usQINCpN47YSLCE+pYj80wY7jU5mHIYd5559jvvCkbxK0pj/HduquA7ivycONY1meWWfWV41mWu+&#10;MEGj0jTGxPbG7VNyycCx01gY3GY6/aNxdxgsNY2702PF0FiY9AYa1aZx97zGxEWRWyxhQxoJUxSD&#10;PtK4oYuexsKQDK40mgvQqBON+2knLnFRZNvo/EUzGh1Sm2HSRxofvxUDjfmee540WgvQqBWNMbmZ&#10;YfdIQuKKsBhp3I2JDCfWvsQ96gmNppU6EOth5gXhOtLD5FzLsiYheYtQ+ufc8kYes+SlsP0T9nrY&#10;42QdcwKNStOY2lj4xEWR/tdo0YzGrQG2Hz5sN0V+0hMaH81/krphZdvrzL+7C1KkrDbDQZgUbZIf&#10;8vaj4lSCCTQqTOMjJ3ZxB2OQfBu3IY1Wbt1tP8frEY2ZE3CoaNx+SV8UjXHVwwKN6tH4+EKf2IWU&#10;435afkTYYzLSmB95nR6H3x8ax/tvQkcj8RgAjjRaNFUEoFEdGh93FvGkkHK0CNEdqyGN3iJfYJA6&#10;K6Y/NHqsNBpyaIRt1ITGzUbQ8wvxBIsQ3bFL4q91f25ciOVv/q49bBrHgmnc/KQ9Bo1a0JhsKPQK&#10;KUeruC79qkB51Z+zigjvrWV/aEwNTmfyVGNRNDq7xzUGjRrQGG491CDPi5WLzWfDr2w0EsYn7w+5&#10;6Q+Nqa+ZymRsRKKRWErRgsb9Xxtn4kpr++iOQaPiNI53JjHe58rSvxqmgn5GKvzKRqNZXF1m/2j0&#10;UzVNFjH3n6Vxm+ix57xoLLwto2wRrQMaVabR3S2HKB9sf/xPjzXHwf5f7IQrjXEvaFxbo2SXaSdf&#10;hzHPZ/9txlqcBjTmzhWyLdCoMI32Pgkf5pgwN+ts94GPW8vEIhZXNqXR6l9lnEVBYwYRRyCN+XOF&#10;Agc0qkrjOGUQk1wSYkOjt9tPPv6AZ1V8HmjcvqeK11Ha2zGei6RxX/hUhiNoVIRGN0Vg/hlvaNz8&#10;jLdJ2E+2BHOicTyYjqqy6/PnImhM9247cUD6WqBRLRqdTEGcnU05mpu1YmyelL/5ZKM5jX5fozip&#10;Wm0nm7swtorI1xcac4407v5afuiGlwLSAY1K0rjZ4gePQfFcuN3c/r/gMTQRblhtQiOhJiTsIY1B&#10;7NXVpFllf0RIvjHzW0GJMQaNatA4If2umwnwGFtm3e2TbEJjXHCfnP3PkWmc6ERj2vpR0RgbG4ff&#10;9mTRuLulFmhUkUaH+LvbEN/+k+zMfzPypeQUNBqFxJq/rysg01hYzhP1s//0NBq7PftEHo0e+S+C&#10;RiVo9Mm/7Odp3H9Isn9UBlMPR8FJMveGuJJGP1+80xsat20shjQaS06KB41K0Fgy2cHM07i3oV5T&#10;Gie5snEjFd0n0+jnSls9wk9pTeP2f4bSaIzgqapLo1f2216Oxl1vsDtvSuM4uyndjqyy56U0bmu6&#10;omInb09o3AayLHE0epPUwNbt+DhEcVSksdgYnvmX1CdF6Y/1mtC4G9ASrJZHZGVqwjbPPrRScna/&#10;ETzguJtyMdaLRjf9pbwcjf4iV3DBsWr8sUx9/RIMEn+d74j8kPznQKMSNAaFh+OlfCcjnZwy034m&#10;uYKk5s8RH3DolP0nI/VZgbufaxXO9aKxsCHP2EyT6BVwyf4/PjrSVUyQ/VeQRm9RLDhNJfkyiQy/&#10;GN6x2GjcD41LKSp99uN9lKOicEUzGq08jQaxNo4XjQa5KtYDjYJpNM3E8g1jl+CloXHjlsYloZNs&#10;WjHZnPfQnEbC/EG//Nlb8/RgnkIuVAiNgela69oZVxqN23sSOvJo9FE1LoxG0xqni6AiBhpDwi7C&#10;KaQVS+PkzDTmraNtVDz7x32VXQ0jLxrD1ZssKjS2yKDRI1XkcKSxkMMizeQAjZxoDIl3NjSjejwi&#10;gqO6e1n7ImicG6k1k+p8LaVx7mXsqUmTmfNN9jXkkTI/tunzpnFcjLXmJ1vypPHhdmRPInIdqv7G&#10;yLRBIzuNhZ5fw3BowyqPgbfcA492/+ql50dkP5P0i3TtlF7sPh5yNk5dpmcVtTPW/uYsNDf26Cs6&#10;PcOIrdUvUq6hwosqV3NdgYdVdpcMwpfy9v++/QPO5j8x0egVn4Bf/GvbLYgRb25h5qZX0vh4aYax&#10;+lSTCUzQWKnBnW2c4yoOGtDI/GckfyvOqqpgf4Dfn4BG0Mhl3RomaGxHY2HLABpBY+N1G4PGtjSu&#10;LsoGjaCRx7qtW0mgsZ7GuReARtDIY90aoLE1jeRqDNAIGpnXbQwaW9OYnc0KGkFj43UbgMbWNBKL&#10;G0EjaGRetwZobE9jva8KGkEjaASNoFEfGh14qhxodOGpgsb267YaRtBIR6OLKA5obL9ufeQb29No&#10;IN/ITKM1eSjzNQZLo7XuUzQTy3qsn/eM2K3d7RTodU0zpOuo6ieNxroPyHStTbueY/i7A7hAIwON&#10;LJM4+kojs/Ifa9L3N/aWRnRUtacxAo0caLRBI2hsTaPHNIkDNBKv1WGaxAEaQWOmR94htNaCRtZx&#10;VITWWtAIGtlobDEzDjRymBkHGkEjaASNoBE0gkbQCBpBI2gEjYOg0Xs4DHS8zpgTDqmWSaPzcBnr&#10;cMpG63Ms/PwgPCVpfLyJxjpjXjhaVTKND5dhrQtBHjVZT5Arf66gUQUaI6N0QJ+9LmcZl0EggMZo&#10;bLlmVb1HuLqgwnpSgEbPiFfLnnzl65eJz/5ya0yjZ1iJWVXAZq8uaByBRrVodAxrQlN2uHp8SWyI&#10;pZH6Wh6vxxp7qtBoxC7dxNYVAywvtiY0Ul/Lw/UkvgcalaDR892A8dMCN46E0Bj5bsj+5UJ3eyhh&#10;ZzQ644R1pnk4sQwhNHrjJGD/cvZkNy4aNHZEo9HkwW2tUsSVxtVbwW5OSvBwNd3QGMVm0480E4Mr&#10;jau3Qtj8C4bJGDR2ReO4zfJ/fJ/6Dh8ao8ZvhfRaijqgMWqz/B+JjD0+NLZ4K+wfqTsGjR3Q2BbF&#10;rVGqXEtUNI45XcpqLcmmcRJy+eTVi6Qtje3fCsWbCBql0chPFUDW0xhxQ1H4F26/OJsBWU+jZ4Ui&#10;biJo1JDGtbdV4rLW0ChoFelI4xrIkrdaDY2OHwi6iaBRTxrXG46IlcbxZCFMOtK49nzHrDQK8i1A&#10;o9Y0rj1Wn4FGJw4FXoquNK7PVXYYaPRNkTcRNGpMI2EpldHoWLbQC9GXxrWX4VHS6IdibyJo1JrG&#10;zIHh5TTSnv43TBrX8W6vnkbhLzTQ2DWNm7rsbamz8dABb60nCVAfMJ3hkUSjk1BfdvhY4bwtX99e&#10;zrr+OVCXxmB71f72qh8q39el72ETHok0xtQs2qu/m32mj5ezPuMdNKpHY2Am65VD0VCx4jJk4bFI&#10;I9UrfbWaY6rrictqy+XTGK7eY7FRX3+6vmgzYOGRQCONjxqY67cYRYOHX1ZbDhql0hhMVhQyN2as&#10;Hl+NpbT9MhrrltG6epO5ySEy4vxbQiKNobmikP2ax1Zd6YBVVn1bd1j6upaeuYPLWz/WADR2QWPQ&#10;ZNVny0ori9kCg0RjZFavIfY3Q9lbQgqNYZNVny0rtcz6l1qORqdy120m41bPNf2WAI3iaWRsimpa&#10;o5w4eRqdCjLMOOJ0TcbDahJNY+DG7V4dqZeIVf5aM70CjRXHFgQJr+EARrxu7AGNgmmMeA9z8OKy&#10;HL49ztIYlZEbumPOF+Xs7b4IGj3eN9Ep7V+xrSyNXpktra/gZ0cyAo1iaRQhxy8B0k1ZwzIsqgum&#10;eU7m4UejEJXVzpteisaxXZKiHAu9NtCoD40PQJrkmMz+f5JXkfC5S9rQ+AAk+SZV38TFxBd9YaBR&#10;KxobVYCbvvir0orGJhXgYeyIvyzQ2BmNUSpDHDPNOxszVE0W6r8qEmLGZujZtgrAUZ9Gr3jVtLef&#10;pVBpYjA91Dh1OR5oVJbG6PHsjoro3kNyu+4R0ta81b/RjYcBdmHF9Uy2xwkqQ2P0eHaHWZGQX110&#10;7cuNtubNTjyKpzqpeKjBukrHr3/bgkY5NDqrBTRhaQQIJlZlQsujWEqhX502TEyGEsyQOIVQLo3G&#10;et4k0zVbflTpsDJVPJE49C2TYedgm+s6ENDYGY3OuoClYeHxutjDafpqr2Cxwfy6ugUumEaDbdXT&#10;J+preKxgscH8uv1zJeeiQaNAGr1x8yWUzjWPS3lswKLXaHpj/prc/GoSRiPT3Nfy2+GWpgkr0vyl&#10;LDpjHuO+JvmiKNAohsbVGjI5duJMSoZHlO0f7bhsxhLHaRKZca9CaDTiCcfWwqBkFmapk5E4JYUY&#10;HHuPM+NeQSN/GqPmfmDVWiIDSaxsJr/S+Y07S7uBG1+aN41ecz+wau2TayCIL7WJR0ZRxLPdDCEH&#10;jXxpXL3NxTWnkmdUFTwtk7SMvERcA3vg+h5PGiMeznR5mJl0e4w8YyFpX+fEgbjrmsQRaORKo2gR&#10;Z1Rl24pt0i5T7FwX3UScUZVtKyZGklxlvxFo7EiEGVVzY29KXKdRMmRgIsyoSheKE7wLR/RwHNCo&#10;I43kpWSV+leeC/iIXoZX5vMTQmCO4i800NjlUiKMH1y/uicOVZAHenQjPKJ5DCL9XmigUTEeHbe4&#10;Y/TAIiOPcXHH6GjgXIDGrnks+FMOfFRmFVKKjmY+KmhUZf84rq6JBmtUTkZlHbevRwAMNCog09N9&#10;GanwUquo4g40+Q6gUQmVvNmxYWTRhFwBxzAeGjSCxtI3O5zUtnvwdU+3Rt4FaFQ2EBEF4Ku1z+9M&#10;dLp80KiMcgmyGGw1MY/ZkJih17YbNCqklKPlYMfYUOmawkSzaweNSjlajp7vdLW24Fsfw9PO1QeN&#10;Kq4khG9aeau+duEb0KimfA0iD39X3lvV9I0GGpVbScrHUr/+4lvlI2J6ZmpBI8So/3wxm32L2wAa&#10;QWP3ejlb65tnuBOgETQqASNwBI2gsXP9MZsBR9AIGlXQt7O9vvga9wM0gkYlYASOoBE0dqdnWRiB&#10;I2gEjZ3B+M0sry9e4raARtCoBIwrAUfQCBoVgRE4gkbQKF1ffzEr0b9wc0AjaFQDRlTJgUbQqAyM&#10;wBE0gkaJejmr1j+f4R6BRtCoBIyokgONoFEZGIEjaASNUvTtjEbfoCwHNIJGNWBElRxoBI3KwAgc&#10;QSNoFKtn/5zR64u/4oaBRtAoDMZvZkxClRxoBI2KwAgcQSNoFKSv/zZj1h+4baARNAqA8YtZA6FK&#10;DjSCRkVgBI6gETRy118bwrjC8RnuHmgEjRz1ctZcqJIDjaBRERiBI2gEjRz171k7ffN33EPQCBq5&#10;6NtZW6FKDjSCRkVgBI6gETTy0LN/zGbAETSCRhVg/GbGSaiSA42gUREYgSNoBI2t9HeOMAJH0Aga&#10;W+jrL2ZchSo50AgaFYEROIJG0NhQ/+EOI3Bkkw0aoUe9nIkQquQYZPaaRh8PuGMYgSNo3P05PGBa&#10;/TGbAUfQCBpV0LczcfobynJAI2hUA0ZUyYFG0KgMjMARNIJGWj37ZiZaX6AsBzSCRjVgRJUcaASN&#10;6sAIHEEjaKzV11/MJOlfuNmgEVIDRlTJgUZIGRiBI2iEKvRyJlf/eIZ7DhohJWBElVyNRr2mcYkH&#10;rBSMwBE0QkT9a9aFvkFZDmiE8vp21o1QJQcaIUVgBI6gEcrq2T9n3emLv+IBgEZoB+M3s06FKjnQ&#10;CCkCI3AcJo02nnBRX/9t1rn+wGMgaNxvGk084SKMX8wUEKrkCDJAI2AEjqARNHahvyoC4wrHZ3ga&#10;oHHQejlTR6iSA42AETiCRtDYvf49U0vf/B3PJC2v3zTiII60vp2pJlTJZbQEjYAROIJG0ChVz/4x&#10;mwFH0AgaVYDxm5miQpUcaASMwFE12T2ncYxH/KC/KwwjcNzK7DmNGFP1oK+/mCktVMmBRsAIHEEj&#10;aJSr/ygPI3AEjQPRy5kOQpXcYuH2nEY0/2sCI3BcSG/9B43S9cdsBhxBI2hUQd/O9NHfvgaNoBEw&#10;okpOCcV9p9EEjMBRFxmgsb969s1MN33xEjSCRsCIKjnQKFwTwAgcdZHXdxoH28Tx9RczTfWvwdK4&#10;BI2AEVVyoBE0AkbgOCwah9ng+HKmt/7xbIhPzew9jQZg1FGDrJIDjYAROIJGWYqG91D/NeuDvhle&#10;WU7SexqHV6j67awfGl6V3Ag0AkbgCBplaVinGz/756w/+uKvw6LR7z+NgypU1bUaDlVyaxmgETAC&#10;R9CIsnHu+rp3MM5mfwyIRq//NA6nNE7vajhUyUkvjAONgBE4DphGfyCP8q89hXGF47NhPMFgADQO&#10;pDTu5ay/GkiVnAkaASNwBI3S5AzhQf571m998/cBPMTRAGgcQmnct7O+awhVcoOg0QaMwFEH+UOg&#10;se/FOM+GAOMQcDRAo/4wfjMbiF6CRv1pTAAjcETyXxEae12M8/cBwdh3HAdBY5+LcXpVDfdm2FVy&#10;wSBoNACjHrp7dTJkHM1B0NjfOVX/6RWML6bTV+8GjONkEDT2Nv3fs2q419Pp9Kwex95WyY1AI2BU&#10;Rs+nw8ZxIDSagFGLbeN02DgaoFFb9a4A5930UXf1oZy/fQ0ataUxAYwa6NOGxilFZLWXVXLLYdA4&#10;Aowa6NWWxunzYRatDoTG3qX/+1gNdzLd6xMFjr0rywkGQqMBGPXIb+z0juIX+oajORAaPcCovj6k&#10;aaSI5PQOx2QgNPYr4djPQY1pR3WlzzS/8y+kG3WkMQSMWjmqK53T/FKvquTGQ6HRBIxaOaprX3U2&#10;NByNodDo9uaRvewpjDlHdaUrqt/7x7PePFpnKDT2JuHY26mprws0np1Q/WJ/quSWQ6FxDBi1Sf2z&#10;1AD0CcdgMDT2JOH4r97C+GJK0AtKHPtRlmMOhsZ+jBvv8aDGzyQaKY1jT6rkRoOhcQkY1dbZtIVx&#10;7AeO8XBo1D/F8eyfPYbxzQa/+48NwqprHP+KBIdGNGp/2ni/p6Zuk41H88tMWJX+E/SvkvOGQ+MI&#10;MOoQw7mcz4/SOL4eEI7L4dCoeU/V1/0eYbyL4TyZz+fHKRo/MHzIH0hw6EKj3imOr7/oNYy7GM7B&#10;Csb5ado4njB8it5VcuaAaHQAowZ1OG/XNGaM4+vZUHAcDYhGnVMcf+05jJtZcSt9fKDxfUNXdYWj&#10;xmU58ZBo1DfF8bLnLM7Od+zdPtA4P0jhyPZRGlfJGUOi0QWMqurplrzrRxjnF6xtjn3A0RsSjbqm&#10;OP7dexj3Jar3GxovmxQAbHH8OxIc6tOoaRfHAM4Qf553VOe36ajqB0brqGmVnDkoGiPAqLppvJlv&#10;la1WfXo+ABwng6JRx6DqswHAmDKNlzsaj3PV4x9Oeo/jaFg0BqiGU1Enu+6Ng8NSGqdnb5g+VMMq&#10;ufGwaDQBo4q62hF3sYNxft+811FXHKNh0ahbUPXvg4BxbxofalQ3OiL0Or466TWOy2HRqFndeN+r&#10;4Qqm8XheTSMjjppVyQUDo9EAjEqbxss6GnuN42RgNGoVVP3PMGBMmcbreS2N06ez3uI4GhqNGk3/&#10;fzkMFstM47Y07vp62uBwjp3+qVGV3HhoNE4Ao2raT4o7SMO4zXAcz48OsjiyJTo0KlqNhkbjCDAq&#10;W4YzPSLTOL+9aTJ/XD8cl0OjUZdK1W+HAmOqDCeV+U9Vxh3nGzpY046zv2lSlhMMjsYIMGpiGg8z&#10;SY8sju/Y/oYmVXLu4GhcAka19LTMNJ5mU5AXzeOquuA4Gh6NGlSqDqMa7lHnZaZx/jH7z4c30+bt&#10;x7MvdCjLMYZHowsYVdKrMtO4M4ZbSG8Pmu8c9aiS84ZH4wgwKqTUgY2XWRjn2zTjad5YMg911ARH&#10;ezk8GlWvjRtINdwm8X9HLsNJt/4/IbZYfWL/Y/9W/MmbA6TRAYwq1sQVTONuLE4xrvNQrtrgryle&#10;JTcaII1q18YNC8YXZ8TmjQe9JfyH4wbnyOmDoz9EGlWujXspDcbz11cfnu5DKGdPn169PpdN4z7x&#10;v98d5qfiHM3JxvF1kz/4D5XLcqIh0qhwGEdONdy7T8/vpiX9EZ9lEpnKbrzNw/ieiOlN0/njOlTJ&#10;LYdI43jIML54/eFsWqmz529k0bg3zbuxjYX8xpSYg2Q71VEPHM1B0uip+jj+JdwoXr2a0uju6kQG&#10;jJ9KE//z+eEB0Wjettw4rnFUtSwnGSSNS3uQ1XAvPtGh+Gh4JPCYamvMJ/5TEdVcqPWmaV+V+lVy&#10;/jBpNAcI45sPUzadXYmm8Xl5diMVPc1xetT8NADVcTSGSaOKYZxn/xRpha7upuy6ExvQSYVwCtmN&#10;vUeaj+6ctimO2+H4HwRxlKFRwTCOyGq4F8/Pps30WaS7mnpBPCnQeF9qNZv3cSheJWcOlEZvSDCe&#10;f5g216t3wq4rVYVzX4Bxd3ZjcUO5H5JzN+sVjslAaVQujPO1MBhfv5q20pmobMeLqhDOPoZzUb6h&#10;ZD1iNac/EMRRhEbFwjiiquGabRdzei3m2p5WhXD2BrDowx5xolG5KrloqDSOhgBj8+1im3mJ7I1U&#10;xRDOPlRzMxdHo2o4LodKo1JNVX8VAuP58ykvPRdgtc+qQjh7b/Syksa2Md9vVSrLMQdLo0pNVUKq&#10;4c6fTjnqE/fr+1BRhZMyjQfF/5Y+f7x1BkalKrlksDQq1FT1UnkWBewd3+w/+vqwwjQSSE0nHNvn&#10;QxXCcTxcGpWZjfOHBiyyD0xk8FNP5+WZf0KwlaunqhSO3nBpjHtbDSeCRebh3jXaT/onZDBS3RuE&#10;PGSGxhccrkWVKjl7OVwajZ7C+EIIiy3rXipK4kjW77S8y4pvTFUpHCcDplGJEcfPeMN48nkqTPwi&#10;OanBVNP384pdI8luZoYcz3qE42jINCqQ/+deDff6TByM07MXAvzUt3Nm05iuxeHlPqtQJWcMmcZR&#10;72AU5qRy9lVr/NQ60zhPN5m86w+OyyHT2Hkbx985w/hpKlp80hzpeCrJT31fiep8/kRI6qVzHINB&#10;09h1/p9zNZxow/hgibg4hh+q/dR9heoR2TR+zF4Ur5borqvkkkHT2HH+nzOMb86mEsRj5b+p8VM/&#10;1pjG3ZRV3mV7HeM4HjaNbo9gvJpKEYekY52fuptNNf1IhvFQWLC3Wxy9YdPo96Ya7uTDVJKuhPup&#10;92WHchCqVHnvHf/ZYVlOuBw2jVFvYHwlC8b2xvFTjZ/6pNJw5kf/b6+KV2S1wyo5d+A0dtf/zxfG&#10;F/JgbG2GXtT4qXvWjktgfEIcFzLTHkd/6DR2dRoH3wKcd2cSYWw3iSYzWvyi2g19UkLjhbDw0oP+&#10;1lVZTjR0GuM+wHjSBsannz+dP3p5L85ff6aysa26Jq6q+6hSIZz7EhhvSy6LW51QR1Vy9nLoNEZ9&#10;gLGxm/rqqgAWzSzyNvmEVBEOqY8qFcIpy27sTePRjaCa9m5wnAyexi42jryr4RrCeHf1omE7Vos4&#10;TrpYnJjZP60aW5VrfJwf3vCz2VkcuyjLiUHjRHsYm42+efqmReV58zhOKrlxQ2Ttpi6EkzKN8xyO&#10;PBu+Xg5v26gAjbHuML5uxOJ5qxjtBw4Xe1DTt3hbaxoPM7tM3sMJXg5u26gAjbI3jl//jS+MTcKp&#10;FMOKT6q91Yauajq58bE6QHNEYxrT9eXc59r9e2jbRgVolLxx5D41tcGm8TkNS9WhoTetL/ZtdVq/&#10;rAqnOC4nne4443prvx3YtlEFGidaw3glLHl/csc9qlqX3Ei1ZpyW0fg2bzxvD9q/JZTAMQKNcjeO&#10;L3nD+ILdS6XeW73jXQBQm9y4rU01poasHhZSIvxHMP/j2ZC2jSrQKHHjyH9q6lNxMFa3LjfItNcm&#10;N1J+almqcR9yPSIWA5xxvr8Sq+QmoFHqxpE/jOfMpvGcE+sNXMIPlYduZOKppX7qJak04K2wka8y&#10;cYxBo8yN479m3ZvGK15+MHtRaG1y48m01k/d5zMuS/qruB9P8M3Xg9k2KkGjpI0j/xHG7KaRtc/h&#10;M79pVbWdG3sntNxPJTc+Hgo9SktSlVy4BI1rebrCyG4aWUvHysvRz1pc6301aaWtG6mquVMyx3zL&#10;caTi6ILGR0kYjvPsHwJgfCd+/GJ5AqX5B93UkFaa999T97YMZO5hnAcc/zOA3kZlaBQ/HOeZkDPE&#10;n4s2jSvjyOmz3tVtGvc7wptSGI/KPuJj87eEMlVyHmh8lK8njMxdjXc8iX/T1E99X53UP7itrcIp&#10;WM9TEU2OcnEMlqDxUaKnqn4tBEb2cvEm8cY3XIKqn+o2jR9r+6iqquZOhXRVZfSH4DWSgMatAr2q&#10;4Yr5Ozo1MhtnHGhMxVNvagbdXNT7qcVs5KF4GkVXyY1B41aJjjCeyBln85xDU9WH6hlxqS7F8uRG&#10;ZTZSAo2CcVyCxt1VCLzNfxUEI7uj2iwV96Z9fPa8pjw11YbxpD6eSgBWhm1c4SiwLMcEjTKK414K&#10;WxzMEdU3XE0wA413NcmLy2nNaPFMEuN9VXZEJI0iq+Ri0CihOE4cjLM7Vhr5/h16Gq9qehqf1Pz3&#10;LG/3885oFIhjBBrFF8f9IW5lMPdSNZ2e8bTlLnSfiLkhbxqv6zeN+2wk8WeOROcbReMYLkGj8OK4&#10;bwUujDeyJoRftTS1u1rXgyc1mcYn9ckN8sbzQhaNoqrkXNAovDhOJIzsTf8vuqHxRY0fekSRaTyq&#10;yVZeC5j/LxXHMWgUnON4JhRG5orxxuXU5+1ofF6d3XhPkWk8rclW3vKYZtcpjg5oFJvjEFMNt9cr&#10;SY5qSxrT21tCNPQJRXnqftNYUjX3UWR/o4wqOXMJGoXmOETDOMu0LT6tZbN5b0M7GtMm/L4i7V86&#10;5j/dL3VZf37cu5mGOMagUWiO4++iYUzReLYO6p+fiToCtRWNmV8+rjgwvDyCc1Hny4qciyMHRw80&#10;iuzjEFUNR1zm7yqhaX1yxnkbY/u8kkaaCM6+NODmsC7Gw31mnJwquXAJGgX2cYiHMcXIc5qN5NWM&#10;N41UUaFcUrQUNJoITmmr1bWweaqScExAo8A+Dgkwphh5Q5HyaHM4+JsWND6vopEmgrP/mdJTxy+l&#10;O6q8cRyDRnHlOC9lrIbzQinYBzGmsYzyp+ym8ZilviYX5Smfz3Et4njjev2TW1mOvQSNeUVawZii&#10;8UW+AI1QxXbSDY2fK2hMhVNpanBKS1g/cnIBuquSc0GjsHIcOTDuaTyjcFRft/lLTxufxJF/Qbwl&#10;h0rfU4RTyyI42RPjJJpGjjj6oFFUOc63M8k0fpjVhlTbVYvdNXZ+8ycHHBE7pGgK4sqH5RxN5UdU&#10;t/obn7IcBzQWNdYJxn3b4ev6iGq7JqPmW9E8x6ds4dRUeOZJ/UQAqSFVnlVykyVoFFOO8628lZBt&#10;bHrNvee/Lvn/mv03Dwl5i7c0MF5S1OnI3zhywjEGjSS1HqsqvBqOkDx4U+lOclihnxob3HyQ94aU&#10;2zikyG0czan8VClF43kc25fleKBRhKsqFcbNHLbXlTlBHt7bh6Y0FtqhP7LkNlIwlvuyT3h75R1U&#10;yQVL0EiUTjCudo6fPly9IGfZ+fmp5RMc2TMjtwy5jRSM5b7s4TXHxrGucIxBo4DK8a//NutOZ4Li&#10;qRVnfTDHcI6LSUQaGMt92UzvRnfGcfbvvjiqatHYpnJcRjUcOzLTV23DGldNKS/EcC4LScTS4Mwt&#10;FYwXfLuqu6mSC5egkXvleKcwlicbW8NYmjmpXfR55/maHsZUPVxF2+Ml54kj3eCYgEbururLTmEs&#10;pbE9jC+aVr6elJhGikRjGsYnNDAeX/LcKDfRPxqX5USgkber+nLWscj7xg/ts2+fmp6w85psGrnB&#10;mNpZruzn29YHHHRUJaeUo6oYjY6mMBJPBD/jMSLmrml9zwdiHc5lfaT0yTUjjOtYUKZa9Z1GOCag&#10;kbOr+q/OILz7vFl5J8Xt3Qce+6d3TedB5j3ct7RZ/7TNo4PxMl8GcNXJs/jma+0dVdVobOKqftud&#10;SVxHUx6N1EnOOj7nE+h/3vQYgZyH+xiMEQLjfaGV42k3D6NJlZxajqpqNDpawfjY7PT00Uy9+LRr&#10;ffrwiVNcsbxnsm7FZ231I1gphvjBeCF93DhPHBPQyNNVffaPWdc0Ts92BdzvzlfiGOEvjeHU9S69&#10;IMRT0wyVDcFhhnFnZN93vXFc4/gfvR1V5WhkdFVlV8MRaRQX1L9rOtrjUxHG24NpHY2X08YwyjlQ&#10;lXeVnGKOqnI0OjrBuG/LF9Nm+6Zxy+SrQpPxYbr36aAFjJcpGNNF58ddh3Ea4JiARn6u6tcdw5ga&#10;kvFc7MczhlRfFFr+MzASxhxnd350Sf/sj10oQePsD40dVfVoZHBVu62Gy+Hymv+nnzc+R+BTPruR&#10;hZHYsJii6eaWqqExy+xRZwM5GlfJqeaoqkejoxGMaRrPXsg0jU9ZIqrXeRgJc6nSP0FZKJ4zoEed&#10;pziYcYxBY51oJwD8tXsYM7w8lWgaa3zBfOo/D2MxwZEqwKmAMbv3fDJXk8bZt7RlOR5orNNYl2q4&#10;vPU6l2caa+YJ5BMjB9OKSY65zEZVp3+6ufjmyVxVGmmr5IIlaKyVrQ2MWWCeyjONNUGcDzWn111W&#10;DCguh/F9GuqiAVWIRkocY9DIx1X9Y6YejZyT3k8bHwZ5UgNjvmfxYkozHS4zkIrgzR4rEsWhx9ED&#10;jRSXpHY1XDkxXGsAXjc/tfx1DY33pZvBg9Kx44eZqRtvDytnOV51/2QoquQmS9BIoVAXGHM0vuL5&#10;0XfNz5+rc1Rvy7aMFUOrMvOoiN7sVCkaKXD0QSONao4AeKYMjDkaeR55f1XJU3XAqOaU5YuyLWN5&#10;MPUjeRIk+ZzHLivjWHB0QCONPKWr4UrXPU/TeFJN1EnDerr8rvEw3bN/UXrwzdvM77+v3Va+UOPp&#10;vNTkZCq1aaw8WFUlGGfCRhc+rwTqVYvfTVu2jP/5kc5LvX5SewTAmSqP56UWR6iqTmOsCYwzUecz&#10;nVcD9bz5jjNdopr2Pw9O6Yb7l3mzTzqc/t8Ix3AJGttWxylQDVeSSuB6Hsyrahora2LfVfupt8Qo&#10;aWll6u3xdEqTjbwQtH8WViWXgMa2jRxqwZgxYTyX4KeaoGjlvuxz5a++J+byS7eMmZ+aHpRPYJ2q&#10;t22sxjECjS2r4xSDMU2jxBBOzb6s0q5umzcO72kgy4ZvSreMOXf2lVLP6FtdquLUpZFcHfdyppg+&#10;iQnh1OULK/dlL2iSG6eVFadkw0hM+W/9WW7HqvPXP5/pURWnMI2JDjCmkoI8Axc1GYoap/hTPYwZ&#10;w1jqpeYMY3nMdaW3UwUjqpVVcg5opFekA4wpI8Zxq3RyV0fjO/qCBBKMGcNY6qXmDOPNkwoY308V&#10;K8SpxXGyBI1tUo7fqgfjfuXzXIGf62A8ow3z5qKplwTDeHxLZxgvDitgzAwal33WOI3+9rUOyUaF&#10;aYw1gHEmYgWe18FY7RWXVowfPxq399d1EzkeMpFZw1heTF48xvG1ig8qXyUXLkFji5SjkjC+EGAa&#10;6/3U6m3jh0rDmM0elnmfuRzj9PiwEsZMecDdbKYBjgloZFO6y/HZP5V8xOcCVmCtn1qzbSxJjtw8&#10;cnNAYRgPj3Igf6xkMX+M47miOP5V7c5GxWk0VK2GK4ZUX/MHvEJ3jeKxBSe1zDBmYjwVO0tS74bC&#10;xjFTJWcuQSOjQtVh3HqFPNffq3oaK4tUSyvG50+OpxSG8fYtm2HMDB5XeOOYxdEHjawabQtw/qbq&#10;473jvvwo/NTqP1daxXNBY/AOjw7YDCMBRnWN4+zfmxVlL0Ejqzw1q+EKyQSOq4/CT61Obb6ZUumA&#10;HJZ5f81oGEkwKrtznO2q5BLQ2LB0XF0Yt0ufn2mkiKfWwP+cjsZ7IlnHU0bDmK4QODhQaEZVDY4e&#10;aGxWOv5SXRg3buUd7w+s0WcK37lOBMwOL/L2830di5n+yNNLdUvjUvrHM4VjOErTuAxVrIbLR1z4&#10;mUYqP7VyrvE7OhiP6jeM0/vDOhYPc4MfDyhHL3erb56pG8NRm8aR0jDOOJvGEzrDdtLWuBJ2jZd5&#10;Fm9Oaw3j7U2uAvZezCRL7jj+f0vQ2KgeZ6Y+jfyajOlQetreUX1fE7yhiN7km5WzszheKf3Y/jto&#10;bKY/Kf1YP3CtUKXzUyuL8Ogc1dwwjdPjwg/UOqm5ovLNJx7QjbTrWj+Dxmb6VWkaX5xxdMoo/dTK&#10;sjiqiGp2zFQhkLqtLq+uv7kmzb061iDHMZv9sgSNDfWT0jiefLri1tdImZs4a5T6J06pWu/98oHU&#10;6XV9JDUffr0oVo9/Uvih/QYam+rH2UBEmbavzOXRfEZ6tn+RxYOjehbzIZ8LQi/Hlbo3+qclaGyq&#10;r74cBownZ5Q0vm5nXlMwFlmcHtVvGAuu7SWps0rh/P8PoLGvcRyuAaHW+Y0zBhgJLF7cMjup2ZnI&#10;p+qc31iur0Bjc/08CBg/0cL4qpWjugvgNGWxUFR+SO46VpfGPy1BYwv9MgAYX9D6qZUbslpH9agd&#10;i/PL6+qaHh1o/BU0ttFvA6DxFS2MlfmNGqTfboA75cVioV1ZAxq/X4LGHic5eOiKGsazFo5qWa6/&#10;IYuEYte36tP4I2hspz/3HcZzahgrY5WfKWi8vCnmNJqxSOq2ulbwkKqsvlyCRiQ5eBTh1OU36j5m&#10;fvixwNT1x8NGLF5fVh+Mo2q+8QfQiCQHjyKcuvxGbY3q20Kb/vHlvEEcdW1PD2tmx6lai/MVaESS&#10;g0cRTt127POUVRcULN5eHFDvM98qP4vjT0vQ2Fr/FcmNepNzxwrjQb2T+v64PDRbeYKjoj0c34HG&#10;9vq1xzQ+ZQHoXQtHtbbLsUBXcZu5cm5PacZyKNrf+MsSNCLJwSW5UTNmgNlRva/pmbqYMrGYjqiq&#10;2vv/G2jkod52crBZtM8cHdXjyt0iySzW5CUvKUf3dKeflqCRi/4HkhvVi5zVUb2p2DS+f0vaZdbU&#10;CBxeKz/e+EfQyEc/ILmxEj9HtRzGJxekecXXtb1W91PVs41ffgUaUQHAJ7lRU+ByxwXGJ/fXRK+2&#10;Pi95OlU+ovrDEjRy0v8aenKjuhCHzVElH8d4e0RE8eCCYk5O5nBjRWM4X4FGVABwSm5Un7/xuW00&#10;tcQqTm8uaUrnDm8UP2lci8y/PjT2sDzuihHGV3wcVcJA/zIUD+4pzGKuCkfZqrifQSM/fTfs5EZ1&#10;bIThs/ID/Q/fE8M266Kb93NKXVBPX4Zp7AeNfZsBcPKKlcZ3HBzVXJriycfjsq0llYdKGJVzp2hR&#10;3K+gEeVx/Gpnzlo7qjcfb7NG8ZrqB1n2jMpOi/tlCRphHDklN6qXOZ2jmjZ2p0c3Ux4orszrNcNQ&#10;O5jG3tDYp/K4kzNmGt+0tbN7Eo/LeyDZUMye4KhwEOd/L0EjZ/003ORGtc2hclSv60g8uKDfK269&#10;1GPGM7S60o+gEcaxTJ/YYaxY5HRzdW7eV5A4vbk/nTPr8oB1/nJH+mkJGmEcy/Z57H5qlQP4fNpO&#10;B28vb9lRzBwBcK12A8ePoBHGsUyvGiBTUYhz1gbF46Mn8ybKTEi+uFW6Zlwf06gTjT0xjlcNoLnj&#10;GZ7dk3g6n7dncX0wzjVdcTtMY49o/C99gPG8CTgVldgfmqF405TE/FyAh5N2LhQO42hkGrWisQ+N&#10;VSd3Tdgp34ydNDSMTxqieJibkPz2MDv0v7INsxP9F9AoRj3oOv7ciJ3yz3vdDMbLZiwWmpE/Fvsb&#10;FbvhWnQZa0mj/sax2S7vA9+QUEMYi+Nyjp/MlafxhyVohHHkVYRTnd94JwvG24/FMzwuib3/MI1D&#10;oVF349gw5PKCq+N78J45bkPogMzM/79UlkatTKNmNGpuHBtmI+64JhuPbxmN4ltCzU3uLI4jVSfG&#10;6WUadaNRa+PY0E+tyG+wx3AOWLzUJ5fktqvCuTjKZjj0Mo260ai1cWzop1bkN1jLzw+OqCvDT4/e&#10;lkwFuCkCfaNoh6NmplE7GjU2jo2rZko/8QWjj0pnFw9PP17clLd6PKk+EecKpnE4NOprHJv6qRX5&#10;DYaC8QOq3sUn74+Or6sOgSTz/H6q5mlxuplG/WjU1jg29VPL8xsMfL+ti9Wcfqzm8AHFQ4o5VSrd&#10;8j8vQaNg/ZeB+anl86kY+iSPynaHKwov6jB8cFDfl+84DxXtNv5pCRqF66dB+akVKQOGktePGTt4&#10;+v7o6OiYAkK6tquPik7i+BE0itePg/JTy4OULOmNi6Ojt8crHTD3ety/rw3DXtM1YsI09pFGHY1j&#10;cz+1/PyNp1OxOjg+OqVJiBxRTkSHaewljT8OyE8ttzbnIkk8vr+k7bnKHInzGqZxaDTqZxw/N+fi&#10;lWTTuLKIl0zNj28VPRLnN9AoR/+vZjC2MWOfpZnG6+Ojj6esUxwzBeMqpf5/WYJGSdJs8PhdC0be&#10;tM/817qlx0dHpw2HATw5UNQ0/goaZUmvUzmu2qBywqUojuiSHt+vjGHz+TgFGGEah0mjVsaxFTiv&#10;xOwaL+Zc9CRTz6qSafx/QGNRiaDP/T8a0dgKnM9Cdo28YDygy8XI1580W89SaIwWjqBP1uew4zet&#10;uHkjwjR+5APj+wNlj+AQdZTxItKYxmQxFvTJP2uTaryb8t82tjKN7JM4yLrPfuyZQmU4v4uiZeFq&#10;TKMt7up16axqFcIp2za2IfzmVsCWUS0/VVgnVbKwHW1p9BeLUNRna9JZ1TL2SS5S/dTCMPLxUg/v&#10;qctpO5CwJuNgsfC1pdFcLMQ52np0VrWMfb7mW2fHMImjksWjQvW5Up1Uokyjt1rPga40ri9+EQ+6&#10;Pu5Ny6TgC551dseXolicvlLp2EZh5eLxQqR5EUzjaCH0XaJD8Xi7EM70jPSZjSYaNzylkTAl4J7Q&#10;laUUjN8LW3GT9YJONKUxXF/8Qty2V/0SgKuWppHo/zEP+7/+eMqHRNLE8YfJPUodaCysJs55WM+2&#10;njSOHy5e4LZX+fq4k7OWNF5xIZxXrv/ohnXea79q4oQvaJE0Th4vfiLuL6heAvC5JYykAWwNgrSX&#10;7Uk8/Vg2XXV6d67WTf9Z2HJzHxe0qSON3mIjcRf/8xd9zm6Qc/8NDqVq5ajenh6VT1dd7WyvTtS6&#10;6b+LW272ZkF7GtIYb2kci7s/apcAfGgL4x2/nei2Y4O6cepwPU7u7XHjZui+Jf53jupiMdKQxnB7&#10;8QKLiZQuAWjfD/yUTzy12M+47mhc6fI0r/W/3q/+M4dB6N1I4AjVZLugQ/1oNLbXLjQIpXKWo/2o&#10;jCvORa8ipNY9FzkMZ2dexHl7wmh0FwsJruryf/fYNBYbOD6owN/xpbo0/ipupUX7BT3RjUZnf+1C&#10;695/7bFpLEwZ/9Q9itdHt/O5sjSK7PhPUiva0YxGP3XtIl1VZbMc5/y9wPPOUbx/DAIpWp8qMruR&#10;dlTFlXuKojFIXbtQV/XnL3trGnPxyndnnaJ4c/+EcO7GB5XuucgD4qL0gg71ojFz7WJbNH/orWnM&#10;2p2TVx1uFTPz/9+rOZhK7AFxSWZFG1rR6GauXairqmYvB4/Zw1ciYDxgOozj5vj+qFA7cF9dLdSZ&#10;hI76D2XYF0E02plrF+qqKhnI4bLFy5z3xGl+6sGT7VFxp6eXD0nHi+OCLtb/flo63PG6psmkhyGc&#10;nLMnagSAGBr97LULnibyX/tpGjN2hxOMNxw6HN8r2vH/ncg15uZWtK8RjWbu2sW6quqVq76YcqaR&#10;E4z3PHo5jikmoferQLXo7Alq2xVCo7dYSHmVKBvI4QMP7887fsIDxtPqQtpehnD2Nao7RdrQmBSu&#10;fSKURuenPprGKV8Y357ymU91rWZEVexpjW5hRSfa0BgWrn0hdPCdaoGcKy4w3vGD8eAtn5E4+Smq&#10;6nRTiT13w7ELC9rWhcaiWRftqi7/ohSNfNL0m3TjSauI0M26UYMXibkQjkoxHKEhnEJUUtSKFkHj&#10;hHDtgVgalarIeT3lSGPLPOPlnKuyJ2+oM11cbAinEJUUNQJAAI3egiRP7P1SKZDzlCONbcvhDgXC&#10;qI5p/EloCEfeihZAY0y8dsGn+yy/71sM52GxtzWzN4fiYFTogDjBp4qPiCt6pAWNIfHaQ8E0qhPI&#10;+cyJxqvZCYdg6s39KS8YLw/KS4V6HMKRuKL502gsyBoLvmX/q18xnBWN73jViR8fcSDy8K2qE3G+&#10;/FnsypK3ovnT6JZc+0QwjarMyHnDCaEp356NFZGHHA3j9OydMjT+IHhlyVvR3Gl0FmVyBN+0/7tP&#10;dThiWhQvLhuW41xe5z9LnQPivhe8rgjJRlFxHO40+qU0xoLvmhonAZycTdXW8T0rkrdH18QQkyL6&#10;VfCykriiudMYlF676DiOGknH11MddPP26D0dk0+IR28oNIDjd9HLSuKK5k1jtCiXIfq+qZB0/DDV&#10;R9fH90fvy7eTh6cfL67JW1p1khuCU41yVzTvz3Mrrt0VTaMKScephjo4Pn57dLQeRf6odRty1YgA&#10;lQ6I+030mpK5onnTaFdcu/A4zvK7/kRUFZZKB8T9RfSScmSuaM40+lWXLj6Os/zviKgK12AGU1Gs&#10;aF9pGs3Kaxcex1l+9VPHy+NOYYzevj1o/yFqHRD3P4WvqLByRQcq0+gtqjUWfvM6LpB7pzCMFw8R&#10;0uN2H/JZqQPifhG+noyaFR0pTGNSc+0T4Xdv+Xuny+OTsiwevN/nLBrbyOcvVGJReElcTQyHfxyH&#10;L412zbWL7qvq3Fd9qiiL1x+zeYzby3tmI3l3pRaLQo+Ho3T2OI8A4ErjuO7ahfdVde2rKrVNPN7m&#10;L47Iif4nl0fH1zWfca9m9EaSn1rSSyUsjsOVxknttduO+Dv437pbH+cKwXj8mMGvnwH3/uji+IZU&#10;GnC0cm4/EgdKDsVPrXf2+I4AMGSadfHzcR581e4K5K4UopF1Bsft6ekKzO2Rx4fFoVTng/NTa9Ib&#10;/DdfhlSzLiPJsVz+hrK4lWnj02F8oyyNEvzUmvQG/82XIfnaJSQ5Opwgp1D/xg2Xlv/b1CcOz081&#10;FpLtiyH52oWM2lLFV32hVBz1+JTr9NRXg/NTa2pZBNgXjjS6VNcuZmS6GnFV1YpUW/N4eKBqSFWG&#10;n+rRLeiJijQ6dNcuoZOjsxqAq6lqur7kZRqnL4bmp9KaF45xHH40xgvpF69aDYCKuf/ro+bjcJ5M&#10;VXVUZfiptOaFYzMEPxqDhUrGsRNfVc2S8YOL24Z+6o2Sc3Ak+alUKQLOcRxuNEa01y6lAqAbX1Xd&#10;WTiNHNb0yMa7wfmpjk29og3laHSpr13EkGaCryp/DsD5VF0d3DMbyIv0739SicbflDKNHL09Q/6b&#10;RJJxlD8HQPG+/2O2U+MyMCq1a/yLjOVDlz3nPAKAF40+w7XLMY7yZ1apElL9WFoKfvG+4WTxdyr5&#10;qV/JWD1MC9pXjEaT5eJDKTRKn1mlyBSOe9Iw4n1IhwrI0+wHKOWn/qqcaeQ2AoATjd5i0cW7pFqy&#10;56uqkeA4OCQPB9//QO1Bx7cXuSZjlWD8famcaeRW0sKJxoTt4iUZx/8pd528UoLGre07rWonrjq5&#10;6snFVGEYv/9KPdPILY7DiUZ7oaJxlFw+roZpvC3HKk8k4QiA0/trlWfEiT5SvKFp5DUCgA+NY8aL&#10;l2Uc5ZaPqzKN6jZ1gkbdBJybt0dHu5nGFwRz+vSdUjD+eamiaeRlXvjQOFks1DSOMkty1OngSBff&#10;XN60+6zhNTU2MI28WpO40OgxX7ws4yizJEel5H+axycXLcaoKlWDIym50cA0cqq+5kLjiP3iZRlH&#10;iWkOtUpx0jweNjeQT5Wi8TdVTSOnEQBGR68Sacbxuy+HSeN0+jYdNr29v270IZ+Hl9xotp5tVWg0&#10;FguFjeOPwy2MO85k+k+beKwqtW5ISm40Mo18RgDwoNFtdPWyjKO0NId6vcbrbuNMov89s4VUKKL6&#10;5XcKm0Y+IwA40Bgtmmkk6ebK6jxWkcZi8wbbSRxnw0tuNDSNXPqq2nyEYYwSM1w0lZxWjqW0bg41&#10;aVxvIHOlqYfv72mjOh+G1rnR2DQ+uHtmMhobsmk0xiPXtBdtJcs4Lv88bBrX4zgK3Y2nH0m5/unB&#10;26MjJcvFf5K0aWyUIMiZGdNtCCXTLzmGzwVD2cZx+V8HTuPaQJLa/w8fpovfH691sR4yvt5lHis5&#10;mkrWptHht7zNycg3HP40rjGcmAveSmTRKKVCrksaDy7rwzOUzVQXSjYZy9o0cjCNhTIdeihraPSM&#10;eGTyx1Dm+DhpFXI8aGx41un1k/n8iCJ/cX1/quf8DWmbRs8WtdYDcxQbXjMaHzAMFoLlyrrJMgYB&#10;cKDxYn7Z5NduHtIYt2/pJsi9r+huPMy2fbwY2qaxYbaOFcqIlsaoXaBUflSYUr9okP1/u67ybtbt&#10;T+rYL7fAH8kHOh5eHqhZFvedNNMoa+Gvw69FKA1e+YqGPvWyP1vH9pVxB2tInjSomLnZ0nVJ+8sH&#10;74tnqxZqdc6HtmlcmpLXfy4nYkh/K8g/skpS1pFDneoDjrdNSry3E8UPjw4ofeLNjz+IeJyqMqZR&#10;2qaxYY0nv/CJIc9j7rY+TnzWkUfV+AOOmeMvqAM52/gMFY8bGOdHGlTFyds0LoNOGHAJnmpHxnEk&#10;D0fBBatcuo0fcTxt0nDx9nbH43VdPoRw0EZBn4a2aWxcE8cts2AsOzaO8koAhBescsocPgDVxDxO&#10;9wfgXB7T7DIrt6iqzKb6Udr6cOyOTWOaxo6Mo7wsh+heR06Z/McI6ZPjxihXNzTuD5GrhFGVCtU/&#10;yVseo65NYybD0Y1xlHK86kZiex15TXC8ua0fwTg9OPp4UMnaijZCcXiqQE4Ly/i9vE2jAtbI6P5y&#10;5GU5lss/iVw53KYbH3ysm2hzs4bq9nhaw+P88DQ1CO744jI9LudAgz2jlNOoOspuEOrRjGX3xnEs&#10;EUeRY3I+86s7vTnd5uPfHhCS91uoiOaRdKDxk0JFXFVm8qkyxeK/yVsZhgIbNUOSrR5V7JBDeYEc&#10;oacBcC0b30+ZevLx4niDzvXx/ccMVyXVcLUHGldFiZ6qkvSfzX6Q+J6uKHyxR3JMY64yTphx9CsP&#10;IpeY5RBZP855MM7Fk0qeDqur4S6q6sPfl6ZAXn1Sp4lK1vTU2hDOSFzuw62oU/WEwVidWfUk3nZx&#10;RQDvuE+ZKj2+5vb+YJfuL2umur4vwfk9cb959/T51fnJTCFJTPtX9m6EAlORXlXVuCsMxkq/XGYg&#10;R2AkR0iTcKFrfzdI4/6whscVkMUdJCHz8fTN+YuZcvryO4mLYlLX2uDb4k1jnkYRxtEe15MuM5Aj&#10;7gxyMYdUXb89en/65CFAevrx6DgF0/X7mvn+mzz/7eakjfdHb0ncnp3MVNSPEtdE1UEym2FwkS3c&#10;NBY6qvgbRzuiKHWQWJEjMJLzQf7E1NuK+f7b2OphTRn6uZIw/i5xRThVIZwtMQJwdGv6Gz1hMC4r&#10;AzmJTF9VVCSni1kc9/ut5enRMWnuRh2Mr5WEUWYEpyaEsxSGo1fXbewKg7E6kGPIvPuCIjmdzP4/&#10;yGQznqyc2ZVO9wGcugat50rCKDOCUzkRON1kFIViTWORRr7GMYhoE6yBTBpFRXLUGGCcDaDW9Fd9&#10;UhJGqRGcyiqcDCBOINQ0Eubi8DSOgUP/2TKTjqIiOZ2dNf62ZBzc7UXNLHE194wya3Cqd1A588UV&#10;x2K/hCGyeDYPY3Ugx5OKo5BIzudpZyKNg7u9rzGMz9WMpkqtwalMNRaiizxx9Cho5GccA4epn1Nq&#10;0lHMYI5uj6k6OD46vU0duFGzYTx7/kJNFmV2UdWkGuNi+HUizjSSaPTE/bVqFz2W+hBEdFedKDBU&#10;/GFw+HHtbJ0Pb2aq6nuZEZzKVCMxmOEKM43EeaquOBgrw1dSk45iDiF/NdVFdyeqwiizi6qm4Z8c&#10;6BfHhyGq7bKspT+pr3qQpb/0auPIqleq4vidMn5q0iA92cY0kmeNc4A/blL2ILVATkhg9XwKHDUq&#10;iKv2U8t9NV+QtSLS2N44+ry/vy4lcmca4Xj2TkEYf18q46dW2AZfiGlcivGM/aa+gWRflX9g9fkU&#10;OOoTTq1ci5Ux/rYtHeSNHJnGdsbRNhrnd6o51iCw+maqFY6q1ajKDadW+2nV+e+WRaseA42tjKNd&#10;NwQubn4PuOuHIbuqK12pFU79Sh0/ta42rBWOJTHOEho9rjBGoUeddJRbA8C/YvW5XjROPygUy5Fb&#10;nVrtp+ZSja5LWNW8TWPp+Y2NjWNAqPexc4xFjaKxegRW32hG4/SVOpvH3+Q++spQTNamGCRz1rxK&#10;riz9V3qaKudquDF1wsaOJOP4E98ldacbjspsHuXmNqrjFzk/NSAu7cY4eow0NjSOpaWpuSmNgTK9&#10;VdzPA7iaaic1vFXJ4dTK/VJuuY5KFrdjcjWN5TQ2OgDddUpDNgm9rzqSjSPXRfVCPxqnZwoUrf5F&#10;8lOvLKgxiCwQbI3L0zSW09ik/MetMrFG03uhW57jg4Y4dm8eJec2qu1BUmJFCbsol6NprKCR/fys&#10;ShjzDmhA7yeIF9fJHG90pLHr3eNPkmGsLNDMrT+/MqiR8DONFTQyG0dCL5hb7oBWvpskl+RwznPc&#10;aYnj9GmHwVXZuY1qk2aUmyUCjj4301hFI6Nx9GsjwB497LFsHHn2c7yeaqrPnbmrsmH0GfzUbFbS&#10;9tvi6DWikc041sOYT+wHCqU5uKYdT850xfHsqhseJec2qkOUuViNUb/SmYpWq04PNpZcjCOhNJWQ&#10;jInpfdVA9tbxq/9r0EmOTnmUDWOlIcjl/QkbTL9VlZzXkEZ640iqhrNri1BHTV8hqqcd9TWOnfAo&#10;O9FYHXgZ1f9s0gLHynVtLDkYR0oYC76q2bgrS3EcNTaODzy+6DWM4wV97YlBiRR10arXmEZK4xhE&#10;1O+KmN59l751XP4G47gb7Shvzur3sh8zy6orS4Q0LlqtdvmqaaQyjiyDGnO+qq/U1pFjFcDVVHfd&#10;STpWVXbWv2bTGFP6tJOGRateCxppjCPb1FSzKnrc9daRXxXAyd1Ufz19fdJDGCs3jSaNn1pWtBq0&#10;NY11NNYbxwnbCOPcy6f686VvHflVAbye9kJPBVtI6Vn/6sWZm8tUWbDTqGjVa0VjrXF0Gcsc8r6q&#10;saAPNmuF46tpT3T3+c1Jf2CsDn6OWYreAvai1Tpvr47GGuPIDGPBGaj8xtILVvkV5ZxPe6RXz18L&#10;KZuTDmO1N5ksGSxFkxpyryWN1cZxtGxgrWOGTbUpnUZuRTnPpz3Tqw9Xb865mknpWf/qOEXA4Kc2&#10;KlqtDYTU0lhlHAnVcBTtl7nvUN1ImWiLo/ZZjjLP9ekbbWEcsbBFcfyNPWbC0WtNY8U38BkdgZIE&#10;q79QK5LDC8dP/aRx+lRbGMcsPtu4YXm23yJHUE9jmXEkvBdo54SMGJxb+UUA3IpynvYSxjNOUdbf&#10;pT/X6gjOhKFGoFnRqseBxhLjSBzUSFusZzBA3EEkhxOOL3rpq3LqSpZeD8e4zKgn3sS0OFKkzylo&#10;JBpHO2J89VR99erflB/J4YVjH33V57rCWLMPzK3nuE2LFHk9e1xoJBnHoBWMhW/gt8rSqItj/3xV&#10;TgdbdQBjwmLhonbN/CQzTDN7jYbGonEkVcOxTQoYs+RFPPnP7kfEVYmbRj5px+/lP1CPZdPIOCjV&#10;paiSozp+jWo826hVaSpNSU7V17eN5VJXHM+xaVSiOLXGd8tvGlknT1EUrVKNJaVa6TnjOGkPYyHN&#10;UX6vOgiqcsTxc69g/KwvjJU4Rk2SG0xFq3Qnk9LZnVHNNq7J0csjOp7DjmDkhWOfto4fdIZx5awG&#10;dFmKJoO9CcfPuMymkZLGtHFsUJpKNcM4UaTJkTOOPdo68ongdAZj6X4ov6Ibna5RXbRKeWg35Z5s&#10;VFWq1vA8q/wVBorByAnHd33BkU/av0MYSwo382ts1HA5VxWtUh5mQUnjzjgSquEmi4Yya/Oabqcw&#10;cuqv6kmrI59w6pdfdftE3bp4Ym3nRhMcKU0jLY3bF0bT0lSqraOhQKJRBI5XvaCRS624/IbGWhzH&#10;FLUujWcK+0ymkZrGh4u0+cJY2DrGXfdvCMKxD81Vr/sBY2GR5UEx26znIh+GzWAaqWlcG0dSNVwr&#10;GAuX6XbbvSEMx6eAURUYc9H7CYfsQG0NOfURiNQ0OrbdshqOZusYqAYjHxxPXgFGVWDMlI3lIzjj&#10;luuZWLRKbRrpaVzGAmAsvDZ2qZ5uCnCA4wBgTK3bvIHx2i/oIo4evV1ps+iN9tde2ERH3RbgAMcB&#10;wLjH0eCRaeQYemxBo7/goXyA2e+2AAc4DgDGbVlOzCdxzi9HbnQMY/Hi3a5z/sCx9zA+RihcSSta&#10;Ao3xgpfyN8VUDsZB49hLGNdlOQH/KEhbHJvS6C74KecwOOrBOFwcz877CeN6neX+b8hvRTfdaRnd&#10;w9jFSPGOcNSuDIBTOdx3Gjxgk+eKbhiFNBSAkb5WAVU5OnZtaAFjwnlJR7JodIIFZwWDwVGrwVUf&#10;hgOjz3tJ274cGvnDqEJ9uCwc3+jTYHXFpbn4f+gAI78ITqtiMkMJGElTKRUUl+Md32kSyznjM+D/&#10;+680eLA8IzhtcDRUeIuQyiKUFJ9pAB+02DK+GA6My0DMmk5E0ygKRrVq4cTiqEPDI595VJrA6Apa&#10;08wbMEMRGDWJ5PAa7Hg3CC9VExhjYWuaFUc2Gv2FQJnL4eCotrf64WRIMI5FLuqJI4xGoTBqEljl&#10;hOPstbKx1bNPfL7h7BctYBTo7jG7fIY6MGoSWOV2gpWiAwE+cDoRrouzNpQJpzbEkYHGZCFc4yHh&#10;qKR55LVj1AbGQPiiDiIBNLriYdQksMoNR/XqVj+fDAtGxVa1odJlF3uPe46jYsHVp+94sdjBycWN&#10;lMhZ1RFfGh1zIUd65DmWX33Pa9l+UsZdvePmpM5mP+oBoy9pVdtjnjRK8K71ynNwxPFEjWOs7l7P&#10;BgfjWNqqpqySMxSDUZc8B0ccZy+63z6eXZ0MD0bBuY0GONLQGIULmUr0eJZ8WjqU4JEvi1p0UMmG&#10;kS59Zyh31erMNZaIY5c83r3myaI2MEp1+CidPkM9GPXB8fcZVx47iec85blfXFfDAcbmONbSOJYP&#10;ox6Dctb6ketCPrmSnu94/m7GGcavNHl0ZgfLuvYAxDoa/UUXsoeJ42z2Wma53N2nk9lQYXQ7Wdd1&#10;+TtDRRg1wvHXLzmv5xef5RjIM+5mUZ8CnK5grMWxmsbRYqHmZfewLCc1Okf4DvLs+ZvZbMAwdriu&#10;vcY0uosFcKzTz9/zX9Ynrz9oh+Js9mddYPQ7XNeVXp+hKIwa4fjV90LWthgL+erz+UyQfgSMbXEs&#10;p9GZLLpVoMvT/epPgtb3uyuuQZ27569fiEJx9uWvgLE1joZC+RhNa+Q41wHkfNY3fIh8JZJEjXL+&#10;uxNCu5TPSqMCMOqE459FrvTZ+afnr9qA+Ol8Jljf/6wNjLYCC3vMRqOnAow64fij6PW+QvLzU8bk&#10;x9MPV2/ezSRImzSjGjCWDg8u+fdwsQCOXWc6iFvJ86urD0+rLeXTFYVX5+cnM1nSJrOhCIwJo6ca&#10;L4AjK44/zWTq5HylT1cpfVr/y7uZfP0AGDmFJ8tspgkcFcl0KK8fASOvKuwyGj0bOCqT6VBZ+mQ2&#10;VIExbpBvHC+AI7N+HxyMP30HGNlkNqrFmQBHFUOrakmfYKoqMFZORayoxbGBI7t+/XJIMP4JMPJK&#10;NdbQqJCvqhOO3w0olqNPMFUZGKtXclXVeAIcEVrtRTBVGRjD5v2NTggcm2gYoVV9KlPVgbFuxExl&#10;f6OxAI5N9OcBwKhPZapCMI6WLWjssEdabxx/630s5y9fAUauyQ0KGpcBcGwWy/mp3zD+vgSM7MkN&#10;pyWN6pTkLFhPbUYsR9yWUaP4TefNxZTJDRoaFfouC42Gc/Q7lqNT/EahBUxxokXtdOMJcERdjq71&#10;NyrBSDNYppZGldIcmuHYz7qcP+kEozKdgXTnBFOcw6ESjfqMPV7r5x5uHv+s0f3veOoh46aRikal&#10;0hya4fjVf0P/FGCkTwjQnN9oqoWjodOC+AEp/67kmNrtsGiWtmMrhaM2B8r1rhBAp5S/GlMPGR06&#10;KkNjqEUj1TGx6hQC9Gbz+INOtz0KNLQfdG5fohiOOpXlLL/6Sz+2jL9pBaNK/lyy5EqjUhVyDzjq&#10;lOnoxeZRqy1jN2cAt8k0MtHoKbZ11Cvx2IPMo1ZZRrUqyKgyjUw0qjQIYIOjTpkO7TOPWmUZFdtY&#10;jZfcaVQs66hb4lHv6Y5aFaYuHVepdTpaCqBRsayjdpkOjctWtSpMVSqzsaDoaWxGo2pZR8bXjgKp&#10;Dk17Hn/X6i5HoVoenCOGRuWyjtqFVr/6BYmNQQVTF7WDcJrTqFBBvKahVQ1THd9rtWVUbokybqaY&#10;ij4n6uGoVyxHu1SHXomNpaua77YUSKMTKIijXrEcvVIdP2p1b5VbnsyeG1tDRKReJIeh7kgN6XNy&#10;zk96eamKxW+Y0v6NaFSvCOAhiKzX5lGXro6/6OWl+spZCvbWP9bfSFTEUa+6HE28Vb3KbxRcmA06&#10;jZj5NVXE0R7rtXR+h5fKecuo3rJs0mfETKMTqoijbptH1b1VzbzUSL1F2Sj3xu7bKhnJ0W7zqLa3&#10;qpmXqt6WsUEEpxmNakZyFotQr82jwt6qZl6qcllG9hqcFjSq187RfNsMb1X7jL+nYBK8aUNDowFs&#10;E0Vx1KtsVc261S/1yvgrV5jaOILTmEYVa3J0THUoWLeqWV2qmhk3cymTRvUGc2haJ7f8VbEuK726&#10;p9T0Ulu0MjQcFRwtFvBWuXirKg2U06x7Sk0vtU0jQ9PB3b6yOOrmrf6oTDDnF73CN2p6qU0K4lrT&#10;qOqt0DC2qsr44x/0um2eosGLNnul5iBP1MVxope3qkTqUbcko69o6KLV4O3mNCobWF3odnKOCk3I&#10;miUZHVfRlWcuu6FRxbFV2tatdhzM0S18E4WKLruWk2HaGJFIZRx1C+b8+UuEb2g1UtYn85ad0ahq&#10;xermzmgWzOmujlyzGnFP2S1S6yFN7TZYvso4LkxPr2XWTWWObtU3sboeWevSk5bhDldpHHVrQu5i&#10;/rFm1TeOuegvjG1pVBxH3XIdX8nOdfz0q14wjhUOVXA4VLQtjSrnOXQ0j3JzHbrlNSYqv/iX3dOo&#10;PI7amce/IK+hoWHkM/W+fZrcsxcwjzwlqwv5LzCMisHIgUa1045amsdfYBj1Moy8DqDgUUIm6fCq&#10;wLUsKzGHYB7FlwL88rNeOcbJYgAwcqFRStrR9eYbjZvEcTXLPf4s1jx+qVnCv0GOMRhLDGjw6nHn&#10;U14tHMcgmqfkNeBRt9IckeZRN8PYwB9KnLm8gAa3gROcmh0Epx1dZ55VFDQhGuZRR8M4arIzWS8S&#10;SxKM/I7Y5tV6JBTHybyoJrc6cWAedTOMRoN2jcnm5S2n08NdKkejSBwDh0Dj3GjgiITjoZtHzQyj&#10;02hPsnWgbM1g5EfjUtym2ZgT1aiWX7NoDm/zqJlhbFQhPt6sDzn9t8FSSRqFFeW4O/4c37KsfTyn&#10;0V+0R8M1j5oZRiNo9/KWsW8MHDVpFIbj7u5uRqGE/o7HRu5xaAzUPOplGBsP27B2y2OiGYw8aRSE&#10;Y1h81ZlRKxwXE2+A5lGzkf7N2xjNvfMkOoxjc15IXO2EkG3z9uamK35sv+Xrb6RVdJVH5apeValG&#10;ixe7nUqE6VGCI4ZGIThuHQ+T+K9N7XGo1REBrRs79KpKbVkHl6oUibWCkTONInDccOeVxHYaR85M&#10;rbaPv7UaC6BVH6PTdgiVnwq8T3SCkTeNAnC0io5qOrjTIo7t6rR9bDEWQK8G//Zji90UjQLbbwV4&#10;V9wNBHccTbJt3NbntLrbWm0fm55n9YNOhtHgQE+QqaG09YGRP43cj6/absqz8bFwU5/T8jgQvWrJ&#10;mwyV02oknMdnBlWmdsvXB0YBNHJv6IhI3CWb7qr2CRSdwjnf/dLnfL/Hq7oyW7zlagOjCBp545gQ&#10;XVWfmxuiVTiHrRZAp3y/M+LmU1oZGkVsHQW9woWsRL44huR3XMzvPpsa9VoxJDt0SmtwZHEfahC2&#10;dXSXGtHIGcdNxDrfPepyPKhIp/AqbTTnd42iN3zPf9uEGnax1bEmMAqikS+OoYwqYI14/IommvO9&#10;RmkNn3cF26NVdJMtjokeMIqikS+OvpSyQ414rI3mfPnDgFncLhh/11w1D7SAURiNXHG0nZIKgOHy&#10;+GNlNOcvPw+ZxW3gL1rY260jxxk5AmEURyNXHBNZLTL68PjVn8prb34bAouhXZv/TxUCjHWAUSCN&#10;XHE0pLVz68Pjr9/rXnvTxi4mTlUQb9doYHFuPRYKo0gam+OYTMqKneLFAjxWJh/1STG2YfFxKFx5&#10;GZ2xI3BXCWCqD6NQGpdGM1NmEaiz5hLHgGnD489/0dVJdVrtF81t7VtZT7K1c0+3MQcufpVgGMXS&#10;2KyE3CRVF27345JOU9amPiebfNQlxdgy1x+nCm3I7upkX761GwVgKA+jYBqb4Lh5meWxcxmNY9Iy&#10;WGfqMuzxh527+osmBeJe0s5MRdlJnkF5/j/M1MlZqsMomsYGOEYlRtBjuqWrjaZjtXvoutSTb9zV&#10;nzSZexO1rqAa50Z5ktxVLxWDN/i0HouHUTiNzDjGZQkil2nUyQPTbU82sjXpf1xHVzWJpBocgilh&#10;fto1wV31U6/u/dYxVBtG8TQuI6ZbMCmPgLGMc98mKI22UR9NAjo/ahFJdTil+ldPN5pXu6tJeqto&#10;cpha5S57QSPbYEeznEaDIVK9PywgbhtKMzU7+1Hd7SK/No0kyG0eC895l//PROSbZ8ikwCiDRjYc&#10;/dKmNItl47jzTubtOz3C2AFLrRca56bfYF7trmbrU9tuHSUNqJcSyWfBcYtR8Xd8FhrTk4ra71Vs&#10;NwJPCriopAx0ibtqZHpi91vHRvXjsuJ5cvJqLPbJLLtvDgONu3LhzJkBrRxWH1A1dVFdIQWNUfGg&#10;pJS7Gmcj82abqVXSHr2sLDcDjgkZx4Slwin/4nQ4dLjZiQey2OWbCzHa+qqR5RDc1UkubGPt38xW&#10;rCiM0mhkwXE7ndaZkMLaNO+2sPjajHgsChhIVrOYCKzz35bkWOG46K6GmTBO2pR6jLtHic9cXgWY&#10;z45jyvOwI5b6JmNnElOpqTGPvYudYAdJv1sUN1o4sx0JFqZXcFe9nCeVzlIytDvaMkPqEusxfYY7&#10;sPc8NqfEMZ1KZe5/2E7XNPLpqgkQYqULogpvfzNTacSCuzrORxkmTc6pt6W+fGVWR49tdus4d3zX&#10;dPf/l8o0eukfDlLTNT1O7coT5CDrcotSmm3iFFx5dzUpdBnH7DNW5cIolUaWKrmYfLo4VYDayk1D&#10;cVNujMFplcBj7c5DJfqqa1OZcVcfDadTLCVnOKM+lPyQ5XYORfSPyXVINNK803YbhJ1rbKdDrBYv&#10;ByqMEWMleUCThTyZ2Y1gxl3NF1LuQg/U5VmB7C2J5D4+huRrEDWDcR+STd300GiwZ6DZQgLILIri&#10;N4tkHyouPud88U1IiNSrBaNsGpcOw5vTcprAaJKHaE68uZDZOqaPmE5XKKZ9VTP/nIuVqQ8eEv08&#10;ion8Byu/x50h8WhneKQ8TCwqq9fffFjCfUVMAGQ3KBJ81dy2JBv281ievtvBTexg4gTLMA3bHTub&#10;0Cpl9j4pnUr0WKso5ij4gbusXaGY3pjExG1JOv+/CMb0G6VkOQwaWQ9dsE3TpI6E7sqDxyWciqrT&#10;WgE5zCir43NFMUgswzDG1sRmfeImYVvSeMx4N0VXnUxjisS9SePyNu+HsJDQKVdhYgwMRS+ecHYx&#10;Uj4m5Z5mQiiwSbmrTV6/dkcVkN0sH09UQiqoDJxaoo/yWD3HAW0io4TvYzTzAVHKYo0xqZV45642&#10;uEa7Ky+no5e5IygpZVQHTkMpaelg1H+flbN/mqul2dcW0/wRkq/6EBNtmM8KO3t8nblWQs5/drnX&#10;wDU3kT0O6xgJ/7faxGlefDUhF4PbMW0cvuM0Y/c0LgXs4DI9xka46FZhMu6h0xrFQt5zJZWQlINU&#10;xhwPhph0+NA6DDsY3GM5Vv2cTckKekXkikRBt9RPv0YNw2Os+SjxVRu5V506HV0+XM7+TtjovboD&#10;B0R2Q2LGMvqPljeMHaYcxYTXOY3dtpN3GpLnHMsxin4O/YCqcC6yTz1IdN5HGqOJUDdjQthd7Htc&#10;qQLhfHxVu+NOuY4TZImIZ+qm+z9oSw38h4IfkXvNcBLrl470xom5EKydn5mUhOQihs9oc7V217Hw&#10;rteHz++lm+oxznT8J3SmcfPLgmOxKyOpS/rDEW0S836qWxohp7B4SXtfNeh8Q9H52zriZY6yPcbp&#10;WkXPZPhtoQ7rNs2tOpJrEKWFpLdmLa5IWFE8QWNPbrMQgNv97r5738nh4wnteoy3DzVdq1j/bk3P&#10;63BiGSvRdGNDwehONB6ZcmPRSXnBRsLgq+4WQBI1mig+UuDmq7CT4bJ5HBeqcFK1ijQFGZnm5rEp&#10;ZyWG5shXZTPpGSM3WMiXUfHGHJObVSt91Ubuqq3EbE4llgKPUeCkx7YttvJoNg35GkmJTUKhmcRG&#10;hzFXwx9NuuDwUVV5DKZzwg0WZ0ix+I1CNHLYPJb0GD8OLqIxdH6xCiSWXM0TmKPYkLksnBWGrtlx&#10;jYRZ7EMkBcop3Jv0xFTd4jcq0dg681jeY2w5hFZHwsuRWJYly2HNXoo5GY0MkXvKaEVhYgYLJTSp&#10;Hs1pMBjHhHkonAL1NwrSuFyOuGSsfNKOgMbEbfeYY9fLOazdrdPQNEcra8nJh3UMYzxamUJzoZas&#10;ahpDeuO4m2vGuPOJl6CxcCUtPCa/9VHSqcGcZra1x7HC7pfsev5BMhqNxsZK1FGZleLVL01MVexg&#10;Axr3z5Y2kMfoZ9kKlWQodCkNW5DtyHBbD2d0MzONMlWSfGc+crWcZVroJKsm0hZSV4+bTXp3ApUq&#10;FpWq1WqU6kiV3XiNl4SRe+J2xmFNFpBoGue1jo9BtRQY35yuUilftSonx+zeqpmiprFRCAg47x1W&#10;xwYz4mOqZq1xrDV6tsPaFqTYCYCK1TGze6sGD9PoE13S0HfKQkMQdxqT2kfM3UWxVatPVK6rgPWW&#10;p49CMRoax93b1yZG30MgI1KlIzfzm/ox7/eAcoWJ6vX4MHurVoP+KfLWxSdG6QwAI1RR7aHVTqOU&#10;fp1Gyi19BWlk91Ztn7V/quRpF/7ww9HIEwDTZCtu0g6l9mtjpj63ORupRaPiEZxK9r8yVwKYqZLv&#10;iPmZueVBO9tyPJDFuM4nlrFzVwyr9t06qY2Zuvw3joGSoxjU7EZnrwRIUu7qmHGjFxUOF0uvLQRU&#10;mVa5FbFOQ7Fr59+E3PO+yXIJGgXWrWba/Zkem9k4JGuNXUR40ijGHrnct/qNNi4va8xuJXjt4G1V&#10;D4pXdlIL+/jFdMPwerixS1nz7Tf2g9aLJIpNYFiFYv2MYrc2oWhwpTFQdmCYunOTGsx3dDPZDodu&#10;ououvcE8gWO74XFgIsOkHMV6HJ0648iVxkTZJb9UeYoZu7HKnaRJNcHBatzQmG6J9AaNYjSvUyWO&#10;Vp1xtPjRaKu84pWeKdhgeH/u4HeKMhqncUNjutfDGSyLBRSdsfXYwRy4Bt1wDHs+p2py5ECjqfSg&#10;abUnfDZpQk4X51BUmLqFCRyN/tRwq+eyLqrjT0pST2MaL2NSSWP7YzZipZf7UvV5uw3qyFPFORS+&#10;btHJYmho9IgF624wJBr9UhRz/7nizbqboVFiQTnlG0PVR9kqP/26yYBHhulUJnGX49P90W0AKDLG&#10;2eCO57uDSVNO9rfNrqTVo9k5jqv+RMu3XKL8cSgazKJvctTUo4dEwdR275e42Q1nROOwJsRVsll+&#10;kTUME7na9HmVtW0+Rbvw/qw/t9xRbRcpUzbJqBeNS89s9CKkqfkPUxvMIDs2jmKqx5gYwXFSntsQ&#10;TGQQhpVbwx1pHpWFDUr9l1alOBMdzgnT45yWJuaRajpVnAnChOl2EIoAHjGCk/V9hxFrrW7DmNDM&#10;0hiX5kK2m8o2Td92rMU61+TUJE9Mwctu1twOXDeiP8RzQv7JjM87HgSNSfU9Myiyv7tHMc9FCgKv&#10;vWk0NTmuT5szzIQcVEzqYzV92k1KTLYI6QL2uaszZKGZWP568pwR1O4dq949Js25qCZ5KtjubkbN&#10;v8dIl0Wuz4mCIsyjR2yce3BYLerfjhYlGbbqFlrVQ6WxwTCna1z9dSOarGxCSPruax2bD+cMoiVo&#10;1MA8lndvuBTnqoSEMx/szAH2pqWpaTR9Z85U0+RWuwIu1S7azxb0WKk2yZpC114YRs1oXHqc2/DH&#10;rdxJt2hY006qp+3MALN4ZHudm1jjqu42hRNqHFmqzvthGHWjsVlpDlV6oznL+/d9uqVrbunqo9pj&#10;Eg60Lza7mrOa2jarBMbGpyaN9Freup1E73CcxhDPW5U/OllzkG53nhvatlgF5H6Muk17jas6oWx1&#10;mTgkw9g0mqpLKFVbGhs1dtCmNxptOjfrz+2Fk5o5dW1lk1a7t4jKma9xVRe09zosWma/4QPXJMeo&#10;N40tj7OqTm80sKxh3kl12o1vCayEetwa+wo1q49rtPeW0dsMNUjo/IcaV5V+i57dtTY/RHPiLUGj&#10;JsmOiZF47eYCRvv4RsZJHbfkyOIQuyhYHMuKDSOq52r3xx036wMYtO82tzp9QbMrCJPxw7NxDKvx&#10;g9ahKrUnNHI4m9xr27Wfym9knNTWLwq/fLdmeqsVajSID6WjIwbFl5pHdtrJ9Ay/1veucVWDOb/2&#10;fQolzhI0ahPNcVsfB7f9hAlHJ/VBaUctJG50c1/dddbVMr610qQljQkBRtZ0UcmvNjsCvKGzr+uq&#10;1vW6l8vI5GIa14UfTQztdvHxdFILNJJZ8cuNadCOxqhFXMulq1WVkKKJtV3T+tLYqjYnbn18cTEU&#10;H/Ep3ZtYRknO3SDzZNSnBfc0ekaVz9kmrlXjqhp8Oob7Gb3pA41t3NX88cU+I0pBAUZ+iVCTbMTs&#10;EuaiehpDy/Io/HK7lfNe7arGAs7SIH1TrRe01hffyl3NHl9M2e1fUTXCLyVhk4s6JyV/KqIqYKMZ&#10;9GS2erFUu6qWDBrtkd7LWXMal0u/BQXmmOCwjqk+MRJoG7e7Wrtsf2iSSTOsSa3lMmjixFabl0iJ&#10;qyqDRtdbgsaO3dU2xQBFh9Wlqv6w58yF1eyBHLNsp2qR97ABhTGvzjC0+yqVrqr4KI6p/1rW/xu0&#10;bO2wSTPrY1qv7GGBc3dVLZK1DUoHCgQ0iVOL5oeiVqGWSlc1Ekyj7fdgJfeBxtW3aBWpmxisNdIp&#10;r3H1px3eruqE9E6wSs2wRdODmNDQ4LfIN1a7qrbg7P/IWYLGnhTnhNnu2npPzUkXkPm8XdWQtHLL&#10;Q6cRTe+gSUPjbhpG1Oj1Ni73Etx2/TJ93zD2jMbV9rEVjxmHtTa6uvUaH98BE+6uKiGoujEuXtGT&#10;tKmm05lUF5k6yqCB+19xBrEhMIhj9mYR9+aLrLaPLcde7BzW+qmLubHG3F1VoxgOcTctTkUz6FIN&#10;ywiocMiMnzSsCdsLxi71Lcx2RcGVjsS4P0u4RzS27+0IfcoAf274NXdXNS6S8/g3Eqt4hT6dQacz&#10;TnHhnHDfMqm9jjJX1fZEjdDTuAyu7zSuvk5LHu11zQp1fsPP5eW5uapu0dg+2t9gUoyTOHTT6Sh5&#10;IM6miZKQ5boLXsJYkGm0+xG86SuN7aoBHldUvcM5yc9c4u2qmoWQR7BZzWFhVQeUtaUOZWY/cYij&#10;OKjecyWuqj8Xs2vsS/CmvzRy6H2slZ9Pc495u6qFoKq1NcaFyKhF+SYwaOtswpLRbTT3leSqhlHL&#10;5rWhsNhLGtuGV+tVGGvs8nZVo3w4KdoaYyNvZCLKP23QH/saWh7RX6U/mzb1btifbcL1xFmzjyu3&#10;j99JNI9B4VVv865V9XPGN9yZRD+3+7NpzfKYKf0eun7UAMe8q5pOHPlgcZg0tqxeZctviHBVrdw+&#10;y93tDZPci8ClfQ9Y7MUwgWmNM1ZyTMv8o6mepH1eCywOlsb26cfaFecQPDRerqqZY2y8s4j5oVE+&#10;bWWp1TCsaU9ShUq1YZi9qzrJ1Dc5/IZa9inBOBgaBfEYWCbB8+Ltqtq5oKqzY93OvQkcWsaS5mXb&#10;9m7vZ1Be+NxxmCNAtDnhHq/YPtMohMcxuX6Ot6vqZBa/mfpwL7OjDKjLP802TRQB9SRoUkDWCMAi&#10;aBTAo13S7M/bVTUyJjBOIZcNqlrUiTyz1RUmtMZ/UmBxbIJF0CiEx6TE/eLtqlqZoGqU2htamb8T&#10;UZ9nHrTLwDuUgVE3i6Jnccv6mH7v12r/aeSb7/DLRuFwdlUnaXTCNHJu2jW1GZIH7Wj06TaOmbSI&#10;4/OL3ZhDWKlD+I48ebTdsUNsg+TsqgbpvambRi5IU+HStDZmaWzoKrh0IdlICIrDYHEoNK555Nd9&#10;GGzObUoWAqOq6STdOINROhjjM0RmnFZ5P8ogkCUAxYU7lFU6lO+55FBPnjGRvpMzg5xdVSNlAp1M&#10;GDVK2WCHYRqxwYPGiOLH+KLYx3pU0LjmUej4QL6uarx3DCfZHdt4v/0LWJxPo1WBWkKZcBzzRdEe&#10;eQNaoIOicfV1xZ1zupvRxCe5luwdwzjrAqcaji261saM8W44JyoS0YZRm9LoWf8iaBScgCTUBXDZ&#10;Opr7CKiXtbnm3sRFLM6x1YbGRNYxGun9uT+0xTk4GsU1eLhzruMmdp+VbzAOd1DZTPTTFqq6lmHk&#10;i3tccXNtSnM8A1yaA/zK6w2kiFf8rkyHD+zR1jMsHPXtbH1Yl2mnSluoWrS34c7sTyShaLveENfl&#10;MGkUtIE046jpeWtljq+x/R+TfDgm2OY3aKO4JguNqVdKqi9qLIfFMHYGuiqXQ5WXiHBYQ3fMiXNr&#10;6xoWat/iLZ4O08Bgk3Lr9wh7Yq5lxQZb8z+Pd9p4sGtyuDSuNpC+zJhEwzDOojglbttwHLAFVkLK&#10;0rh4XiIZMA7URQWND1/fVZbGzTbUjAuRIXPDp8UYWKGk0S2BcSwextB3hr0clwOXE4eK4vjoh7pe&#10;MVKz2S5GjNl8ygSMSWTREx/AcQe/GAd/A1YaT5Sk8XHHRorUbBqOWcOcHmUCn8SicB9isJEb0FiI&#10;6IwUNJBW6YincYpThxXvehrzw+KiOIBZBI3D3kGmu+gDUriVtezUoExTBElsGOtPjwwjTkwbZhE0&#10;drCDVCvEmjrM2CnnlOEl4m/b8S1bnW9puxGWHmgkKXIVWqep/Ztfyil94Y9lMJzdLC2N48MsgsZy&#10;+eqEdPb4TEo5HTf4NFVoDEce1hto1MRjjUsN4J6sRFcabQRuQCOlx5qoEGPdzaeLS3aATL3NRrPN&#10;pqAIlY9FBhpZYqydbyHt8WYch12a/GCY+/GQFjEMw7Iss9uvFmCzCBqZNVYhpmObYXnJKYvLaaux&#10;WQxibBZBo/YxnRxaprsycqoW9QFF0CgmpqMqkNoJKIJGLkAqlYYEiqARe0ggBRRBozJAJiHAapLM&#10;AIqgUYSiUQC8mFL8YyQzQKM4eYjq0Ba+JVhcoBE+qwr+KbaKoFGeiYxhIsuN4hgLBDRKN5HYRRZ2&#10;ijCKoLG7XSQyH3uZIywn0NhxoDWegMhFkCB8ChpBJEgEjRCIBImgUWkifTcc1D4RJIJGpeWME7P3&#10;IIZujFlvoFGX+xr310iaIzinoFE7I2mMJj1D0kx8mETQCCQBImiE+CAZu/rW7YQr1xQggsZ+KRqP&#10;zFA3gxgjbAoae3zH/ZGpvp20zWRkoOIUNA7DThoj11SyWCCYjHzYQ9A4xNtvjBJFLKVtrjGEOQSN&#10;Q5e3cl+7ojJcURgbiNKARqhgK/3RyJQR6zFNdzQy4JKCRohmY2mMRqMJVzJN00xGK3cUDIJGqA2a&#10;Rjx6pHMlquhP8PCjyfq3xgYABI2QYDlGXtj/gUYIgkAjBIFGCIJAIwSBRgiCQCMEgUYIgkAjBIFG&#10;CIJAIwRBoBGCQCMEQaARgkAjBEGgEYJAIwRBoBGCQCMEQaARgkAjBEGgEYJAIwRBoBGCQCMEQaAR&#10;gkAjBEGgEYJAIwRBoBGCINAIQaARgiDQCEGgEYIg0AhBoBGCINAIQaARgiDQCEGgEYIg0AhBoBGC&#10;INAIQaARgiDQCEGgEYIg0AhBoBGCINAIQRBohCDQCEEQaIQg0AhBEGiEINAIQRBohCDQCEEQaIQg&#10;0AhBEGiEINAIQRBohCDQCEEQaIQg0AhBEGiEINAIQRBohCAINEIQaIQgCDRCEGiEIAg0QhBohCAI&#10;NEIQaIQgCDRCEGiEIAg0QhBohCAINEIQaIQgCDRCEGiEIAg0QhAEGiEINEIQBBohCDRCEAQaIQg0&#10;QhAEGiEINEIQBBohCDRCEAQaIQg0QhAEGiEINEIQBBohCDRCEAQaIQg0QhAEGiEIAo0QBBohCAKN&#10;EAQaIQgCjRAEGiEIAo0QBBohCAKNEAQaIQgCjRAEGiEIAo0QBBohCAKNEAQaIQgCjRAEGiEIAo0Q&#10;BIFGCAKNEASBRggCjRAEgUYIAo0QBIFGCAKNEASBRggCjRAEgUYIAo0QBIFGCAKNEASBRggCjRDU&#10;Up7hj7YaG1Ffv2ZkxA9f0TAcnjQuWLXj1879h6DkT8T5TxinHx79H2a8XflfT8g/N8n9mF32X8Oa&#10;2174JpPMf3bs0v8c5i/BY/leful/ob2VfunPmWYyYlhuxsgsfIRturHB9HSYV+SI+Ikjqoc0YkfG&#10;8d0g/RHhxK96YIUVVoFWCxppcRlV3QFDFI2FDzbJP1f9Z8z6D6D8gxX/ufwW0/yZUetbOar56SCh&#10;MXFeYpd/RMRws5rR6FM9b6P6lUmzrlzia8sv/w1TBo2O2jT6lPednsZFrAKNvnwa1+//uM4zcOle&#10;4cJoHFFZPaOlbTRK0QpLeQxk0Fj4zTJPtfCcYhk0jijve/WfCSrf8KJo9Bp9r5FAGlceZ+W7aGQv&#10;mGiseleqS6NT6XSaEeUKk0KjSWupjapNpVo05t43VQai8E1cSho9pm86Kr2bjWn8/9k7syzHWR0A&#10;AwcMnlcY738ZN6m+/XcGBkkIDynpsbtiG8EHmgCgY2OSrXcGOmggvdOSxlBDoypMOTZcnUZ9MI1j&#10;foWHRYIgL5yScQt1NI1Qx8YmJn/X365Co87ZaVjf51O6w2h0qzHPobOkIxuMeYoa9mZ9NsS8MX0T&#10;GseXBw8mZUe8tOJmzGsnzsbYVDj43XN6f6HK/PddXUvyE2Z4u561OVJVubx0EBpHAIwfNI4ZZdFo&#10;fG3E/Yke1EmeE8Y4ju9jqE1M9WVW1dAIB33ywMeiYXGRpwlTlaZT62Av1AUrQaXN3HJCYUm76lRV&#10;AodBNMvTxTIj5mWGiSo29b80Gl9TRR2EKlMVFUSsjlCz5S+NvXqSp3X8+Z/79jR2OiYnorHQg2Qa&#10;XSR/mJQu/bdUVcY7yH8kENfc3PAH2PkpQTlW0BgZeu8jsntTdoAEwgbYoMhPV8O8jP/XUJ9I/8bH&#10;0BDtFvNKowGoybSnUeXG+ClozDeUTONTJKWYAXOZdZSqynQHuddwqcqM7sc4UvHvIdAIUJx+VzZg&#10;caQtja+1G/2SyXqM2TFkciMQQ6M+ikZzJhqzaQ46jQssv/E6ntatPY0PXytnG4RsTIROY0+hEbA4&#10;0pbGfN55sYVEH5hGPT9s/AWgJvXjDLy4DvvQOJmH772ehMZchRydxqc6w1KYb83ElGCq7JAd1GUm&#10;I5MN8lgCjdPPiNQAxfn1/of2+bVDKfxNWxqXQijL93nrqUTjT0Nu1iv6IN6NRrI0oTEXIaigcS5W&#10;UXwYqpZPlfkOei6CmJNmc8xlMgQakYpLwJaIt9GWxqEYVx6ykT4NnAOERjSNmTRHBY0j1FSdctNC&#10;IxqfPm5Irhqxgab/JBSidfAtaHziRvMtjaHc+aPNLY5CYzsa03ssKmh8Wn+y+canvxt3o/G5XMel&#10;tJOepFxN7+BoVPnFsXppnMuTZOTNQmM7GtMqraFxSi0/by5G9s9a0bikHrzS88FNaMwPyeqlMZNv&#10;Npkwj9DYkMZka2todLCwrc5Ge1rR6FJDzdBy6e1ozC6OtKVxBSWD1S09TwqNLWm8jfw0PnX6DLKa&#10;/I40PtnH+tw05sYkbWl8quq3MBfiY3gIjfw0lg8CqKJxgXT6mO/XZjSaxFRxPhoziyNtaZxguwae&#10;DdpZaGxO43MYu+On8SnlmA6IzHmjaQcaTeLf7UlofPrjkMKlw3znCox2u3QFgNDIT+NLseLCT+MM&#10;GC1Dvrq8GY2p8dTBa4j2olGl/LeB9qk3WHgth63Q2IDGZx8yn0Ij0TiWQ3cLdHHea23UtI27LWlM&#10;LY7EpVEBDdUXUzUIje1pfPbUDTuNT09Pxe66gjG7A4069UPrT0JjYnEkLo2gjOp7uGcWGneg0WdL&#10;LmppnIobOWzBaNo9pvp8jmfvzkFjfHEkLo3pwoec42+Exh1ofCmSGrlpdKWODyWjqRmNyQVift6+&#10;MJ6DxujiSFwan+ahAf6ZVmjcg8b8eceVND49fCr8/7gvjUtyDno5Y8tOp6AxtjhSl8YNutP8dWZy&#10;QuMeNGbTHLU0LvmNHK64z6MVjV06kfFaHTGEM9AYWRypS6MHB3FeMpNKaNyDxmyao5bGJ8/DZw3V&#10;aV8an7a+f8xA74dUDcEdTuPTD5bKpVEhgsYqNTKExlY05tIc1TTO2SeY4vzeiMYuF1cc309Es7M/&#10;mkb1PvypS+Ozjb6Qyd2bxk7lZALSmD5N60Q0ZtIc1TSOuZCBL5+dA1AlgcaQT4CPnwcU9oAFsiWN&#10;778gL43Pc2/x3a5MY0o0K41g+QIa02mOahqzuxen8laCJjQutmCtjbHzQtdwJI1vi+NATYqiaNyE&#10;xv1pTKc56mmcMjGDvlwS2oJGXT4UKH70f8FibUrj608CuWCISmMnNO5FYzLNUU9j5tSbEWBtsdPo&#10;wgA6hGSKH6fd+aNofFkcB8Bu4TKNGOPbCI270fic5lhZacycCDcDfs1K46j024U5GafLJa6M69wx&#10;ND7/pmJpfAZpExpPSeNLmiOw0piuCx8ANSEMNGYkX/qWuMLRTsfQ+LQ4ViyNQuMFaEykORho/Jdy&#10;fBs6IyQL3ZTGYh2qj1/juLojaIwNTsK94kLjBWh8TnP0rDSm9hN3kIxZSxpBReEhdhlk74+gcfxc&#10;pl0VjeqX0TilEpbudDRG0xwcNI6JrKItVcUBVUmlsQP2gQufN8jtd55qfP6iL41UGufEQ/pEr3hW&#10;Gnmy/5eoxYmkORQjjU+rrov6k4Ena4CjcVgQT/OzBayrzWn0DEsjd75RKuPa0BhLc7DQGE/yd6BA&#10;eyMaEbXgf+eq8lVzzWl8XxwpSyOKRiU0HkZjJM3BQmN0p4YrV8W1o5G0qLxdpKYOoNHXt+K5TnUS&#10;Gs9LYyTNwULj06LrI3bxsj+NtFVlW54LB4YDaHxdHGmNwOzhCLKj6jgaP9McPDQukdl4LVfFMdEY&#10;WxXQ58H9f0Ffc4vjDjT6clEf4hHFOwu10HggjR9pDh4aI6ffOOCWV9YdVQYxEIvLfGZrdjsanxfH&#10;UD2IekRrZe///jS+pzmYaJw/atKnzNaOZjSO1Qnf523KwxE0Fs/7KUsPf0TyT4XGPWh8T3Mw0fhZ&#10;dtMDquLYaXxeWXpiF0xpa/ciNK434Ez4vL1RzowjP9jQaXxLczDR+AGfh8b1eGl8WtluE60LfPqL&#10;LkKjButgSSX/hcYX/6sdja9pDi4ap7cI6gQNp/DS+BKmogVBno7AmK5JowJ7z3PSSRUa4Z1osol1&#10;Da/wDFw0urfYxwDrTP5zcSC3+lKHyEVofK79dcCJR+7hoH+ezfZYgcaX9YOLxreExggODHLTmD/M&#10;+XfQuALjsmM6uSo0vkQhZtBCNFBo3Hpwuhw+qF6rUmewuchN43OWw/xSGiegCrq0HSE0gpWg8n9V&#10;pNFbfhr/rdfrswlUPPCMncbiJXlwkC7qN76UEGTsg+eQl9xtHJEA6ov8GaZlGl/MOS4a5ydfZYHz&#10;wE7j84w/UPqgv3pM9cVUXUGx12ETGrOW/AJxvhcajdvKT+Ozq9jBceCnsXAr13wbjDHzVHYDrppv&#10;fC0RVJAVVAuN+cHZQb7NEWl0AzuN/9aU/p/VOh9AY+EG2VLm5Z/dYLer0vgcLE1Wu/a50KvQ+BaD&#10;cOW/6TcijZ9bIOpp/Bc7mBBRzQY0Zq8B2gqvy13gcR0aw61oqz7vFum2r6bRTVqnzpCAhsO68p9M&#10;ZBo/Dj6pp9F95k0A1WllVeqoKnMdFCAbMYpX4H26Adeh8XlxjA+kLr+P8qtoVNTiLH8r5YrGYm4X&#10;RON7mqOexogzOjHQOMWVke2g3PXq2dc976g6ZH8jF40qfwSeK+2j/CoaJ/J2UVPA8fmKiW6roPEt&#10;zcFA4/JBo2OgUce/L9tBKqPE3OtejikPV6bx5Qbnm31ri3oJG/Tbl9OoyTS+JB/0+3B2L0r2NTS+&#10;pTkYaNze05iQPYZNaHxept/NsH/DTC8vbq2aX8bosF2axrdLKofpv8Hi347Is+PX0Mh/HsTLkLD6&#10;mbjx9WSzeaui8dWy5KBxfmt+QNGIU2W+gzLR+7fTrIy5+6V6Nh/1SeO1afy8hmv4aan5iKaHjZNG&#10;tTxFJLqQOcl0VPrft5hJpSJ+ToUnu1ovr4+8P6Ulje/RzmG963B56PFNvfHQtVfT04yjc5GklzSH&#10;Lqjrrtji4RZvp/PaclsXoirVkumg9yCVfhkTwPeF0jDLaONVcZMCnwryMfBYcQQ29G0MDdkxpEqx&#10;evh9SBYYb3yJRow3uJCOGZphz7YjLJSiYODr7PoCLPvsgR2R6jqoKqeiop1NfQrsdXNhpsmZ4Q6v&#10;OMjAa4NjKMQuCokqVYodGLhVBFWK5hhCpEAOFsbPHytY7+syK+VBNYHfXKdKXVb0lEKHuGAgtKH4&#10;aNRbFY4DCUbMGFLkFviL0OgMHUYcjU+LGQuNrhAGKQZh+Wh89b81isZBbcfQ2LGujW9H4EWkH8uh&#10;i1Y0grW05maQ9jQCjFXjQUGgYjnMvzQHC40vmtP4pYCTRpX4/7AWrVRXXPahlYtIGnFTKUSWzPJo&#10;daUNuQ+NWaXoHWjcVJ+duwMiRglMqOjyygUYVLgTTcmq/OigpdCLL7/2U8b4SF02jjAiz0TjWw71&#10;hUW3XZ/GaQ8a7x+bnMJNQGUMgKuZLuQjga2xoO3StTSCQlU+Y/G5ZY4RabvA4NKFYkhoTxrvU2T3&#10;Gc5ZA88Yev/ARx3ji6QzHNPbX6baOuYe+fG+jFQp04XuY4Xsu1BYcpa3Tyh5Hm5Kfap7VxfkYAv/&#10;c8EXsOlkVY6gPg+F/x+V1sb8JOCsMasOI+Zbx6JKUYqLt2tjkjH8l1HtTTcp3BgKiHzjV4tX/6km&#10;qHETETmVKFGBiIjQKCIiIjSKiAiNIiIiQqOIiNAoIiIiNIqICI0iIiJCo4iI0CgiIiI0iogIjSIi&#10;IkKjiIjQKCIiIjSKiAiNIiIiQqOIiNAoIiIiNIqIiAiNIiJCo4iIiNAoIiI0ioiICI0iIkKjiIiI&#10;0CgiIjSKiIgIjSIiQqMITJz6I3ITj4jQeIyMi56N+bzubzDGaD0pUb7IK42jLV69aRz6sX7+c7/d&#10;fdiZ9XHvIX5RKF5hfRueH9rf2gnh4r9x6kBfdNfOktaNvu0or3ODG3ZX6GLxT3pMbLPWSrk6Dnzq&#10;zuKZCTRTbosNCtLhE/bVE8OIBnzX02Xx6nYeGv20IsdVn7iS80AaD1DoXPdQ02k6kxPf4I/PzpAW&#10;WBCNWJKiz/T8n29OSKOfqKt0P48nojHsr1DD8OSheF012gph8fVh41N1/DTG3zzzf/75aFxW1vcc&#10;SKO+Jo2Jaa2Gxt7tR6Php3EoodOARn0GGsPA/B6hkbpEas9G420+F4040zll4/B/fncqGsPA/p7f&#10;RSNvIG5FRayzJuJST+PERyMuEr+yPCXgOvVwGtXQ4D0H0tjtr1Dut/QIirIY2HpbFdSTRvXcNDoe&#10;e1dfika3NnnPgTSa69P4GN48CQizF403bhqXpOnQkkZzKI3K3oTGE9J4d2YcB431aY6jaExmjSz7&#10;54eT0Di3eo/QWC0WZq6WTMTaNEfHRyPqvel2ee7PV6egkcdKPRuN/e4KbZWkAoVEiz5opesIGp8z&#10;P42gpYzn809Bo+tv30jj7WtoBFV28jBdSaNmp1GBEhLfQyMjjEJjIwEsbOWHLHvQCAjMD1xFDdwJ&#10;Gn9oQJ4dxlPRuO6uUGcPxLFMS12aA9STQY2dMSaN5P0/u5FrEkC1Z7q/Oj3U+/t3Pc9WTmf/vBmN&#10;/e1LaXTz7gpV+aHYFEc/F99dleYojc/7eDbTf/sbQ33cpbzkE/bzKSTWO9PY3b6VxoMU2qrRwCiM&#10;aprmSKjznzb+doFnspXHmkwBtGv67SQ0hpvQeA0agUEL1TTNAaZxszz4TMxr/YqMb+06eDzE07Fm&#10;np43wyqlFv04E0BoxNDYq4hMWusVaNyGehoHtxeNKw8+K1+qJD1JLFgaO4WTDjZ4iq6/XTO77RSa&#10;xg78xbkh/J/0dBqnNgrN0Jgdigqwv9v6ahpxWYEaGicefAbepX7ERoN4TOQA+nnJTl0DsudLNC6s&#10;Q/h9MsHQiI0A6LY0/gyVubBGmnoa63dzAGkcWfDx+cag/eCAVSsPjQry88LJMZ1H93yJRiU05kuk&#10;TS1KimOBZaAxbhNOHPRUrPQdlq0dacw6dasn9PzONK770ah2ofH+nr4ub16sQDA70bhy4NMx1hEk&#10;DV91DhozSyOoVPlwGvX30ZifI0M9jZS8AIXGiQOfUroYudA7tDPLo0IH+HmoTW7haXRCIyDUYCsW&#10;A0B13rgLjdg8O5weuhe8oPuFaUKz5Z+nJx7gnjpf/swJPA1RhnCAzJQ8NL5VvU0NacwVKy4MNNal&#10;OaA0bgz4LKWmICvhZzRaTDSOjzzW31Kp6FLn651jwGeOi77L44xoe+sD9xAOfx6d1RFTVdX/FfoH&#10;yvymiloaMziuDDTWpTnANJr6cVzMVve4bzfokcBv7Pv40Jkqa7BgNFZqHj6EFU6hNXcWjK5tU3LG&#10;qmOgsSrNAaZR18eQypXw9d9+2/alEekhI2LgZ6Jx24/GHZqyUOM4IBpr0hxgGqNfYhm6jtyNCt8t&#10;e9HoGFKqQmOzpnREUxW2x9LsQONWHUICtEVX94s+BY0Lgyk+k0ophUZ81AhsmwF3POsdaDTkYluo&#10;24g8OG7FD4S9aJw5fAr/U0Cuuz/hjUFvQiNXUzTNNoOePzC2p1HXRpAA+8VRlq/Fz2570WiYyhtO&#10;NYS/iMbU4qh5aCSnOeA0qlrTy/LOKiOhV/ai0bJkcITGZk3pSC4f+GyerjmNrjL/H6HH1li+gQDW&#10;XjTe9h+lQiNGRpJtBj8pa2lNYzxqryroMWvNpNIR1tadaFQsCRyhsWFTLKU2E04jMc2BoHGuG8mf&#10;9My6xvLtCX7nsTT2QuNpmtJRvhxxiqRpTeNSFwX93NSwqArL11G+5lgajdB4mqYESj4Yc6arbkyj&#10;q4qCuhh5FQb3Qkmu70TjdLIgjtAIdRw1G42kNAeCxrjj6Mn09LFMgK7qlfEcNOrdKvCERmpTKMFQ&#10;FI2UNAeGxrkm/z/HloqZrlZDWaiFRqExt7QUnhOlcWVMc2BoDDXmVx8zShd63JHkxB5L4yo0nqcp&#10;hovG9P3foSmNviZQGLVxHdncVqSa7J1oDBLFOX1TVjYak1Wv+DQHhsb4WS9Ueob4E4G7HCaS4ywZ&#10;DqEx+5yBQGN6h1bflMaOrnodN6s7qjm3kuK7kv0XGvPeBIXG9O3VuiWNgf5GE7eqA7Wy2pL8sp1o&#10;9FIZ96toTB/uoRrS6OmxCRtPjYzElIknuY1H16lqofEraUzf9oRMc6BojDqOoMVsTP3M0vL/gZZv&#10;3QuSXnZU/Soa0+cgrQ1pXKn5/yn1mSstZdLRyoL2onE9makqNAKfY4k0bjxpDhyNE3X3yJoyKyda&#10;IKqnTUN70Tix1hILjQ2aMrNlOH7+iyfNgaNxpOb/h5RZqUiRR0dzG3ejcWTe9yY0sjfF8NLIk+bA&#10;0RgNZQI04dMmAakvF6LFvFtwhS8hLDReg0aWNAeSxpWWRgtps5JUOK6JIZLdaEze/9M7ofEUTbFc&#10;ezj+NpYjzYGkcaK9bU6/Q1P8P0Ms0t2NxvQlB4fgKDSCfJ0qGtNnmA+uEY0jzWHr021YuGKj4Uw0&#10;Zi6MOwJHoREEFmnvvyrG7uBpDiSNtK0TLmPdUgrHR2qiZT8aM4fHDqPQeHhTEuT4GhrTZ5SGRjQa&#10;ise25LTX4799ombW96PRZc6rtJPQeHRTVkolcYnG6jQHlsaoMhxagzoX8OgoquzORWP+ZHXjhcZj&#10;m2IpjynRmD4coG9Do6Jk0UyuCQH/6QPVGNiRRpc/zHl2QuOBTVlII6FIY22aA0vjRnlV1iLw6LXW&#10;U93GPWnM3TX+Y7xoJzQe1hTSAY4AGre6NAeaRsOxwPf5lW7Bj/NhOxuNxesqd+RRaATlN0h3VL02&#10;ti7NgaZR41sx5YvpViweM9Vt3JdGV7x4xGovNB7RFOLBRQAa69IcaBoVfi/Tml/8Jqxue3IMed9t&#10;h6Br4pXQuHtTUvNkYKCxKs2BppFQsG3zjuGIXGsd2W3cmcb0PPlitQcnNO7blFS823HQWJPmQNMY&#10;XZmyduJYCpoiu1OR3ca9aUyXq752UzcKjTs2JbXDpujtgGisSXPgaZyxMITSHiyDW2s12W1MDJ7B&#10;kGRkw/HeUZP7Ihp7mkJ3akqyvFvx0JhOc8z8NC7YNb4rWdDIwnFD3zd44xS1MeJ4b/PyNTQSZaem&#10;pLqkbF8BaaSnOfA0OuxrhpKTp3CKoVj8h9GIwLGhxSo0AjoksNGYTHNYx01jlHyNCboMZb49zurv&#10;t9PSCAvl/Kea2QuNTZuShBEQeoDSSE5zEGiccdpYyk4eqnB8ohjkB9K4LRb12BYxVqHx78SfNlUC&#10;I43pNMfETWOsFCazJ3Eut3vG4LXS3cZjaNx8j3swv8UqNP7frkr3BCQqD6cxneYYmWn0uPx/XzZD&#10;F4zpOdDdxoNoLGzoiI6uRWhkb4rTlb0Jp5GY5iDQiNxCAVhHPaJnfIXbeBiNuUk5NVcHoZG1KS7k&#10;PAbQ9nwEjbQ0B4XGDpPwU5CGD/ChHircxuNovI8ieyCPQqOfs/q3jptGUpqDQmPALE8a4sh28CDt&#10;XOE2HkljLoDQnMdfTqOae5a+RNFISXNQaPSYjJ+BuJiIwvG+wm08lMZ7/xj0O4wSGmua4tU0A7QO&#10;NK5QNFLSHBQao45j6qMsJPw6woO0NW7jwTTe9YnnkeWQgK+n0cYq7QbwnLe1oJGQ5iDRuMLz/yNs&#10;ZrDQIK2qcRsPp/H+/Sv2NXYRGmvC04AMr2tDIz7NQaJxgi+/EwxbAw3S6hq38QQ03o2nDhvP6ZzQ&#10;2JBGC1YvkkZ8moNE4wjP/6+wr9fQIK2pcRtPQeN9zpwG5OQ9Co3NaLRw5WJpRKc5SDRGz7/zQBcT&#10;2M4B/OZ+uxiNj/biAqw2CI2NaETAiKcRm+ag0bhC8/8eOgSAK95Y5Taeh8bHAokqCJiExiY0ou5h&#10;wNOITHPQaARXbgdotKeHeYNTHRUnovExVWmExdoJjQ1oXFEuOZ5GZJqDRiN4V9NMLySKYttROzE3&#10;eDpFEo7UwwgP6XTXoXGiKXR/GpFnsBBoxKU5aDRu0Kmth4ZcFthYGerGFEufMMuytsfx68/FIcmA&#10;/U4Kjag0B5FGA/ssBw65OBDdvpKlM9J4bxUwxjoJjZw04usqKDSi0hxEGjVsUC/wkAuocHyp7Ppz&#10;0giOsS5CIxuNhpA1ItGISXMQaVQwv1TDB1QHWQrmOrfxvDTCkpDWC408NA6kiY1GIyLNQaQx9rsB&#10;YtAmrYMAobuvHFInpvGx8herWI3QyEEjdS83kUZ4moNKowHl/xGZ+hFCdy1K56bxUTXXxnUUGitt&#10;1Coa02kOw0QjqF5UYeKCtky3qu35s9NY5NE6obGaxm1vGsFpDiqNoL0UE6xgJ/XFAdIT23fReOfR&#10;8Kc5hEaWYBiZxvR1ZSMLjQ7SuyuwmDWh5hlgHpuvo/HuP+biOV5orA7h7E5jJs3hOGiMBoqKxueA&#10;+uC+bMwiSboGjdlDOzqhMWbBRy/2YCrBYaARmOYg0ziXP8zjhlKR7rG64y9CY+6acpLn+EvvqFqZ&#10;M0UVNKbTHAsHjUvZJw0YtzFmh6ryEN2+k8Z0VPwWhEZoUzxzkWENjaA0B5lGV87/dwWftahnXXoe&#10;dkBdh8Z07/VCI7gpmnf/TQ2NoDQHmcbY0vvmFn4EI2w+eFHS8VCdf7sQjWnH3wuN0KY4zimtkkZI&#10;moNOY8xxdPnVM3+g8+ff2+JqPH4vjcmJPQiN4KYETnu/kkZAmoNOYyhlchbsStbnYYt4qnb7Yhq3&#10;RKJjFRrhTRk4g2F1NALSHHQai7ubZuxKVigcn+sH5rVoDGzpst9Lo+LMclTSWE5z0Gks7vw12JUs&#10;5GNfpr5s81o0piZ2JzTCm2IY3e9aGotpjgoaS6dioHvf55eBerfxajRqrsH+i2n0jOWq1TSW0hwV&#10;NIY8Hgo/6m1uGVD1buPVaBy5vvcX05g2D9X+NJbSHBU0+nz+X+O/e82FhTRDPONiNG5WaKxuSjKU&#10;ORxAYyHNUUFjzK3pcgY7YeaYs+2Yvp1Gw0TRb6YxvR5NB9CYT3PU0Lhm5xuL7/wxp2Vb7zZejkYt&#10;NDI0hS3LwUBjPs1RQ+OUi/eNlEGfCQuNDG7j5WichEaGpixc5aocNGbTHDU0ZvdUTJRNnpnC8cCR&#10;Br8ajYqprOt305jOcowH0JhLc9TQmN1v2FHSZJlryTsGu/9LaLwJjbimjExZDh4aM2mOKhrXTPsG&#10;yoyu0uvfwOA2Co2/k8atg2wu3IvGTJqjisYp7cv5XHg0HXFKPs9xuI1C4y+lMZ3lcAfQuKHutwbT&#10;OKZN8UCbhvpUAdPCsmVU/MbfSWN6o6M+gkZnW9C4pbeqzLTqyjn1PM2yKeY7aJSYKropLpnl8AfQ&#10;mE5zVNFokitWT6t8CCkD17CU/QqNv5TG9EbH7gga02mOGhp1yoxyxFb7lFnGsrFIaPy1NKazHOoI&#10;Gre+AY0qlf9XVLtygD6PdNLQd2T/pU6V0BTMxW070Dhafhq31Ndpql3ZxZ83sbiNl6Nx5qmvFBq3&#10;TJYjHEFjOs1RQaNJ/NpQ7cop/ryVxW3cjcZR3+Vx37ave04v+xvZmuLBN0XtQiM4zYGgMbXNiWxX&#10;JgrHLYvbuBeNr+mY3nS0u2xSO2Vl7z+pKfVZDlYa3cBOY2ILsKJbVzb2PM/jNu5Fo2H52JQ1I+fi&#10;0JqSzvL5I2iEpjkQNLp42yZ6FZuJ/TTwuI2H0Ugc9wPLzgOh8f8SastVeWkEXvCDoDHm2YSITWwr&#10;PnGKeuD++2kMtVEHoRGYVlCH0AhLc2BonKP7tCx981P0Btaex228Fo2O7cg4obFgGw7H0OgtM41L&#10;LIHja4LyEVU5JrfxMBpJc8dcnR8TGqFxzOkQGjNXkdFojDmOkZcgNj99roNuYXIbD6PxxthTckcV&#10;vSnJ4xxhWQ52GiFpDgyNMdtXdTWj8XNJWDST28hI4/ho9+PGzllrHRw/jclijS+9v1ENTwpdXKOm&#10;6KpyVX4aAWkOFI0Re0oPNf3+uRDOhsltZKTR5NxiBhqVZahyvhKNBtjKuqYAbqbZlUZAmgNFY8SK&#10;NFXj3QOeB9q6vCONhpvGdN2U/1IaoZ9W2RTILYp70lhOc6Bo9JAoLeqLITUKy9E0Di1p9MkNB0SC&#10;hMby6ArH0FhMc6BoBMGD+rwO8EB3NI23djQ6nQl8j0JjXVPSWQ53DI2lNAeORgA8uG4HhH377WI0&#10;ajBFPscitcROaMx1DngYNKGxNN5xNALgwQ33sfzA+Wo0Pv5mDkUkfTDZdlv3rTSq3WhMZzn8MTQW&#10;0hw4GgGOI9LLs9wPLAyeTqEl4Gn8s6ivekkodQxz36rdO9M44RU67UZj+hSM9SAa82kOHI0Ax9Fx&#10;zhUVbuN2ayRgGv/+/SOrtvw3ErU2oJLFdbsGjewKZW1KOsuhjqExn+ZA0lh0HHuWscPgNp6GRpoM&#10;TmjkaIqmjqtWNGZHPJLG4pkCM+dUUeM2XptGO25CI0tTqFmOZjTm0hxIGotRl4W7j/Hu06j1aoy5&#10;NI0kpzHcrWBjhpTBbFatSSW/6keh/Z40Bj2XmgJUUfLSKpt6jPpRY598t9F6qqExk+ZA0liMuqDL&#10;R0qjGW2x+Vtb2YNGEjRToyeP+yoU3JSFZ4ApSnOrNh8ENhoLURd8TenM7Taq69NI27QCOkWXkMRU&#10;+9O4MhIxIh+jqes5Q+gSS+PE3dkLt9t4fRppMMK+hBCq1fvTaDjXp+50NCbTHFgaR+6B5LgdqHBx&#10;GskBHNYh/EU0Fu6lOYDG5IqBpbHgOBJ2HfTM2UZ9bRp78rGsQiOpAUfQmHoJmkbD6zYWDAmz/TIa&#10;K8IDX0SjZW1Kvv4l7GTwQ9YgNI2aOzkYrj14VtaFsSahBXoDITa/7k8jcxYoYGKqpvGkmUtzoGnM&#10;BkkoLo/HqIqjXIh58Cxso9XW9THoHarRmnsAjYqnCcfQGJ8h0DRu7Na05bV89x88fmLJjM9uExrb&#10;NEWdj8aoyYGn0bB2dd4S0peg8RFqnofaddHXdu/30OjZm9LB7Tm7E40xbxZPo2b1GrMpTFLF+CE0&#10;/qyQ9Df3wVX37tiKRru7QmEpY4zKMtVoe01qkFbiafR8mf9CxrF3V6Lx0ZJlJtiswzxubToXMPa4&#10;1twDaGSK7R1GY+Sb8DSmKrDoi3ci5LXS1osDafxDpDaI1cRoFhTB5h1bMP54SxU35VvoY+xuNH5q&#10;lkDjo8i9e9SyP9XYD3ON2/PfA/+RZDtqg5U9lMY/w0ndG1RcE1fNelD3zPTx77LsP711/E0J0Mwh&#10;pJbLOp4JtGeg8X3aUdynv/vKU2SbyohRzM8086bz4XEawNLgxHzP+O1v7dhboQ2aAn4MoLlsXTa+&#10;PtfX0ygiIsIsQqOIiNAoIiIiNIqICI0iIiJCo4iI0CgiIiI0iogIjSIiIkKjiIjQKCIiIjSKiAiN&#10;IiIiQqOIiNAoIiIiNIqICI0iIiJCo4iI0CgiIiI0ioiICI0iIkKjiIiI0CgiIjSKiIgIjSIiQqOI&#10;iIjQKCIiNIqIiAiNjPJ8O4oTdYickEbPewMS311AnutKI7/ozkQuLfy5W2rKP6npZU6I5nJcTQWV&#10;Mf3iytvTW14Uldcf/sMd75fCfpO96BLfhsKdg4irxl3h2sYFpgTIVaiD0SExwJtedAjuh6gqzXqf&#10;Shqs8YGn/5oOjsg4ZhkuTzJwPgxKY/YSaPz1xqUrR+Gzuqq+fNOFFXMRq5kXfxyNivgMa/TCi6Tm&#10;6b+mgwM/XFbsA1kfxkLjwK5wtRuNqiOMbXUYjVUXDvczo+2aXcHmljSqhjQaThoJRiOsbQuvfkoK&#10;9zupNwykYX0cjbryWQMbkNkutC1pdA1pnFmfNzWiMT8KOtYZ5W0A1kwTeSuayOKVaXzMT6E9jRSX&#10;qcHgwI5jvNOVp3E4hEb0dMWncLp6VU8e0Jem8T5IQnMaV6GR5OKy0BguR6ObK4bzcTTOPI/s67PM&#10;PZev8c00dofQ2PMqfGiu3rG/XZJGw/XQuTbCWnj+1OzJQ0saF97nWdeERt6o88gX2Zqx4PzxGO3t&#10;l9N4G8amNNKZYRwc7eO1JbrDITTOnOs7RuEk9YbKkfwNNN5saEkjPQ+hvolGcwiN9ko01sL4HTTi&#10;J25UkzuhkeA/w94/ld6KM7gtmy8d8IZ7NYxXj6my4Ficn8mOKd/gQI9jvJ9X9M9b0LipRWttuELa&#10;XoX74yKRlP7+zwtqghrV/SdzLM+t9RQrA15uF6bxTz/MJ8DR/XTh0ODZjIMjMo4Tw+WWGi6Q4dex&#10;+c+Y1nW8IW3NN/HBnzTaS9PI/L7aTIfli7O3Gxwg/bVacZdmNFrekPYhNJZSG9Z0jxn4IdNj2jOR&#10;3R1npNFEpJzGsXWbn5ZGKceL0diz+c8IGgNzSPsIGrOO1xDbnxHxDrI09ondbrGVKSUWT2Oqe0PX&#10;N4uJZI2lutLxK9GY3+bmGtG4Mhs9B9CYUZxNF1R7DI2GYQQYNhp/Pn/q20RyXLs0/ZVo1Hx1EIpJ&#10;94SQ9gE0JifzfO3mtWl8eMsdf+yzGJ1efgmNA1+dmuLSPb5b96cxuTRqt3HROJ+RxjuPhj9jkDeW&#10;qkrHL0RjqXhobEJjKSYQzk9jR6wSw9CoGUbAzE9j0qCiL47FY0Hcr6CxtF+9a0FjUff96WlM2Nq9&#10;205G49SCxk1Zrmh4ObBf9+RL0VhKmdkWNH6oZ6gNae9O40SEsUjjIwX8SCncO8Z4hhHg5sfT0pYv&#10;cTTFc63kaEtfGhDDb6BxKXIRGtD4/pJ+qg1p705jT4SxSGO7ERA/7o06mkK1Y5Pzlz5Dt+MvoPHd&#10;ULVLRRZJkXXva6fCvWl05LE4HEYj87NmxsTgx7P8xFY6fh0a3WebLd1oVGTdfy41y7lpDOSQ4sow&#10;5Z+CRjfwmaofxtJnaMF+P43hE4KO/uFQGu1nzGaqDGnvTeNMjih6/Vxn1m2XpTE+I5Fq2FQkZmP4&#10;aguuQuP6OQGN9OkOSOMS0b2rDGnvTaOpt9I8/UD9c9AYTVWTmOkiTAe+wruL0OhjxvlArlNTdN1/&#10;Zn+nU9PIX9p8QRoDSxlV3FiKzM/+y2mcYt7aTFYwjEYX0/1nzw5nptGx11JekUbHtPlpic7EKxtB&#10;F6Gxj3nKI9loVLQZdYr37HhiGhXXqnBpGqPlbAz+0p9VMLBNd9eg0ccHVE/1BVSF7j//ubsYjfr3&#10;0Tix2Osusb5artLxa9A4x5s7Ua0PRZoC+oS5Yk9M48K9zeCaNCqW3XAhETLouKyPa9A4xMe/pxqN&#10;ijSfTglXHhWe25lGzTIML0/jxhJU7RPL68JVOn4JGlVq7umJsXtVo/vPqdAIjWencWBQu0+aYpap&#10;dPwSNHYpWysQjUZVpfulxgU5AY2/0FKNpV3Rak8aS58DtP9iGm2KOUc0PyA0zun5bqhQ2Qn8Ri00&#10;ktSQ3r8zMhWlX4HGJe0kr7Q6NVWl+09Qh9PSqPgKpi9N41yf6BkzC+DAo+Mr0LimTa1AMxpVne7H&#10;CuPvBDSaX0ijrldDxlj6/D/7rTS6TEsdzX8G0NjlHjzQ59kT1OLcnNBIoDG30XzkKYO9AI0hN/Q7&#10;ktEIoDG7X0vTB/jedaqWq2D6t9O4ZCM1feXWnsvQaHJm4UKK36tK3X8mOqez0mgONVXP7DciXbus&#10;sRQp9vFfSWNhN6elGI1lGgs7NXpySHtvGqOHpi2/jsbqmKrLb273LL16fhoLJx10lK20RRpLu2Qm&#10;ckh7bxqj13sNTmhEqj0U5t+eo3T8/DQO+YldUbwiVat7T7Z7dj+lKnpk2vrbaIzU4uDqZUrbWgNH&#10;ydPpaRxLseOBYDQq9FQ6lTrHnpXG+Dm03S+jsbZAsLil2HGo+PQ0FrcUzwT/udQRvvjMQA1U7k5j&#10;4iba7lfRqGp3VJW3C60Ul+lqNA6lCMRIMBpVte4d1fjb/+T/xP0lxv0iGqfaD+mLdi55fr4QjYDN&#10;hITTnlW17iO7yf1JaUxd7GOX30PjWpnmKRtLkaBr/3U0AjZyTvgAvkL6qhHSFqLeDrgxLnm51+p/&#10;C422Mt2oAaR19SnHs9MIOOTA441GhfRVe8iXDWelUd2Sot2voLH6BIQBEJBd6svzT04jaANjj65T&#10;U/W6j0yF6qQ05q4ctG15PAmNXWWx7gha9mx16fjJaQSdCDWhU0kKGYDzoPm2OyuNLne/l539t9MY&#10;u/cP5dSBjKUI88tX0ehA7fv8q6GKRuBObksKaR9BY85W/bHs1XfTGFsaUbl/2E6hsbrI4tw0TrC1&#10;f8XWqSkG3UcSneGsNJYuTL8Nk/teGqO3YmMMAujRK0NtHOfcNPYwYzBgjUaF8lUTOh1J1s8xNMZv&#10;TXtV2fKtNPa1pYHQY2/myuq7c9PogYb4p6laMBoVylftocEeyFR4EI3Fi9ofCyS/B3kGGrvaXSwO&#10;CtmIdpmuRKOGBqk6pNGoOHQfmQrn89IIWB0fE09w30Zj1EhHUQI/7qUnb+25AI3gAy8WZKWFYtH9&#10;59JtT0xj0Xf8a8OFr6Ix3mpUG8HGUiS6330NjYjDoCzOaFQYL6NHOCTLiWncRgvj0Xbj19AYN9BR&#10;SyPioAePdZkuRCPiIK4O1wrFovvIVLiemcbNmRtQ+vAVNI59vHmogBXmkI2+bhU+M42IQzYW3PSn&#10;eHTvCYHzI2m8t85CeeQp0jmURqcTbcOdC4Q5dWWqe9eJaVwwU9qAmv8U4kG5tIXBh7SPpXHz4OWR&#10;hccDafRzauaxqNAx6kQyV5fYPDGNHSZGMqP8Z4XwVSdUiGA4OY33SW7YkcejaBynPt0snBWO282+&#10;VpWOn5dG3NEGI6osWDHpPjIVjmenEWOu3my4Go1eBW2yDUSeeoA76YUwP1+CxoDzvQfMoqbgvmqP&#10;C34X+/oENN4dKjiPZjwxjeZVelCACrfeK5wz4qpCRuelEXkOlMbUqSm4rzohp4xSSPsMNN4HTYDb&#10;q/q8NBIEe1oNdg9xV7MWn5ZGj2yVxxiNikv3kURnuAKNj4kHnu7w30OjxS712PM1lpqdlKelEX2+&#10;Ro/wn1M04s826bAh7dPQmIs6vg9h9S00omHEGkux+Xm6Po09tupsQtSpKbDhOaF7q7CanojGR4NX&#10;2CgO30HjgHaC8YeRdaStPeem0aPNb48YQ4pN95GpcL4QjXdzYALFPuZvoLFHJ2wcHi2Fj7OfnsYZ&#10;H5pa4XVqik33kalwuBSNPxYrIKTTXZ9GwowSCGbnQNfdWWkc8NsjAtxoVFBjt6z7ERnSPiGND4O7&#10;vP1xujiNA8X5NYTSmpmytefUNCrC/OLgTVHQQJAnzBv50vFz0vjIeZQs1nBpGmdKWZGn+IAjXXUn&#10;pZF0/NYKNhoVn+5ju3jdBWl8DKPOssYjT0SjoSVpJpKFMJBLx09KI+loykh8U2FopB1rMuKMuhPT&#10;+Ajp5DzI/qo0ks/Eox07NZFLx89JI/GsUgv9mWLUfcS+7a9K48P77jmrcs5AY0cuXqCdQxaL7usr&#10;07jSiv06qNGoGHUfmwrH69J4V06aR39JGslvpJ4B11NLx09JoyNGpRao/6xgLMN071ED4Pw03tdH&#10;yzWwT2GpkiuJqOejTtRvOCWNgToMLHB5U7AfA5eCHjN5XIHGzc1Mi+MpaDTEFy5Uz9lR57FT0mio&#10;u1Jm4PhRnLqPJTrDtWm8a8OyLI6NaVQfMjDW9VGNpeg1RO6qNHqioRqNb85QGum6d5jp+CI0bmM8&#10;uupORWOkZzl2UdUaS7j5+eQ0VpxKOcBAViCkwGbZivjtVWhMXGwVTk7jZniCwVGkwCkeR0wPnZHG&#10;nmqoRk3VBUZjZN+whopBKPEyNMaPX13PTqPnCQZH51gDHhEDrXT8hDRGzE2wFjrY+FHAObWiKvL6&#10;NMZCg1iY9qcxfsPBin+d4x0QoJr1E9I4M6vBQ2j0zC9NhrQvRGN0hlJnpzFuYSueuahC7DVpHJjV&#10;MEFo5NZ90tW9Eo1LtQt2AI2bRtkqCH+pUsIVaVy4tTBAaGTXfSr6eCUaYxNjd3oa49M5dkMYu7EE&#10;sZbPR2PHroaxTOPI/tLUVHgpGrvaVPohNC4cWQ7NPyL8BWm07FroyjTO/LrvwakoPhoVM41LLU2H&#10;0BiPyCF3/g/8I2K6Ho2BXwuf06LaQfeJkLZiCfglnsRNo78mjSOiP1CPaBRnPy+NawM1hBKNqsFL&#10;E5OxYquj3IHGrbYa5xga494OSs1zixGhrkaja6EFU6Kxa/FWuz+NjpvGvpL4g2j0UXcHc2ujbTEi&#10;uqvRGFpo4cN/VnvoPh7HcRzR91TXccMY88CuQGN1lmNpMiCKkaSz0dg3UcOcp7HNFJDwB9kGaMXZ&#10;ZF9Po4sGAuAju7vtNz+fl0bfRgtDnsa1zVvjIW1LCX3DSDFCY3aCBV+j6toYS8XS8ZPRqBtxseRo&#10;dI1eGg9p1w7wDNad0JjPckAVFG57zs+npXFopIU1R2Mz3Q/AoDHp4GDfsucyY3q7Bo2KFtVsayyV&#10;kp7nonFspYW3aKPawVdNdb6+8axpS13Q8NtpjLt+PXWi2yfleC4a52ZqmNI0Yq7TQQagOpgVRAqq&#10;zmg7iMUatleh0ZPiKD8y8eSOPDrLci4asRc+wafFPk0jk+5jz4mFtNWNB6OhEhTieDJXoTEegwCV&#10;q/ZM5VIGW3d1KhqXynKmnME7JmkcmHTvgVPxjWUtHoGgaGNMp7VelMIHi0KtVX0kjfHAqCZ1JO2c&#10;q4AtZToVjR2PDVfeCaTyw5p4xtgK81P6Gwf+M6zjXvu3r770HhlxOpLGRHSOcskUscjJ3ZD6OxON&#10;jslQjerTpmhk03209z0svIC/5tPCYkamJpcSe8l4HRrj4TlDmMuJdf2x+Xm4Co2ByVCNm6ohQaNl&#10;072DhbTDjUHnGlgXW0Uj9CVnpZGW5eAzlqJdPV6ExpXLUI2aqiZO48Kne+BUONaVUCZXrRVAo27y&#10;krPSGM8blnTdsRlLUQ1216DR37gM1fgxNz5KI6Puo7XGC2iqwBYAaGgoqIbGtT7edDCNHl4i1cJY&#10;io6uXFT3RDRObIZqvBt0jEbHqfsNtph01Mh7dnmNP6GCxqn6Mw+nMZ7AzjeC01iKzs+hIY0qEznH&#10;6a/nM1SjDvwQozFw6h4YoFngGz4SBtAArsGk0xhqCj3PQmM8y9EhLQLHOj+bdjT+19u9MWOV/jgN&#10;1fjEriI08up+gdlFtWfqG3hwgkxjvH5/vBiNiZM5R1QorsJYis7PvhmN2R+i9Ac8tL8ivtl90sis&#10;+xhnA6yLEDhiKjCJNPr40etmuxqN8X0IBmUSVBhLUZ9CX4BG5kqvNWc0qszUWaP7qJ8ygroI/GZn&#10;MD82FGvDaQuvgj85jfEsx4KxO6rONxkwQd1KGkc2GkemrQ05tyd80Ngz636EeSmJSz8gmk/c5DbA&#10;BtcQyram12xXG5+AxriuBwf3l6qMpej8vDSiUbHR2DFvEHI5a0610n1sKoyE8FI7Kk2pbCt56XCA&#10;j0Uzh/Qa56f0/jLrr0ijR0183MYSdH4+GY2W11CNm6rjG40zt+6jU2EAejM/HeUpFmTaEUpdvTUY&#10;rZV6mSfUolcL35V2FRrjbnZqZuE2luJd7eA0wm+pe7uhrYbGhdlQjcc35zcaB3bdexgqmQNc15RJ&#10;sGSOThqxNN6eYuEPuZVl3a5JIybLMbIbS9Go7oQKZNOkhsaV2VCNxzftK40NdB+tVPZISoxWrz/x&#10;ShuU5uE0gqV3F6UxMcYV0LSpNJai83N/bhrdjdtQjVso4S+N4b6um1i8y6z3JZ+2iT71zPv602k9&#10;vYxmbyGL1uPeZGOKJ4X0W3saLTLV6H++PTbVmPmuDNSzlNZz+lllXIa4rf5Q779c16T1amysH9Df&#10;+/rMG+TD//zp0IZGhP5+/jQy4OwPF7Tj1H6eOdySsKnCwVSkIqCAsvQYj8bKVXqZg2AsnYFIDtxT&#10;MkO5s4p9JsxQWy66wj+c/wBXXYhjRe3mkT7SyN03qJJJQNF90cwABBfYQTHHwFi82cQwPqtMSkYL&#10;CqYo0lG1Bv7hpiGNiL4o/SllcSxecnMIjW+mt+M6qm7cmtM4jNuBNIZqGsfy+LINaBwuR2NoQGPx&#10;FgW1NqBxRg5AHhyt2prTaNx2JI26msaMIaLSMY5qGm/noHGBf4ZuQGPRZlSmAY0G26EcOJZMSMPa&#10;r3w0zvvSmA6aAWmcG9N4a0ij5qPRH0FjvwuNm6s+07ovqaf+1OyetMlUMxLO8SxdGl8NZqQiYtPl&#10;aNyOoNHsQ2N1ggkwYy91PFri3nNOGksuAMR8ckN+fI0NaCze76JOR2N3AI29GhrQ2FM6VFWkmHqY&#10;FZ8rPS2ySC1N4qTRMNCYjE+wxW0pwcRz0LjAVd1kleKMMVC8hJdxS7ydbEAUidCAHDS9TBAxAvah&#10;MfUUIDmhLY2qJY0I/RX+dDiExm5HGjO14Ews/gEyrLjXrFWViSsLQZw0qmza6ZhE29VoNIfQSHKW&#10;LP2hAbl0dTRSxqmDGca2C5XV892ONLqKTzJH0givV6micT03jbOa+ewocLBhzNuS0FyEXatIcWrq&#10;TG7i6Ltp3KplzM9NqBKrhScA7rNxsPx8aEmVyz3c7lsb0ljQ33NfLA3yPKV0Z1D3QZkRRx3odQ9V&#10;ulQ2PKwcpPy8S02PSmLzfMrYqrVievz25zDBpHAqFj5DfP7WZ/+X+r2wZ74+1Ctm8aS+cNBHsg0F&#10;v6ntrOJUeFDyNqvaxz1T4bxfLSJCl/8JMADXRF1yz1qoLgAAAABJRU5ErkJgglBLAwQUAAYACAAA&#10;ACEAF0DpUtwAAAAFAQAADwAAAGRycy9kb3ducmV2LnhtbEyPQUvDQBCF74L/YRnBm92kpRJjNqUU&#10;9VQEW0G8TZNpEpqdDdltkv57Ry/18mB4j/e+yVaTbdVAvW8cG4hnESjiwpUNVwY+968PCSgfkEts&#10;HZOBC3lY5bc3GaalG/mDhl2olJSwT9FAHUKXau2Lmiz6meuIxTu63mKQs6902eMo5bbV8yh61BYb&#10;loUaO9rUVJx2Z2vgbcRxvYhfhu3puLl875fvX9uYjLm/m9bPoAJN4RqGX3xBh1yYDu7MpVetAXkk&#10;/Kl4yXyxBHWQUPIUgc4z/Z8+/wE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BAi0AFAAGAAgAAAAhALGCZ7YKAQAAEwIAABMAAAAAAAAAAAAAAAAAAAAAAFtDb250ZW50X1R5&#10;cGVzXS54bWxQSwECLQAUAAYACAAAACEAOP0h/9YAAACUAQAACwAAAAAAAAAAAAAAAAA7AQAAX3Jl&#10;bHMvLnJlbHNQSwECLQAUAAYACAAAACEApEBKMAgEAAD2DQAADgAAAAAAAAAAAAAAAAA6AgAAZHJz&#10;L2Uyb0RvYy54bWxQSwECLQAKAAAAAAAAACEAMuzMPAoZAAAKGQAAFAAAAAAAAAAAAAAAAABuBgAA&#10;ZHJzL21lZGlhL2ltYWdlMS5wbmdQSwECLQAKAAAAAAAAACEAQHyag0grAABIKwAAFAAAAAAAAAAA&#10;AAAAAACqHwAAZHJzL21lZGlhL2ltYWdlMi5wbmdQSwECLQAKAAAAAAAAACEAHCutRSC3AAAgtwAA&#10;FAAAAAAAAAAAAAAAAAAkSwAAZHJzL21lZGlhL2ltYWdlMy5wbmdQSwECLQAUAAYACAAAACEAF0Dp&#10;UtwAAAAFAQAADwAAAAAAAAAAAAAAAAB2AgEAZHJzL2Rvd25yZXYueG1sUEsBAi0AFAAGAAgAAAAh&#10;ADcnR2HMAAAAKQIAABkAAAAAAAAAAAAAAAAAfwMBAGRycy9fcmVscy9lMm9Eb2MueG1sLnJlbHNQ&#10;SwUGAAAAAAgACAAAAgAAggQBAAAA&#10;">
                <v:group id="Group 53" o:spid="_x0000_s1027" style="position:absolute;width:52292;height:12001" coordsize="2842,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o:lock v:ext="edit" aspectratio="t"/>
                  <v:rect id="AutoShape 3" o:spid="_x0000_s1028" style="position:absolute;width:2842;height: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193xAAAANsAAAAPAAAAZHJzL2Rvd25yZXYueG1sRI9Ba4NA&#10;FITvhf6H5RV6KcmaHkKw2YQglEophGrq+eG+qMR9q+5G7b/vFgI5DjPzDbPdz6YVIw2usaxgtYxA&#10;EJdWN1wpOOXviw0I55E1tpZJwS852O8eH7YYazvxN42Zr0SAsItRQe19F0vpypoMuqXtiIN3toNB&#10;H+RQST3gFOCmla9RtJYGGw4LNXaU1FResqtRMJXHsci/PuTxpUgt92mfZD+fSj0/zYc3EJ5mfw/f&#10;2qlWsFnD/5fwA+TuDwAA//8DAFBLAQItABQABgAIAAAAIQDb4fbL7gAAAIUBAAATAAAAAAAAAAAA&#10;AAAAAAAAAABbQ29udGVudF9UeXBlc10ueG1sUEsBAi0AFAAGAAgAAAAhAFr0LFu/AAAAFQEAAAsA&#10;AAAAAAAAAAAAAAAAHwEAAF9yZWxzLy5yZWxzUEsBAi0AFAAGAAgAAAAhAAejX3fEAAAA2wAAAA8A&#10;AAAAAAAAAAAAAAAABwIAAGRycy9kb3ducmV2LnhtbFBLBQYAAAAAAwADALcAAAD4AgAAAAA=&#10;" filled="f" stroked="f">
                    <o:lock v:ext="edit" aspectratio="t" text="t"/>
                  </v:rect>
                  <v:shape id="Picture 115" o:spid="_x0000_s1029" type="#_x0000_t75" style="position:absolute;left:1344;top:85;width:749;height: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P0awwAAANwAAAAPAAAAZHJzL2Rvd25yZXYueG1sRE/fa8Iw&#10;EH4f7H8IN/BlzFRlo1SjDEEQ1IF17PlozjasuZQm1upfbwTBt/v4ft5s0dtadNR641jBaJiAIC6c&#10;Nlwq+D2sPlIQPiBrrB2Tggt5WMxfX2aYaXfmPXV5KEUMYZ+hgiqEJpPSFxVZ9EPXEEfu6FqLIcK2&#10;lLrFcwy3tRwnyZe0aDg2VNjQsqLiPz9ZBWVSb8zk532frq+7LjV/2yY9FEoN3vrvKYhAfXiKH+61&#10;jvNHn3B/Jl4g5zcAAAD//wMAUEsBAi0AFAAGAAgAAAAhANvh9svuAAAAhQEAABMAAAAAAAAAAAAA&#10;AAAAAAAAAFtDb250ZW50X1R5cGVzXS54bWxQSwECLQAUAAYACAAAACEAWvQsW78AAAAVAQAACwAA&#10;AAAAAAAAAAAAAAAfAQAAX3JlbHMvLnJlbHNQSwECLQAUAAYACAAAACEA5pT9GsMAAADcAAAADwAA&#10;AAAAAAAAAAAAAAAHAgAAZHJzL2Rvd25yZXYueG1sUEsFBgAAAAADAAMAtwAAAPcCAAAAAA==&#10;">
                    <v:imagedata r:id="rId26" o:title=""/>
                  </v:shape>
                </v:group>
                <v:shape id="Picture 1043" o:spid="_x0000_s1030" type="#_x0000_t75" style="position:absolute;left:7381;top:928;width:17987;height:10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0x5xQAAAN0AAAAPAAAAZHJzL2Rvd25yZXYueG1sRE/dasIw&#10;FL4f+A7hCLubibqpVKN0g8HGUGjrAxyas7asOemaTKtPvwwG3p2P7/dsdoNtxYl63zjWMJ0oEMSl&#10;Mw1XGo7F68MKhA/IBlvHpOFCHnbb0d0GE+POnNEpD5WIIewT1FCH0CVS+rImi37iOuLIfbreYoiw&#10;r6Tp8RzDbStnSi2kxYZjQ40dvdRUfuU/VsNyn6vs+734SItDuDaL9Hn+VGVa34+HdA0i0BBu4n/3&#10;m4nz1eMc/r6JJ8jtLwAAAP//AwBQSwECLQAUAAYACAAAACEA2+H2y+4AAACFAQAAEwAAAAAAAAAA&#10;AAAAAAAAAAAAW0NvbnRlbnRfVHlwZXNdLnhtbFBLAQItABQABgAIAAAAIQBa9CxbvwAAABUBAAAL&#10;AAAAAAAAAAAAAAAAAB8BAABfcmVscy8ucmVsc1BLAQItABQABgAIAAAAIQCE50x5xQAAAN0AAAAP&#10;AAAAAAAAAAAAAAAAAAcCAABkcnMvZG93bnJldi54bWxQSwUGAAAAAAMAAwC3AAAA+QIAAAAA&#10;">
                  <v:imagedata r:id="rId27" o:title=""/>
                </v:shape>
                <v:shape id="Picture 1049" o:spid="_x0000_s1031" type="#_x0000_t75" alt="Logo&#10;&#10;Description automatically generated" style="position:absolute;left:40035;top:1881;width:4832;height:8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EO6wwAAAN0AAAAPAAAAZHJzL2Rvd25yZXYueG1sRE/fa8Iw&#10;EH4f7H8IN/BtJlPR2RllCIqOUZgT9no0t6asuZQm1vrfG2Hg2318P2+x6l0tOmpD5VnDy1CBIC68&#10;qbjUcPzePL+CCBHZYO2ZNFwowGr5+LDAzPgzf1F3iKVIIRwy1GBjbDIpQ2HJYRj6hjhxv751GBNs&#10;S2laPKdwV8uRUlPpsOLUYLGhtaXi73ByGsb7md1y/6NkN93mp9nI558fXuvBU//+BiJSH+/if/fO&#10;pPlqMofbN+kEubwCAAD//wMAUEsBAi0AFAAGAAgAAAAhANvh9svuAAAAhQEAABMAAAAAAAAAAAAA&#10;AAAAAAAAAFtDb250ZW50X1R5cGVzXS54bWxQSwECLQAUAAYACAAAACEAWvQsW78AAAAVAQAACwAA&#10;AAAAAAAAAAAAAAAfAQAAX3JlbHMvLnJlbHNQSwECLQAUAAYACAAAACEAFaRDusMAAADdAAAADwAA&#10;AAAAAAAAAAAAAAAHAgAAZHJzL2Rvd25yZXYueG1sUEsFBgAAAAADAAMAtwAAAPcCAAAAAA==&#10;">
                  <v:imagedata r:id="rId28" o:title="Logo&#10;&#10;Description automatically generated"/>
                </v:shape>
                <w10:anchorlock/>
              </v:group>
            </w:pict>
          </mc:Fallback>
        </mc:AlternateContent>
      </w:r>
    </w:p>
    <w:p w14:paraId="1697136F" w14:textId="7638E61B" w:rsidR="005B0AA3" w:rsidRDefault="009300EE" w:rsidP="005B0AA3">
      <w:pPr>
        <w:spacing w:line="240" w:lineRule="auto"/>
        <w:rPr>
          <w:rFonts w:cs="Arial"/>
          <w:bCs/>
          <w:sz w:val="20"/>
        </w:rPr>
      </w:pPr>
      <w:r>
        <w:rPr>
          <w:rFonts w:cs="Arial"/>
          <w:bCs/>
          <w:noProof/>
          <w:sz w:val="20"/>
        </w:rPr>
        <w:drawing>
          <wp:anchor distT="0" distB="0" distL="114300" distR="114300" simplePos="0" relativeHeight="251693061" behindDoc="0" locked="0" layoutInCell="1" allowOverlap="1" wp14:anchorId="195B7927" wp14:editId="7A7B289C">
            <wp:simplePos x="0" y="0"/>
            <wp:positionH relativeFrom="column">
              <wp:posOffset>1038393</wp:posOffset>
            </wp:positionH>
            <wp:positionV relativeFrom="paragraph">
              <wp:posOffset>82597</wp:posOffset>
            </wp:positionV>
            <wp:extent cx="504000" cy="504853"/>
            <wp:effectExtent l="0" t="0" r="0" b="0"/>
            <wp:wrapNone/>
            <wp:docPr id="8" name="Picture 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con&#10;&#10;Description automatically generated"/>
                    <pic:cNvPicPr/>
                  </pic:nvPicPr>
                  <pic:blipFill>
                    <a:blip r:embed="rId29" cstate="email">
                      <a:extLst>
                        <a:ext uri="{28A0092B-C50C-407E-A947-70E740481C1C}">
                          <a14:useLocalDpi xmlns:a14="http://schemas.microsoft.com/office/drawing/2010/main"/>
                        </a:ext>
                      </a:extLst>
                    </a:blip>
                    <a:stretch>
                      <a:fillRect/>
                    </a:stretch>
                  </pic:blipFill>
                  <pic:spPr>
                    <a:xfrm>
                      <a:off x="0" y="0"/>
                      <a:ext cx="504000" cy="504853"/>
                    </a:xfrm>
                    <a:prstGeom prst="rect">
                      <a:avLst/>
                    </a:prstGeom>
                  </pic:spPr>
                </pic:pic>
              </a:graphicData>
            </a:graphic>
            <wp14:sizeRelH relativeFrom="page">
              <wp14:pctWidth>0</wp14:pctWidth>
            </wp14:sizeRelH>
            <wp14:sizeRelV relativeFrom="page">
              <wp14:pctHeight>0</wp14:pctHeight>
            </wp14:sizeRelV>
          </wp:anchor>
        </w:drawing>
      </w:r>
      <w:r w:rsidR="009757D6">
        <w:rPr>
          <w:noProof/>
          <w:lang w:eastAsia="en-AU"/>
        </w:rPr>
        <w:drawing>
          <wp:anchor distT="0" distB="0" distL="114300" distR="114300" simplePos="0" relativeHeight="251654144" behindDoc="0" locked="0" layoutInCell="1" allowOverlap="1" wp14:anchorId="660D859A" wp14:editId="7FE09B95">
            <wp:simplePos x="0" y="0"/>
            <wp:positionH relativeFrom="column">
              <wp:posOffset>1742293</wp:posOffset>
            </wp:positionH>
            <wp:positionV relativeFrom="paragraph">
              <wp:posOffset>171613</wp:posOffset>
            </wp:positionV>
            <wp:extent cx="1084580" cy="360680"/>
            <wp:effectExtent l="0" t="0" r="1270" b="1270"/>
            <wp:wrapNone/>
            <wp:docPr id="1026" name="Picture 3" descr="Description: Description: W:\WRM LOGO\WRM_ARTWORK\WRM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3" descr="Description: Description: W:\WRM LOGO\WRM_ARTWORK\WRM_LOGO.jpg"/>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1084580" cy="360680"/>
                    </a:xfrm>
                    <a:prstGeom prst="rect">
                      <a:avLst/>
                    </a:prstGeom>
                    <a:noFill/>
                    <a:ln>
                      <a:noFill/>
                    </a:ln>
                  </pic:spPr>
                </pic:pic>
              </a:graphicData>
            </a:graphic>
          </wp:anchor>
        </w:drawing>
      </w:r>
      <w:r w:rsidR="00BE0564">
        <w:rPr>
          <w:noProof/>
          <w:lang w:eastAsia="en-AU"/>
        </w:rPr>
        <w:drawing>
          <wp:anchor distT="0" distB="0" distL="114300" distR="114300" simplePos="0" relativeHeight="251654148" behindDoc="0" locked="0" layoutInCell="1" allowOverlap="1" wp14:anchorId="2C892106" wp14:editId="64CD46A5">
            <wp:simplePos x="0" y="0"/>
            <wp:positionH relativeFrom="margin">
              <wp:posOffset>2981325</wp:posOffset>
            </wp:positionH>
            <wp:positionV relativeFrom="paragraph">
              <wp:posOffset>178435</wp:posOffset>
            </wp:positionV>
            <wp:extent cx="1837426" cy="405022"/>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EW-horizontal-CMYK.jpg"/>
                    <pic:cNvPicPr/>
                  </pic:nvPicPr>
                  <pic:blipFill rotWithShape="1">
                    <a:blip r:embed="rId31" cstate="email">
                      <a:extLst>
                        <a:ext uri="{28A0092B-C50C-407E-A947-70E740481C1C}">
                          <a14:useLocalDpi xmlns:a14="http://schemas.microsoft.com/office/drawing/2010/main"/>
                        </a:ext>
                      </a:extLst>
                    </a:blip>
                    <a:srcRect/>
                    <a:stretch/>
                  </pic:blipFill>
                  <pic:spPr bwMode="auto">
                    <a:xfrm>
                      <a:off x="0" y="0"/>
                      <a:ext cx="1837426" cy="4050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D157D9" w14:textId="4A3ABEA5" w:rsidR="005B0AA3" w:rsidRDefault="005B0AA3" w:rsidP="005B0AA3">
      <w:pPr>
        <w:spacing w:line="240" w:lineRule="auto"/>
        <w:rPr>
          <w:rFonts w:cs="Arial"/>
          <w:bCs/>
          <w:sz w:val="20"/>
        </w:rPr>
      </w:pPr>
    </w:p>
    <w:p w14:paraId="46240775" w14:textId="1E1283F9" w:rsidR="005B0AA3" w:rsidRDefault="005B0AA3" w:rsidP="005B0AA3">
      <w:pPr>
        <w:spacing w:line="240" w:lineRule="auto"/>
        <w:rPr>
          <w:rFonts w:cs="Arial"/>
          <w:bCs/>
          <w:sz w:val="20"/>
        </w:rPr>
      </w:pPr>
    </w:p>
    <w:p w14:paraId="5D57ACCD" w14:textId="5A07EFE1" w:rsidR="005B0AA3" w:rsidRDefault="005B0AA3" w:rsidP="005B0AA3">
      <w:pPr>
        <w:pStyle w:val="ListBullet"/>
        <w:numPr>
          <w:ilvl w:val="0"/>
          <w:numId w:val="0"/>
        </w:numPr>
        <w:spacing w:line="240" w:lineRule="auto"/>
        <w:rPr>
          <w:bCs/>
          <w:sz w:val="20"/>
        </w:rPr>
      </w:pPr>
      <w:r w:rsidRPr="00C3442D">
        <w:rPr>
          <w:bCs/>
          <w:sz w:val="20"/>
        </w:rPr>
        <w:t>This project was commissioned and funded by Commonwealth Environmental Water Office (CEWO) with additional in-kind support from</w:t>
      </w:r>
      <w:r w:rsidR="00FC3E96" w:rsidRPr="00C3442D">
        <w:rPr>
          <w:bCs/>
          <w:sz w:val="20"/>
        </w:rPr>
        <w:t xml:space="preserve"> the</w:t>
      </w:r>
      <w:r w:rsidRPr="00C3442D">
        <w:rPr>
          <w:bCs/>
          <w:sz w:val="20"/>
        </w:rPr>
        <w:t xml:space="preserve"> South Australian Research and Development Institute (SARDI)</w:t>
      </w:r>
      <w:r w:rsidR="00C3442D" w:rsidRPr="00C3442D">
        <w:rPr>
          <w:sz w:val="20"/>
          <w:szCs w:val="20"/>
        </w:rPr>
        <w:t xml:space="preserve"> and</w:t>
      </w:r>
      <w:r w:rsidRPr="00C3442D">
        <w:rPr>
          <w:bCs/>
          <w:sz w:val="20"/>
        </w:rPr>
        <w:t xml:space="preserve"> South Australian Department for Environment and Water (DEW).</w:t>
      </w:r>
      <w:r w:rsidRPr="00C3442D">
        <w:rPr>
          <w:bCs/>
          <w:sz w:val="20"/>
          <w:szCs w:val="20"/>
        </w:rPr>
        <w:t xml:space="preserve"> </w:t>
      </w:r>
      <w:r w:rsidRPr="00C3442D">
        <w:rPr>
          <w:bCs/>
          <w:sz w:val="20"/>
        </w:rPr>
        <w:t>The authors of this report as well as the CEWO respectfully acknowledge the traditional owners</w:t>
      </w:r>
      <w:r w:rsidRPr="00C8209D">
        <w:rPr>
          <w:bCs/>
          <w:sz w:val="20"/>
        </w:rPr>
        <w:t xml:space="preserve"> of Country in the Murray</w:t>
      </w:r>
      <w:r w:rsidR="00494246">
        <w:rPr>
          <w:bCs/>
          <w:sz w:val="20"/>
        </w:rPr>
        <w:t>–</w:t>
      </w:r>
      <w:r w:rsidRPr="00C8209D">
        <w:rPr>
          <w:bCs/>
          <w:sz w:val="20"/>
        </w:rPr>
        <w:t>Darling Basin, their Elders past and present, their Nations, and their cultural, social, environmental, spiritual and economic connection to their lands and waters</w:t>
      </w:r>
      <w:r w:rsidRPr="0008149F">
        <w:rPr>
          <w:bCs/>
          <w:sz w:val="20"/>
        </w:rPr>
        <w:t>. In particular</w:t>
      </w:r>
      <w:r>
        <w:rPr>
          <w:bCs/>
          <w:sz w:val="20"/>
        </w:rPr>
        <w:t>,</w:t>
      </w:r>
      <w:r w:rsidRPr="0008149F">
        <w:rPr>
          <w:bCs/>
          <w:sz w:val="20"/>
        </w:rPr>
        <w:t xml:space="preserve"> the Ngarrindjeri Nation and the First Peoples of the River Murray and Mallee as traditional owners of the land and water on which this publication is focused.</w:t>
      </w:r>
    </w:p>
    <w:p w14:paraId="7D8A811F" w14:textId="76C3E50D" w:rsidR="00B64817" w:rsidRDefault="00B64817" w:rsidP="005B0AA3">
      <w:pPr>
        <w:pStyle w:val="ListBullet"/>
        <w:numPr>
          <w:ilvl w:val="0"/>
          <w:numId w:val="0"/>
        </w:numPr>
        <w:spacing w:line="240" w:lineRule="auto"/>
        <w:rPr>
          <w:bCs/>
          <w:sz w:val="20"/>
        </w:rPr>
      </w:pPr>
      <w:r>
        <w:rPr>
          <w:bCs/>
          <w:sz w:val="20"/>
        </w:rPr>
        <w:t xml:space="preserve">Cover photos: </w:t>
      </w:r>
      <w:proofErr w:type="spellStart"/>
      <w:r w:rsidR="006451C7">
        <w:rPr>
          <w:bCs/>
          <w:sz w:val="20"/>
        </w:rPr>
        <w:t>microinvertebrate</w:t>
      </w:r>
      <w:proofErr w:type="spellEnd"/>
      <w:r w:rsidR="006451C7">
        <w:rPr>
          <w:bCs/>
          <w:sz w:val="20"/>
        </w:rPr>
        <w:t xml:space="preserve"> (</w:t>
      </w:r>
      <w:r w:rsidR="0071490A">
        <w:rPr>
          <w:bCs/>
          <w:sz w:val="20"/>
        </w:rPr>
        <w:t>Cladocera</w:t>
      </w:r>
      <w:r w:rsidR="006451C7">
        <w:rPr>
          <w:bCs/>
          <w:sz w:val="20"/>
        </w:rPr>
        <w:t>)</w:t>
      </w:r>
      <w:r w:rsidR="0071490A">
        <w:rPr>
          <w:bCs/>
          <w:sz w:val="20"/>
        </w:rPr>
        <w:t xml:space="preserve"> – the University of Adelaide; </w:t>
      </w:r>
      <w:r>
        <w:rPr>
          <w:bCs/>
          <w:sz w:val="20"/>
        </w:rPr>
        <w:t>Coorong aerial shot –</w:t>
      </w:r>
      <w:r w:rsidR="0071490A">
        <w:rPr>
          <w:bCs/>
          <w:sz w:val="20"/>
        </w:rPr>
        <w:t xml:space="preserve"> </w:t>
      </w:r>
      <w:r w:rsidRPr="00B64817">
        <w:rPr>
          <w:bCs/>
          <w:sz w:val="20"/>
        </w:rPr>
        <w:t>D</w:t>
      </w:r>
      <w:r>
        <w:rPr>
          <w:bCs/>
          <w:sz w:val="20"/>
        </w:rPr>
        <w:t>EW</w:t>
      </w:r>
      <w:r w:rsidR="0071490A">
        <w:rPr>
          <w:bCs/>
          <w:sz w:val="20"/>
        </w:rPr>
        <w:t>; others – SARDI.</w:t>
      </w:r>
    </w:p>
    <w:p w14:paraId="078D2159" w14:textId="655F0C2E" w:rsidR="005B0AA3" w:rsidRPr="005407E1" w:rsidRDefault="005B0AA3" w:rsidP="005B0AA3">
      <w:pPr>
        <w:spacing w:line="240" w:lineRule="auto"/>
        <w:rPr>
          <w:rFonts w:eastAsiaTheme="majorEastAsia"/>
          <w:b/>
          <w:sz w:val="20"/>
        </w:rPr>
      </w:pPr>
      <w:r w:rsidRPr="005407E1">
        <w:rPr>
          <w:rFonts w:eastAsiaTheme="majorEastAsia"/>
          <w:b/>
          <w:sz w:val="20"/>
        </w:rPr>
        <w:t>D</w:t>
      </w:r>
      <w:r>
        <w:rPr>
          <w:rFonts w:eastAsiaTheme="majorEastAsia"/>
          <w:b/>
          <w:sz w:val="20"/>
        </w:rPr>
        <w:t>isclaimer</w:t>
      </w:r>
    </w:p>
    <w:p w14:paraId="4C4503E3" w14:textId="55E6BC14" w:rsidR="005B0AA3" w:rsidRPr="005407E1" w:rsidRDefault="005B0AA3" w:rsidP="005B0AA3">
      <w:pPr>
        <w:autoSpaceDE w:val="0"/>
        <w:autoSpaceDN w:val="0"/>
        <w:adjustRightInd w:val="0"/>
        <w:spacing w:line="240" w:lineRule="auto"/>
        <w:rPr>
          <w:rFonts w:eastAsiaTheme="majorEastAsia"/>
          <w:b/>
          <w:sz w:val="20"/>
        </w:rPr>
      </w:pPr>
      <w:r w:rsidRPr="005407E1">
        <w:rPr>
          <w:rFonts w:eastAsiaTheme="minorHAnsi" w:cs="Century Gothic"/>
          <w:kern w:val="0"/>
          <w:sz w:val="20"/>
          <w:lang w:val="en-US"/>
        </w:rPr>
        <w:t xml:space="preserve">The views and opinions expressed in this publication are those of the authors and do not necessarily reflect those of the </w:t>
      </w:r>
      <w:bookmarkStart w:id="1" w:name="_Hlk69300183"/>
      <w:r w:rsidRPr="005407E1">
        <w:rPr>
          <w:rFonts w:eastAsiaTheme="minorHAnsi" w:cs="Century Gothic"/>
          <w:kern w:val="0"/>
          <w:sz w:val="20"/>
          <w:lang w:val="en-US"/>
        </w:rPr>
        <w:t xml:space="preserve">Australian Government </w:t>
      </w:r>
      <w:r w:rsidR="00A40048" w:rsidRPr="005407E1">
        <w:rPr>
          <w:rFonts w:eastAsiaTheme="minorHAnsi" w:cs="Century Gothic"/>
          <w:kern w:val="0"/>
          <w:sz w:val="20"/>
          <w:lang w:val="en-US"/>
        </w:rPr>
        <w:t xml:space="preserve">or </w:t>
      </w:r>
      <w:r w:rsidR="00A40048" w:rsidRPr="00EC1DEA">
        <w:rPr>
          <w:rFonts w:eastAsiaTheme="minorHAnsi" w:cs="Century Gothic"/>
          <w:kern w:val="0"/>
          <w:sz w:val="20"/>
          <w:lang w:val="en-US"/>
        </w:rPr>
        <w:t>the Minister for the Environment</w:t>
      </w:r>
      <w:bookmarkEnd w:id="1"/>
      <w:r w:rsidR="00A40048" w:rsidRPr="00EC1DEA">
        <w:rPr>
          <w:rFonts w:eastAsiaTheme="minorHAnsi" w:cs="Century Gothic"/>
          <w:kern w:val="0"/>
          <w:sz w:val="20"/>
          <w:lang w:val="en-US"/>
        </w:rPr>
        <w:t>.</w:t>
      </w:r>
      <w:r w:rsidR="00A40048" w:rsidRPr="005407E1">
        <w:rPr>
          <w:rFonts w:eastAsiaTheme="minorHAnsi" w:cs="Century Gothic"/>
          <w:kern w:val="0"/>
          <w:sz w:val="20"/>
          <w:lang w:val="en-US"/>
        </w:rPr>
        <w:t xml:space="preserve"> </w:t>
      </w:r>
      <w:r w:rsidRPr="005407E1">
        <w:rPr>
          <w:rFonts w:eastAsiaTheme="minorHAnsi" w:cs="Century Gothic"/>
          <w:kern w:val="0"/>
          <w:sz w:val="20"/>
          <w:lang w:val="en-US"/>
        </w:rPr>
        <w:t xml:space="preserve"> 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 </w:t>
      </w:r>
    </w:p>
    <w:p w14:paraId="0EB2E9EB" w14:textId="2A95C0E4" w:rsidR="005B0AA3" w:rsidRPr="005407E1" w:rsidRDefault="005B0AA3" w:rsidP="005B0AA3">
      <w:pPr>
        <w:rPr>
          <w:rFonts w:eastAsiaTheme="minorHAnsi"/>
          <w:color w:val="auto"/>
          <w:kern w:val="0"/>
          <w:sz w:val="18"/>
          <w:szCs w:val="18"/>
          <w:lang w:eastAsia="en-AU"/>
        </w:rPr>
      </w:pPr>
      <w:r w:rsidRPr="005407E1">
        <w:rPr>
          <w:rFonts w:eastAsiaTheme="minorHAnsi"/>
          <w:noProof/>
          <w:color w:val="auto"/>
          <w:kern w:val="0"/>
          <w:sz w:val="18"/>
          <w:szCs w:val="18"/>
          <w:lang w:eastAsia="en-AU"/>
        </w:rPr>
        <w:drawing>
          <wp:inline distT="0" distB="0" distL="0" distR="0" wp14:anchorId="240EECDD" wp14:editId="790DCAFE">
            <wp:extent cx="1247775" cy="433438"/>
            <wp:effectExtent l="0" t="0" r="0" b="5080"/>
            <wp:docPr id="12" name="Picture 28" descr="http://mirrors.creativecommons.org/presskit/buttons/88x31/png/b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mirrors.creativecommons.org/presskit/buttons/88x31/png/by.png"/>
                    <pic:cNvPicPr>
                      <a:picLocks noChangeAspect="1" noChangeArrowheads="1"/>
                    </pic:cNvPicPr>
                  </pic:nvPicPr>
                  <pic:blipFill>
                    <a:blip r:embed="rId32" r:link="rId33" cstate="email">
                      <a:extLst>
                        <a:ext uri="{28A0092B-C50C-407E-A947-70E740481C1C}">
                          <a14:useLocalDpi xmlns:a14="http://schemas.microsoft.com/office/drawing/2010/main"/>
                        </a:ext>
                      </a:extLst>
                    </a:blip>
                    <a:srcRect/>
                    <a:stretch>
                      <a:fillRect/>
                    </a:stretch>
                  </pic:blipFill>
                  <pic:spPr bwMode="auto">
                    <a:xfrm>
                      <a:off x="0" y="0"/>
                      <a:ext cx="1277489" cy="443760"/>
                    </a:xfrm>
                    <a:prstGeom prst="rect">
                      <a:avLst/>
                    </a:prstGeom>
                    <a:noFill/>
                    <a:ln w="9525">
                      <a:noFill/>
                      <a:miter lim="800000"/>
                      <a:headEnd/>
                      <a:tailEnd/>
                    </a:ln>
                  </pic:spPr>
                </pic:pic>
              </a:graphicData>
            </a:graphic>
          </wp:inline>
        </w:drawing>
      </w:r>
      <w:r>
        <w:rPr>
          <w:rFonts w:eastAsiaTheme="minorHAnsi"/>
          <w:b/>
          <w:color w:val="auto"/>
          <w:kern w:val="0"/>
          <w:sz w:val="20"/>
          <w:lang w:eastAsia="en-AU"/>
        </w:rPr>
        <w:t xml:space="preserve">  </w:t>
      </w:r>
      <w:r w:rsidRPr="001F65AB">
        <w:rPr>
          <w:rFonts w:eastAsiaTheme="minorHAnsi"/>
          <w:b/>
          <w:color w:val="auto"/>
          <w:kern w:val="0"/>
          <w:sz w:val="20"/>
          <w:lang w:eastAsia="en-AU"/>
        </w:rPr>
        <w:t>© Copyright</w:t>
      </w:r>
      <w:r w:rsidR="00AA0560">
        <w:rPr>
          <w:rFonts w:eastAsiaTheme="minorHAnsi"/>
          <w:b/>
          <w:color w:val="auto"/>
          <w:kern w:val="0"/>
          <w:sz w:val="20"/>
          <w:lang w:eastAsia="en-AU"/>
        </w:rPr>
        <w:t xml:space="preserve"> Commonwealth of Australia, 202</w:t>
      </w:r>
      <w:r w:rsidR="00192034">
        <w:rPr>
          <w:rFonts w:eastAsiaTheme="minorHAnsi"/>
          <w:b/>
          <w:color w:val="auto"/>
          <w:kern w:val="0"/>
          <w:sz w:val="20"/>
          <w:lang w:eastAsia="en-AU"/>
        </w:rPr>
        <w:t>1</w:t>
      </w:r>
    </w:p>
    <w:p w14:paraId="00C496AB" w14:textId="7C12EF43" w:rsidR="005B0AA3" w:rsidRPr="005407E1" w:rsidRDefault="005B0AA3" w:rsidP="005B0AA3">
      <w:pPr>
        <w:rPr>
          <w:rFonts w:eastAsiaTheme="majorEastAsia"/>
          <w:b/>
          <w:sz w:val="20"/>
        </w:rPr>
      </w:pPr>
      <w:r w:rsidRPr="005407E1">
        <w:rPr>
          <w:rFonts w:cs="Arial"/>
          <w:bCs/>
          <w:color w:val="auto"/>
          <w:sz w:val="20"/>
        </w:rPr>
        <w:t>‘</w:t>
      </w:r>
      <w:r w:rsidR="00C209E0" w:rsidRPr="00C209E0">
        <w:rPr>
          <w:rFonts w:cs="Arial"/>
          <w:bCs/>
          <w:color w:val="auto"/>
          <w:sz w:val="20"/>
        </w:rPr>
        <w:t>Commonwealth Environmental Water Office Monitoring, Evaluation and Research Project: Lower Murray 2019-20 Technical Report</w:t>
      </w:r>
      <w:r>
        <w:rPr>
          <w:rFonts w:cs="Arial"/>
          <w:bCs/>
          <w:color w:val="auto"/>
          <w:sz w:val="20"/>
        </w:rPr>
        <w:t xml:space="preserve">’ – this report </w:t>
      </w:r>
      <w:r w:rsidRPr="005407E1">
        <w:rPr>
          <w:rFonts w:eastAsiaTheme="minorHAnsi" w:cs="Century Gothic"/>
          <w:kern w:val="0"/>
          <w:sz w:val="20"/>
          <w:lang w:val="en-US"/>
        </w:rPr>
        <w:t xml:space="preserve">is licensed by the Commonwealth of Australia for use under a Creative Commons By Attribution 3.0 Australia </w:t>
      </w:r>
      <w:r w:rsidRPr="005F4147">
        <w:rPr>
          <w:rFonts w:eastAsiaTheme="minorHAnsi" w:cs="Century Gothic"/>
          <w:kern w:val="0"/>
          <w:sz w:val="20"/>
        </w:rPr>
        <w:t>licence with the exception of the Coat of Arms of the Commonwealth of Australia, the logo of the agency responsible for publishing the report, content supplied by third parties, and any images depicting people. For licence conditions see: http://creativec</w:t>
      </w:r>
      <w:r>
        <w:rPr>
          <w:rFonts w:eastAsiaTheme="minorHAnsi" w:cs="Century Gothic"/>
          <w:kern w:val="0"/>
          <w:sz w:val="20"/>
        </w:rPr>
        <w:t>ommons.org/licenses/by/3.0/au/</w:t>
      </w:r>
    </w:p>
    <w:p w14:paraId="10D4DDBD" w14:textId="77777777" w:rsidR="005B0AA3" w:rsidRPr="00A67C76" w:rsidRDefault="005B0AA3" w:rsidP="005B0AA3">
      <w:pPr>
        <w:pStyle w:val="H1anotincinTOC"/>
        <w:rPr>
          <w:color w:val="44546A" w:themeColor="text2"/>
        </w:rPr>
        <w:sectPr w:rsidR="005B0AA3" w:rsidRPr="00A67C76" w:rsidSect="00D632F9">
          <w:headerReference w:type="default" r:id="rId34"/>
          <w:footerReference w:type="default" r:id="rId35"/>
          <w:footnotePr>
            <w:numFmt w:val="lowerLetter"/>
          </w:footnotePr>
          <w:pgSz w:w="11900" w:h="16840"/>
          <w:pgMar w:top="1440" w:right="1440" w:bottom="1440" w:left="1440" w:header="708" w:footer="708" w:gutter="0"/>
          <w:pgNumType w:fmt="lowerRoman" w:start="1"/>
          <w:cols w:space="708"/>
          <w:docGrid w:linePitch="360"/>
        </w:sectPr>
      </w:pPr>
    </w:p>
    <w:bookmarkStart w:id="2" w:name="_Toc69309224" w:displacedByCustomXml="next"/>
    <w:sdt>
      <w:sdtPr>
        <w:rPr>
          <w:rFonts w:cs="Times New Roman"/>
          <w:b w:val="0"/>
          <w:bCs w:val="0"/>
          <w:caps w:val="0"/>
          <w:spacing w:val="0"/>
          <w:sz w:val="22"/>
          <w:szCs w:val="20"/>
          <w:lang w:eastAsia="en-US"/>
        </w:rPr>
        <w:id w:val="-407615464"/>
        <w:docPartObj>
          <w:docPartGallery w:val="Table of Contents"/>
          <w:docPartUnique/>
        </w:docPartObj>
      </w:sdtPr>
      <w:sdtEndPr>
        <w:rPr>
          <w:noProof/>
          <w:sz w:val="21"/>
        </w:rPr>
      </w:sdtEndPr>
      <w:sdtContent>
        <w:bookmarkStart w:id="3" w:name="_Toc441838719" w:displacedByCustomXml="prev"/>
        <w:p w14:paraId="514B574E" w14:textId="10FD846A" w:rsidR="005B0AA3" w:rsidRDefault="005B0AA3" w:rsidP="005B0AA3">
          <w:pPr>
            <w:pStyle w:val="H1anotincinTOC"/>
            <w:outlineLvl w:val="0"/>
          </w:pPr>
          <w:r w:rsidRPr="00A67C76">
            <w:rPr>
              <w:color w:val="44546A" w:themeColor="text2"/>
            </w:rPr>
            <w:t xml:space="preserve">Table of </w:t>
          </w:r>
          <w:bookmarkEnd w:id="3"/>
          <w:r w:rsidR="00FB5EF1" w:rsidRPr="00A67C76">
            <w:rPr>
              <w:color w:val="44546A" w:themeColor="text2"/>
            </w:rPr>
            <w:t>contents</w:t>
          </w:r>
          <w:bookmarkEnd w:id="2"/>
        </w:p>
        <w:p w14:paraId="44B727BD" w14:textId="07CAF83B" w:rsidR="00432C29" w:rsidRDefault="005B0AA3">
          <w:pPr>
            <w:pStyle w:val="TOC1"/>
            <w:tabs>
              <w:tab w:val="right" w:leader="dot" w:pos="9010"/>
            </w:tabs>
            <w:rPr>
              <w:rFonts w:asciiTheme="minorHAnsi" w:eastAsiaTheme="minorEastAsia" w:hAnsiTheme="minorHAnsi" w:cstheme="minorBidi"/>
              <w:b w:val="0"/>
              <w:caps w:val="0"/>
              <w:noProof/>
              <w:color w:val="auto"/>
              <w:kern w:val="0"/>
              <w:sz w:val="22"/>
              <w:szCs w:val="22"/>
              <w:lang w:eastAsia="en-AU"/>
            </w:rPr>
          </w:pPr>
          <w:r>
            <w:rPr>
              <w:b w:val="0"/>
              <w:caps w:val="0"/>
              <w:highlight w:val="yellow"/>
            </w:rPr>
            <w:fldChar w:fldCharType="begin"/>
          </w:r>
          <w:r>
            <w:rPr>
              <w:b w:val="0"/>
              <w:caps w:val="0"/>
              <w:highlight w:val="yellow"/>
            </w:rPr>
            <w:instrText xml:space="preserve"> TOC \o "1-2" \h \z \u </w:instrText>
          </w:r>
          <w:r>
            <w:rPr>
              <w:b w:val="0"/>
              <w:caps w:val="0"/>
              <w:highlight w:val="yellow"/>
            </w:rPr>
            <w:fldChar w:fldCharType="separate"/>
          </w:r>
          <w:hyperlink w:anchor="_Toc69309224" w:history="1">
            <w:r w:rsidR="00432C29" w:rsidRPr="00883F5E">
              <w:rPr>
                <w:rStyle w:val="Hyperlink"/>
                <w:noProof/>
              </w:rPr>
              <w:t>Table of contents</w:t>
            </w:r>
            <w:r w:rsidR="00432C29">
              <w:rPr>
                <w:noProof/>
                <w:webHidden/>
              </w:rPr>
              <w:tab/>
            </w:r>
            <w:r w:rsidR="00432C29">
              <w:rPr>
                <w:noProof/>
                <w:webHidden/>
              </w:rPr>
              <w:fldChar w:fldCharType="begin"/>
            </w:r>
            <w:r w:rsidR="00432C29">
              <w:rPr>
                <w:noProof/>
                <w:webHidden/>
              </w:rPr>
              <w:instrText xml:space="preserve"> PAGEREF _Toc69309224 \h </w:instrText>
            </w:r>
            <w:r w:rsidR="00432C29">
              <w:rPr>
                <w:noProof/>
                <w:webHidden/>
              </w:rPr>
            </w:r>
            <w:r w:rsidR="00432C29">
              <w:rPr>
                <w:noProof/>
                <w:webHidden/>
              </w:rPr>
              <w:fldChar w:fldCharType="separate"/>
            </w:r>
            <w:r w:rsidR="00593FFB">
              <w:rPr>
                <w:noProof/>
                <w:webHidden/>
              </w:rPr>
              <w:t>i</w:t>
            </w:r>
            <w:r w:rsidR="00432C29">
              <w:rPr>
                <w:noProof/>
                <w:webHidden/>
              </w:rPr>
              <w:fldChar w:fldCharType="end"/>
            </w:r>
          </w:hyperlink>
        </w:p>
        <w:p w14:paraId="417C5660" w14:textId="4EAF5B5E" w:rsidR="00432C29" w:rsidRDefault="006C38E9">
          <w:pPr>
            <w:pStyle w:val="TOC1"/>
            <w:tabs>
              <w:tab w:val="right" w:leader="dot" w:pos="9010"/>
            </w:tabs>
            <w:rPr>
              <w:rFonts w:asciiTheme="minorHAnsi" w:eastAsiaTheme="minorEastAsia" w:hAnsiTheme="minorHAnsi" w:cstheme="minorBidi"/>
              <w:b w:val="0"/>
              <w:caps w:val="0"/>
              <w:noProof/>
              <w:color w:val="auto"/>
              <w:kern w:val="0"/>
              <w:sz w:val="22"/>
              <w:szCs w:val="22"/>
              <w:lang w:eastAsia="en-AU"/>
            </w:rPr>
          </w:pPr>
          <w:hyperlink w:anchor="_Toc69309225" w:history="1">
            <w:r w:rsidR="00432C29" w:rsidRPr="00883F5E">
              <w:rPr>
                <w:rStyle w:val="Hyperlink"/>
                <w:noProof/>
              </w:rPr>
              <w:t>List of figures</w:t>
            </w:r>
            <w:r w:rsidR="00432C29">
              <w:rPr>
                <w:noProof/>
                <w:webHidden/>
              </w:rPr>
              <w:tab/>
            </w:r>
            <w:r w:rsidR="00432C29">
              <w:rPr>
                <w:noProof/>
                <w:webHidden/>
              </w:rPr>
              <w:fldChar w:fldCharType="begin"/>
            </w:r>
            <w:r w:rsidR="00432C29">
              <w:rPr>
                <w:noProof/>
                <w:webHidden/>
              </w:rPr>
              <w:instrText xml:space="preserve"> PAGEREF _Toc69309225 \h </w:instrText>
            </w:r>
            <w:r w:rsidR="00432C29">
              <w:rPr>
                <w:noProof/>
                <w:webHidden/>
              </w:rPr>
            </w:r>
            <w:r w:rsidR="00432C29">
              <w:rPr>
                <w:noProof/>
                <w:webHidden/>
              </w:rPr>
              <w:fldChar w:fldCharType="separate"/>
            </w:r>
            <w:r w:rsidR="00593FFB">
              <w:rPr>
                <w:noProof/>
                <w:webHidden/>
              </w:rPr>
              <w:t>ii</w:t>
            </w:r>
            <w:r w:rsidR="00432C29">
              <w:rPr>
                <w:noProof/>
                <w:webHidden/>
              </w:rPr>
              <w:fldChar w:fldCharType="end"/>
            </w:r>
          </w:hyperlink>
        </w:p>
        <w:p w14:paraId="5A0A7D1C" w14:textId="23230835" w:rsidR="00432C29" w:rsidRDefault="006C38E9">
          <w:pPr>
            <w:pStyle w:val="TOC1"/>
            <w:tabs>
              <w:tab w:val="right" w:leader="dot" w:pos="9010"/>
            </w:tabs>
            <w:rPr>
              <w:rFonts w:asciiTheme="minorHAnsi" w:eastAsiaTheme="minorEastAsia" w:hAnsiTheme="minorHAnsi" w:cstheme="minorBidi"/>
              <w:b w:val="0"/>
              <w:caps w:val="0"/>
              <w:noProof/>
              <w:color w:val="auto"/>
              <w:kern w:val="0"/>
              <w:sz w:val="22"/>
              <w:szCs w:val="22"/>
              <w:lang w:eastAsia="en-AU"/>
            </w:rPr>
          </w:pPr>
          <w:hyperlink w:anchor="_Toc69309226" w:history="1">
            <w:r w:rsidR="00432C29" w:rsidRPr="00883F5E">
              <w:rPr>
                <w:rStyle w:val="Hyperlink"/>
                <w:noProof/>
              </w:rPr>
              <w:t>List of tables</w:t>
            </w:r>
            <w:r w:rsidR="00432C29">
              <w:rPr>
                <w:noProof/>
                <w:webHidden/>
              </w:rPr>
              <w:tab/>
            </w:r>
            <w:r w:rsidR="00432C29">
              <w:rPr>
                <w:noProof/>
                <w:webHidden/>
              </w:rPr>
              <w:fldChar w:fldCharType="begin"/>
            </w:r>
            <w:r w:rsidR="00432C29">
              <w:rPr>
                <w:noProof/>
                <w:webHidden/>
              </w:rPr>
              <w:instrText xml:space="preserve"> PAGEREF _Toc69309226 \h </w:instrText>
            </w:r>
            <w:r w:rsidR="00432C29">
              <w:rPr>
                <w:noProof/>
                <w:webHidden/>
              </w:rPr>
            </w:r>
            <w:r w:rsidR="00432C29">
              <w:rPr>
                <w:noProof/>
                <w:webHidden/>
              </w:rPr>
              <w:fldChar w:fldCharType="separate"/>
            </w:r>
            <w:r w:rsidR="00593FFB">
              <w:rPr>
                <w:noProof/>
                <w:webHidden/>
              </w:rPr>
              <w:t>viii</w:t>
            </w:r>
            <w:r w:rsidR="00432C29">
              <w:rPr>
                <w:noProof/>
                <w:webHidden/>
              </w:rPr>
              <w:fldChar w:fldCharType="end"/>
            </w:r>
          </w:hyperlink>
        </w:p>
        <w:p w14:paraId="5F6E8C03" w14:textId="53CA3A17" w:rsidR="00432C29" w:rsidRDefault="006C38E9">
          <w:pPr>
            <w:pStyle w:val="TOC1"/>
            <w:tabs>
              <w:tab w:val="right" w:leader="dot" w:pos="9010"/>
            </w:tabs>
            <w:rPr>
              <w:rFonts w:asciiTheme="minorHAnsi" w:eastAsiaTheme="minorEastAsia" w:hAnsiTheme="minorHAnsi" w:cstheme="minorBidi"/>
              <w:b w:val="0"/>
              <w:caps w:val="0"/>
              <w:noProof/>
              <w:color w:val="auto"/>
              <w:kern w:val="0"/>
              <w:sz w:val="22"/>
              <w:szCs w:val="22"/>
              <w:lang w:eastAsia="en-AU"/>
            </w:rPr>
          </w:pPr>
          <w:hyperlink w:anchor="_Toc69309227" w:history="1">
            <w:r w:rsidR="00432C29" w:rsidRPr="00883F5E">
              <w:rPr>
                <w:rStyle w:val="Hyperlink"/>
                <w:noProof/>
              </w:rPr>
              <w:t>Acknowledgements</w:t>
            </w:r>
            <w:r w:rsidR="00432C29">
              <w:rPr>
                <w:noProof/>
                <w:webHidden/>
              </w:rPr>
              <w:tab/>
            </w:r>
            <w:r w:rsidR="00432C29">
              <w:rPr>
                <w:noProof/>
                <w:webHidden/>
              </w:rPr>
              <w:fldChar w:fldCharType="begin"/>
            </w:r>
            <w:r w:rsidR="00432C29">
              <w:rPr>
                <w:noProof/>
                <w:webHidden/>
              </w:rPr>
              <w:instrText xml:space="preserve"> PAGEREF _Toc69309227 \h </w:instrText>
            </w:r>
            <w:r w:rsidR="00432C29">
              <w:rPr>
                <w:noProof/>
                <w:webHidden/>
              </w:rPr>
            </w:r>
            <w:r w:rsidR="00432C29">
              <w:rPr>
                <w:noProof/>
                <w:webHidden/>
              </w:rPr>
              <w:fldChar w:fldCharType="separate"/>
            </w:r>
            <w:r w:rsidR="00593FFB">
              <w:rPr>
                <w:noProof/>
                <w:webHidden/>
              </w:rPr>
              <w:t>xi</w:t>
            </w:r>
            <w:r w:rsidR="00432C29">
              <w:rPr>
                <w:noProof/>
                <w:webHidden/>
              </w:rPr>
              <w:fldChar w:fldCharType="end"/>
            </w:r>
          </w:hyperlink>
        </w:p>
        <w:p w14:paraId="2EFE3E0F" w14:textId="62C3BFD4" w:rsidR="00432C29" w:rsidRDefault="006C38E9">
          <w:pPr>
            <w:pStyle w:val="TOC1"/>
            <w:tabs>
              <w:tab w:val="right" w:leader="dot" w:pos="9010"/>
            </w:tabs>
            <w:rPr>
              <w:rFonts w:asciiTheme="minorHAnsi" w:eastAsiaTheme="minorEastAsia" w:hAnsiTheme="minorHAnsi" w:cstheme="minorBidi"/>
              <w:b w:val="0"/>
              <w:caps w:val="0"/>
              <w:noProof/>
              <w:color w:val="auto"/>
              <w:kern w:val="0"/>
              <w:sz w:val="22"/>
              <w:szCs w:val="22"/>
              <w:lang w:eastAsia="en-AU"/>
            </w:rPr>
          </w:pPr>
          <w:hyperlink w:anchor="_Toc69309228" w:history="1">
            <w:r w:rsidR="00432C29" w:rsidRPr="00883F5E">
              <w:rPr>
                <w:rStyle w:val="Hyperlink"/>
                <w:noProof/>
              </w:rPr>
              <w:t>Executive summary</w:t>
            </w:r>
            <w:r w:rsidR="00432C29">
              <w:rPr>
                <w:noProof/>
                <w:webHidden/>
              </w:rPr>
              <w:tab/>
            </w:r>
            <w:r w:rsidR="00432C29">
              <w:rPr>
                <w:noProof/>
                <w:webHidden/>
              </w:rPr>
              <w:fldChar w:fldCharType="begin"/>
            </w:r>
            <w:r w:rsidR="00432C29">
              <w:rPr>
                <w:noProof/>
                <w:webHidden/>
              </w:rPr>
              <w:instrText xml:space="preserve"> PAGEREF _Toc69309228 \h </w:instrText>
            </w:r>
            <w:r w:rsidR="00432C29">
              <w:rPr>
                <w:noProof/>
                <w:webHidden/>
              </w:rPr>
            </w:r>
            <w:r w:rsidR="00432C29">
              <w:rPr>
                <w:noProof/>
                <w:webHidden/>
              </w:rPr>
              <w:fldChar w:fldCharType="separate"/>
            </w:r>
            <w:r w:rsidR="00593FFB">
              <w:rPr>
                <w:noProof/>
                <w:webHidden/>
              </w:rPr>
              <w:t>1</w:t>
            </w:r>
            <w:r w:rsidR="00432C29">
              <w:rPr>
                <w:noProof/>
                <w:webHidden/>
              </w:rPr>
              <w:fldChar w:fldCharType="end"/>
            </w:r>
          </w:hyperlink>
        </w:p>
        <w:p w14:paraId="6A9F9FA9" w14:textId="63E1A63B" w:rsidR="00432C29" w:rsidRDefault="006C38E9">
          <w:pPr>
            <w:pStyle w:val="TOC1"/>
            <w:tabs>
              <w:tab w:val="left" w:pos="660"/>
              <w:tab w:val="right" w:leader="dot" w:pos="9010"/>
            </w:tabs>
            <w:rPr>
              <w:rFonts w:asciiTheme="minorHAnsi" w:eastAsiaTheme="minorEastAsia" w:hAnsiTheme="minorHAnsi" w:cstheme="minorBidi"/>
              <w:b w:val="0"/>
              <w:caps w:val="0"/>
              <w:noProof/>
              <w:color w:val="auto"/>
              <w:kern w:val="0"/>
              <w:sz w:val="22"/>
              <w:szCs w:val="22"/>
              <w:lang w:eastAsia="en-AU"/>
            </w:rPr>
          </w:pPr>
          <w:hyperlink w:anchor="_Toc69309229" w:history="1">
            <w:r w:rsidR="00432C29" w:rsidRPr="00883F5E">
              <w:rPr>
                <w:rStyle w:val="Hyperlink"/>
                <w:noProof/>
              </w:rPr>
              <w:t>1</w:t>
            </w:r>
            <w:r w:rsidR="00432C29">
              <w:rPr>
                <w:rFonts w:asciiTheme="minorHAnsi" w:eastAsiaTheme="minorEastAsia" w:hAnsiTheme="minorHAnsi" w:cstheme="minorBidi"/>
                <w:b w:val="0"/>
                <w:caps w:val="0"/>
                <w:noProof/>
                <w:color w:val="auto"/>
                <w:kern w:val="0"/>
                <w:sz w:val="22"/>
                <w:szCs w:val="22"/>
                <w:lang w:eastAsia="en-AU"/>
              </w:rPr>
              <w:tab/>
            </w:r>
            <w:r w:rsidR="00432C29" w:rsidRPr="00883F5E">
              <w:rPr>
                <w:rStyle w:val="Hyperlink"/>
                <w:noProof/>
              </w:rPr>
              <w:t>Introduction</w:t>
            </w:r>
            <w:r w:rsidR="00432C29">
              <w:rPr>
                <w:noProof/>
                <w:webHidden/>
              </w:rPr>
              <w:tab/>
            </w:r>
            <w:r w:rsidR="00432C29">
              <w:rPr>
                <w:noProof/>
                <w:webHidden/>
              </w:rPr>
              <w:fldChar w:fldCharType="begin"/>
            </w:r>
            <w:r w:rsidR="00432C29">
              <w:rPr>
                <w:noProof/>
                <w:webHidden/>
              </w:rPr>
              <w:instrText xml:space="preserve"> PAGEREF _Toc69309229 \h </w:instrText>
            </w:r>
            <w:r w:rsidR="00432C29">
              <w:rPr>
                <w:noProof/>
                <w:webHidden/>
              </w:rPr>
            </w:r>
            <w:r w:rsidR="00432C29">
              <w:rPr>
                <w:noProof/>
                <w:webHidden/>
              </w:rPr>
              <w:fldChar w:fldCharType="separate"/>
            </w:r>
            <w:r w:rsidR="00593FFB">
              <w:rPr>
                <w:noProof/>
                <w:webHidden/>
              </w:rPr>
              <w:t>5</w:t>
            </w:r>
            <w:r w:rsidR="00432C29">
              <w:rPr>
                <w:noProof/>
                <w:webHidden/>
              </w:rPr>
              <w:fldChar w:fldCharType="end"/>
            </w:r>
          </w:hyperlink>
        </w:p>
        <w:p w14:paraId="08BD0AE9" w14:textId="519F36BF" w:rsidR="00432C29" w:rsidRDefault="006C38E9">
          <w:pPr>
            <w:pStyle w:val="TOC2"/>
            <w:rPr>
              <w:rFonts w:asciiTheme="minorHAnsi" w:eastAsiaTheme="minorEastAsia" w:hAnsiTheme="minorHAnsi" w:cstheme="minorBidi"/>
              <w:color w:val="auto"/>
              <w:kern w:val="0"/>
              <w:sz w:val="22"/>
              <w:szCs w:val="22"/>
              <w:lang w:eastAsia="en-AU"/>
            </w:rPr>
          </w:pPr>
          <w:hyperlink w:anchor="_Toc69309230" w:history="1">
            <w:r w:rsidR="00432C29" w:rsidRPr="00883F5E">
              <w:rPr>
                <w:rStyle w:val="Hyperlink"/>
              </w:rPr>
              <w:t>1.1</w:t>
            </w:r>
            <w:r w:rsidR="00432C29">
              <w:rPr>
                <w:rFonts w:asciiTheme="minorHAnsi" w:eastAsiaTheme="minorEastAsia" w:hAnsiTheme="minorHAnsi" w:cstheme="minorBidi"/>
                <w:color w:val="auto"/>
                <w:kern w:val="0"/>
                <w:sz w:val="22"/>
                <w:szCs w:val="22"/>
                <w:lang w:eastAsia="en-AU"/>
              </w:rPr>
              <w:tab/>
            </w:r>
            <w:r w:rsidR="00432C29" w:rsidRPr="00883F5E">
              <w:rPr>
                <w:rStyle w:val="Hyperlink"/>
              </w:rPr>
              <w:t>Flow regimes and riverine ecology</w:t>
            </w:r>
            <w:r w:rsidR="00432C29">
              <w:rPr>
                <w:webHidden/>
              </w:rPr>
              <w:tab/>
            </w:r>
            <w:r w:rsidR="00432C29">
              <w:rPr>
                <w:webHidden/>
              </w:rPr>
              <w:fldChar w:fldCharType="begin"/>
            </w:r>
            <w:r w:rsidR="00432C29">
              <w:rPr>
                <w:webHidden/>
              </w:rPr>
              <w:instrText xml:space="preserve"> PAGEREF _Toc69309230 \h </w:instrText>
            </w:r>
            <w:r w:rsidR="00432C29">
              <w:rPr>
                <w:webHidden/>
              </w:rPr>
            </w:r>
            <w:r w:rsidR="00432C29">
              <w:rPr>
                <w:webHidden/>
              </w:rPr>
              <w:fldChar w:fldCharType="separate"/>
            </w:r>
            <w:r w:rsidR="00593FFB">
              <w:rPr>
                <w:webHidden/>
              </w:rPr>
              <w:t>5</w:t>
            </w:r>
            <w:r w:rsidR="00432C29">
              <w:rPr>
                <w:webHidden/>
              </w:rPr>
              <w:fldChar w:fldCharType="end"/>
            </w:r>
          </w:hyperlink>
        </w:p>
        <w:p w14:paraId="5758516D" w14:textId="18CE7BEA" w:rsidR="00432C29" w:rsidRDefault="006C38E9">
          <w:pPr>
            <w:pStyle w:val="TOC2"/>
            <w:rPr>
              <w:rFonts w:asciiTheme="minorHAnsi" w:eastAsiaTheme="minorEastAsia" w:hAnsiTheme="minorHAnsi" w:cstheme="minorBidi"/>
              <w:color w:val="auto"/>
              <w:kern w:val="0"/>
              <w:sz w:val="22"/>
              <w:szCs w:val="22"/>
              <w:lang w:eastAsia="en-AU"/>
            </w:rPr>
          </w:pPr>
          <w:hyperlink w:anchor="_Toc69309231" w:history="1">
            <w:r w:rsidR="00432C29" w:rsidRPr="00883F5E">
              <w:rPr>
                <w:rStyle w:val="Hyperlink"/>
              </w:rPr>
              <w:t>1.2</w:t>
            </w:r>
            <w:r w:rsidR="00432C29">
              <w:rPr>
                <w:rFonts w:asciiTheme="minorHAnsi" w:eastAsiaTheme="minorEastAsia" w:hAnsiTheme="minorHAnsi" w:cstheme="minorBidi"/>
                <w:color w:val="auto"/>
                <w:kern w:val="0"/>
                <w:sz w:val="22"/>
                <w:szCs w:val="22"/>
                <w:lang w:eastAsia="en-AU"/>
              </w:rPr>
              <w:tab/>
            </w:r>
            <w:r w:rsidR="00432C29" w:rsidRPr="00883F5E">
              <w:rPr>
                <w:rStyle w:val="Hyperlink"/>
              </w:rPr>
              <w:t>CEWO Monitoring, Evaluation and Research Project</w:t>
            </w:r>
            <w:r w:rsidR="00432C29">
              <w:rPr>
                <w:webHidden/>
              </w:rPr>
              <w:tab/>
            </w:r>
            <w:r w:rsidR="00432C29">
              <w:rPr>
                <w:webHidden/>
              </w:rPr>
              <w:fldChar w:fldCharType="begin"/>
            </w:r>
            <w:r w:rsidR="00432C29">
              <w:rPr>
                <w:webHidden/>
              </w:rPr>
              <w:instrText xml:space="preserve"> PAGEREF _Toc69309231 \h </w:instrText>
            </w:r>
            <w:r w:rsidR="00432C29">
              <w:rPr>
                <w:webHidden/>
              </w:rPr>
            </w:r>
            <w:r w:rsidR="00432C29">
              <w:rPr>
                <w:webHidden/>
              </w:rPr>
              <w:fldChar w:fldCharType="separate"/>
            </w:r>
            <w:r w:rsidR="00593FFB">
              <w:rPr>
                <w:webHidden/>
              </w:rPr>
              <w:t>5</w:t>
            </w:r>
            <w:r w:rsidR="00432C29">
              <w:rPr>
                <w:webHidden/>
              </w:rPr>
              <w:fldChar w:fldCharType="end"/>
            </w:r>
          </w:hyperlink>
        </w:p>
        <w:p w14:paraId="7238B90E" w14:textId="7AA3B29B" w:rsidR="00432C29" w:rsidRDefault="006C38E9">
          <w:pPr>
            <w:pStyle w:val="TOC2"/>
            <w:rPr>
              <w:rFonts w:asciiTheme="minorHAnsi" w:eastAsiaTheme="minorEastAsia" w:hAnsiTheme="minorHAnsi" w:cstheme="minorBidi"/>
              <w:color w:val="auto"/>
              <w:kern w:val="0"/>
              <w:sz w:val="22"/>
              <w:szCs w:val="22"/>
              <w:lang w:eastAsia="en-AU"/>
            </w:rPr>
          </w:pPr>
          <w:hyperlink w:anchor="_Toc69309232" w:history="1">
            <w:r w:rsidR="00432C29" w:rsidRPr="00883F5E">
              <w:rPr>
                <w:rStyle w:val="Hyperlink"/>
              </w:rPr>
              <w:t>1.3</w:t>
            </w:r>
            <w:r w:rsidR="00432C29">
              <w:rPr>
                <w:rFonts w:asciiTheme="minorHAnsi" w:eastAsiaTheme="minorEastAsia" w:hAnsiTheme="minorHAnsi" w:cstheme="minorBidi"/>
                <w:color w:val="auto"/>
                <w:kern w:val="0"/>
                <w:sz w:val="22"/>
                <w:szCs w:val="22"/>
                <w:lang w:eastAsia="en-AU"/>
              </w:rPr>
              <w:tab/>
            </w:r>
            <w:r w:rsidR="00432C29" w:rsidRPr="00883F5E">
              <w:rPr>
                <w:rStyle w:val="Hyperlink"/>
              </w:rPr>
              <w:t>Expected outcomes in the Lower Murray</w:t>
            </w:r>
            <w:r w:rsidR="00432C29">
              <w:rPr>
                <w:webHidden/>
              </w:rPr>
              <w:tab/>
            </w:r>
            <w:r w:rsidR="00432C29">
              <w:rPr>
                <w:webHidden/>
              </w:rPr>
              <w:fldChar w:fldCharType="begin"/>
            </w:r>
            <w:r w:rsidR="00432C29">
              <w:rPr>
                <w:webHidden/>
              </w:rPr>
              <w:instrText xml:space="preserve"> PAGEREF _Toc69309232 \h </w:instrText>
            </w:r>
            <w:r w:rsidR="00432C29">
              <w:rPr>
                <w:webHidden/>
              </w:rPr>
            </w:r>
            <w:r w:rsidR="00432C29">
              <w:rPr>
                <w:webHidden/>
              </w:rPr>
              <w:fldChar w:fldCharType="separate"/>
            </w:r>
            <w:r w:rsidR="00593FFB">
              <w:rPr>
                <w:webHidden/>
              </w:rPr>
              <w:t>7</w:t>
            </w:r>
            <w:r w:rsidR="00432C29">
              <w:rPr>
                <w:webHidden/>
              </w:rPr>
              <w:fldChar w:fldCharType="end"/>
            </w:r>
          </w:hyperlink>
        </w:p>
        <w:p w14:paraId="052054F6" w14:textId="05D834A3" w:rsidR="00432C29" w:rsidRDefault="006C38E9">
          <w:pPr>
            <w:pStyle w:val="TOC2"/>
            <w:rPr>
              <w:rFonts w:asciiTheme="minorHAnsi" w:eastAsiaTheme="minorEastAsia" w:hAnsiTheme="minorHAnsi" w:cstheme="minorBidi"/>
              <w:color w:val="auto"/>
              <w:kern w:val="0"/>
              <w:sz w:val="22"/>
              <w:szCs w:val="22"/>
              <w:lang w:eastAsia="en-AU"/>
            </w:rPr>
          </w:pPr>
          <w:hyperlink w:anchor="_Toc69309233" w:history="1">
            <w:r w:rsidR="00432C29" w:rsidRPr="00883F5E">
              <w:rPr>
                <w:rStyle w:val="Hyperlink"/>
              </w:rPr>
              <w:t>1.4</w:t>
            </w:r>
            <w:r w:rsidR="00432C29">
              <w:rPr>
                <w:rFonts w:asciiTheme="minorHAnsi" w:eastAsiaTheme="minorEastAsia" w:hAnsiTheme="minorHAnsi" w:cstheme="minorBidi"/>
                <w:color w:val="auto"/>
                <w:kern w:val="0"/>
                <w:sz w:val="22"/>
                <w:szCs w:val="22"/>
                <w:lang w:eastAsia="en-AU"/>
              </w:rPr>
              <w:tab/>
            </w:r>
            <w:r w:rsidR="00432C29" w:rsidRPr="00883F5E">
              <w:rPr>
                <w:rStyle w:val="Hyperlink"/>
              </w:rPr>
              <w:t>Environmental water delivery</w:t>
            </w:r>
            <w:r w:rsidR="00432C29">
              <w:rPr>
                <w:webHidden/>
              </w:rPr>
              <w:tab/>
            </w:r>
            <w:r w:rsidR="00432C29">
              <w:rPr>
                <w:webHidden/>
              </w:rPr>
              <w:fldChar w:fldCharType="begin"/>
            </w:r>
            <w:r w:rsidR="00432C29">
              <w:rPr>
                <w:webHidden/>
              </w:rPr>
              <w:instrText xml:space="preserve"> PAGEREF _Toc69309233 \h </w:instrText>
            </w:r>
            <w:r w:rsidR="00432C29">
              <w:rPr>
                <w:webHidden/>
              </w:rPr>
            </w:r>
            <w:r w:rsidR="00432C29">
              <w:rPr>
                <w:webHidden/>
              </w:rPr>
              <w:fldChar w:fldCharType="separate"/>
            </w:r>
            <w:r w:rsidR="00593FFB">
              <w:rPr>
                <w:webHidden/>
              </w:rPr>
              <w:t>9</w:t>
            </w:r>
            <w:r w:rsidR="00432C29">
              <w:rPr>
                <w:webHidden/>
              </w:rPr>
              <w:fldChar w:fldCharType="end"/>
            </w:r>
          </w:hyperlink>
        </w:p>
        <w:p w14:paraId="4468130B" w14:textId="32D5E0C3" w:rsidR="00432C29" w:rsidRDefault="006C38E9">
          <w:pPr>
            <w:pStyle w:val="TOC2"/>
            <w:rPr>
              <w:rFonts w:asciiTheme="minorHAnsi" w:eastAsiaTheme="minorEastAsia" w:hAnsiTheme="minorHAnsi" w:cstheme="minorBidi"/>
              <w:color w:val="auto"/>
              <w:kern w:val="0"/>
              <w:sz w:val="22"/>
              <w:szCs w:val="22"/>
              <w:lang w:eastAsia="en-AU"/>
            </w:rPr>
          </w:pPr>
          <w:hyperlink w:anchor="_Toc69309234" w:history="1">
            <w:r w:rsidR="00432C29" w:rsidRPr="00883F5E">
              <w:rPr>
                <w:rStyle w:val="Hyperlink"/>
              </w:rPr>
              <w:t>1.5</w:t>
            </w:r>
            <w:r w:rsidR="00432C29">
              <w:rPr>
                <w:rFonts w:asciiTheme="minorHAnsi" w:eastAsiaTheme="minorEastAsia" w:hAnsiTheme="minorHAnsi" w:cstheme="minorBidi"/>
                <w:color w:val="auto"/>
                <w:kern w:val="0"/>
                <w:sz w:val="22"/>
                <w:szCs w:val="22"/>
                <w:lang w:eastAsia="en-AU"/>
              </w:rPr>
              <w:tab/>
            </w:r>
            <w:r w:rsidR="00432C29" w:rsidRPr="00883F5E">
              <w:rPr>
                <w:rStyle w:val="Hyperlink"/>
              </w:rPr>
              <w:t>Purpose of the CEWO MER report for 2019-20</w:t>
            </w:r>
            <w:r w:rsidR="00432C29">
              <w:rPr>
                <w:webHidden/>
              </w:rPr>
              <w:tab/>
            </w:r>
            <w:r w:rsidR="00432C29">
              <w:rPr>
                <w:webHidden/>
              </w:rPr>
              <w:fldChar w:fldCharType="begin"/>
            </w:r>
            <w:r w:rsidR="00432C29">
              <w:rPr>
                <w:webHidden/>
              </w:rPr>
              <w:instrText xml:space="preserve"> PAGEREF _Toc69309234 \h </w:instrText>
            </w:r>
            <w:r w:rsidR="00432C29">
              <w:rPr>
                <w:webHidden/>
              </w:rPr>
            </w:r>
            <w:r w:rsidR="00432C29">
              <w:rPr>
                <w:webHidden/>
              </w:rPr>
              <w:fldChar w:fldCharType="separate"/>
            </w:r>
            <w:r w:rsidR="00593FFB">
              <w:rPr>
                <w:webHidden/>
              </w:rPr>
              <w:t>13</w:t>
            </w:r>
            <w:r w:rsidR="00432C29">
              <w:rPr>
                <w:webHidden/>
              </w:rPr>
              <w:fldChar w:fldCharType="end"/>
            </w:r>
          </w:hyperlink>
        </w:p>
        <w:p w14:paraId="67AF773E" w14:textId="25BC580B" w:rsidR="00432C29" w:rsidRDefault="006C38E9">
          <w:pPr>
            <w:pStyle w:val="TOC1"/>
            <w:tabs>
              <w:tab w:val="left" w:pos="660"/>
              <w:tab w:val="right" w:leader="dot" w:pos="9010"/>
            </w:tabs>
            <w:rPr>
              <w:rFonts w:asciiTheme="minorHAnsi" w:eastAsiaTheme="minorEastAsia" w:hAnsiTheme="minorHAnsi" w:cstheme="minorBidi"/>
              <w:b w:val="0"/>
              <w:caps w:val="0"/>
              <w:noProof/>
              <w:color w:val="auto"/>
              <w:kern w:val="0"/>
              <w:sz w:val="22"/>
              <w:szCs w:val="22"/>
              <w:lang w:eastAsia="en-AU"/>
            </w:rPr>
          </w:pPr>
          <w:hyperlink w:anchor="_Toc69309235" w:history="1">
            <w:r w:rsidR="00432C29" w:rsidRPr="00883F5E">
              <w:rPr>
                <w:rStyle w:val="Hyperlink"/>
                <w:noProof/>
              </w:rPr>
              <w:t>2</w:t>
            </w:r>
            <w:r w:rsidR="00432C29">
              <w:rPr>
                <w:rFonts w:asciiTheme="minorHAnsi" w:eastAsiaTheme="minorEastAsia" w:hAnsiTheme="minorHAnsi" w:cstheme="minorBidi"/>
                <w:b w:val="0"/>
                <w:caps w:val="0"/>
                <w:noProof/>
                <w:color w:val="auto"/>
                <w:kern w:val="0"/>
                <w:sz w:val="22"/>
                <w:szCs w:val="22"/>
                <w:lang w:eastAsia="en-AU"/>
              </w:rPr>
              <w:tab/>
            </w:r>
            <w:r w:rsidR="00432C29" w:rsidRPr="00883F5E">
              <w:rPr>
                <w:rStyle w:val="Hyperlink"/>
                <w:noProof/>
              </w:rPr>
              <w:t>Indicators</w:t>
            </w:r>
            <w:r w:rsidR="00432C29">
              <w:rPr>
                <w:noProof/>
                <w:webHidden/>
              </w:rPr>
              <w:tab/>
            </w:r>
            <w:r w:rsidR="00432C29">
              <w:rPr>
                <w:noProof/>
                <w:webHidden/>
              </w:rPr>
              <w:fldChar w:fldCharType="begin"/>
            </w:r>
            <w:r w:rsidR="00432C29">
              <w:rPr>
                <w:noProof/>
                <w:webHidden/>
              </w:rPr>
              <w:instrText xml:space="preserve"> PAGEREF _Toc69309235 \h </w:instrText>
            </w:r>
            <w:r w:rsidR="00432C29">
              <w:rPr>
                <w:noProof/>
                <w:webHidden/>
              </w:rPr>
            </w:r>
            <w:r w:rsidR="00432C29">
              <w:rPr>
                <w:noProof/>
                <w:webHidden/>
              </w:rPr>
              <w:fldChar w:fldCharType="separate"/>
            </w:r>
            <w:r w:rsidR="00593FFB">
              <w:rPr>
                <w:noProof/>
                <w:webHidden/>
              </w:rPr>
              <w:t>14</w:t>
            </w:r>
            <w:r w:rsidR="00432C29">
              <w:rPr>
                <w:noProof/>
                <w:webHidden/>
              </w:rPr>
              <w:fldChar w:fldCharType="end"/>
            </w:r>
          </w:hyperlink>
        </w:p>
        <w:p w14:paraId="517E7517" w14:textId="07F351A9" w:rsidR="00432C29" w:rsidRDefault="006C38E9">
          <w:pPr>
            <w:pStyle w:val="TOC2"/>
            <w:rPr>
              <w:rFonts w:asciiTheme="minorHAnsi" w:eastAsiaTheme="minorEastAsia" w:hAnsiTheme="minorHAnsi" w:cstheme="minorBidi"/>
              <w:color w:val="auto"/>
              <w:kern w:val="0"/>
              <w:sz w:val="22"/>
              <w:szCs w:val="22"/>
              <w:lang w:eastAsia="en-AU"/>
            </w:rPr>
          </w:pPr>
          <w:hyperlink w:anchor="_Toc69309236" w:history="1">
            <w:r w:rsidR="00432C29" w:rsidRPr="00883F5E">
              <w:rPr>
                <w:rStyle w:val="Hyperlink"/>
              </w:rPr>
              <w:t>2.1</w:t>
            </w:r>
            <w:r w:rsidR="00432C29">
              <w:rPr>
                <w:rFonts w:asciiTheme="minorHAnsi" w:eastAsiaTheme="minorEastAsia" w:hAnsiTheme="minorHAnsi" w:cstheme="minorBidi"/>
                <w:color w:val="auto"/>
                <w:kern w:val="0"/>
                <w:sz w:val="22"/>
                <w:szCs w:val="22"/>
                <w:lang w:eastAsia="en-AU"/>
              </w:rPr>
              <w:tab/>
            </w:r>
            <w:r w:rsidR="00432C29" w:rsidRPr="00883F5E">
              <w:rPr>
                <w:rStyle w:val="Hyperlink"/>
              </w:rPr>
              <w:t>Hydraulic Regime</w:t>
            </w:r>
            <w:r w:rsidR="00432C29">
              <w:rPr>
                <w:webHidden/>
              </w:rPr>
              <w:tab/>
            </w:r>
            <w:r w:rsidR="00432C29">
              <w:rPr>
                <w:webHidden/>
              </w:rPr>
              <w:fldChar w:fldCharType="begin"/>
            </w:r>
            <w:r w:rsidR="00432C29">
              <w:rPr>
                <w:webHidden/>
              </w:rPr>
              <w:instrText xml:space="preserve"> PAGEREF _Toc69309236 \h </w:instrText>
            </w:r>
            <w:r w:rsidR="00432C29">
              <w:rPr>
                <w:webHidden/>
              </w:rPr>
            </w:r>
            <w:r w:rsidR="00432C29">
              <w:rPr>
                <w:webHidden/>
              </w:rPr>
              <w:fldChar w:fldCharType="separate"/>
            </w:r>
            <w:r w:rsidR="00593FFB">
              <w:rPr>
                <w:webHidden/>
              </w:rPr>
              <w:t>14</w:t>
            </w:r>
            <w:r w:rsidR="00432C29">
              <w:rPr>
                <w:webHidden/>
              </w:rPr>
              <w:fldChar w:fldCharType="end"/>
            </w:r>
          </w:hyperlink>
        </w:p>
        <w:p w14:paraId="7B5EDEF3" w14:textId="70840BBD" w:rsidR="00432C29" w:rsidRDefault="006C38E9">
          <w:pPr>
            <w:pStyle w:val="TOC2"/>
            <w:rPr>
              <w:rFonts w:asciiTheme="minorHAnsi" w:eastAsiaTheme="minorEastAsia" w:hAnsiTheme="minorHAnsi" w:cstheme="minorBidi"/>
              <w:color w:val="auto"/>
              <w:kern w:val="0"/>
              <w:sz w:val="22"/>
              <w:szCs w:val="22"/>
              <w:lang w:eastAsia="en-AU"/>
            </w:rPr>
          </w:pPr>
          <w:hyperlink w:anchor="_Toc69309237" w:history="1">
            <w:r w:rsidR="00432C29" w:rsidRPr="00883F5E">
              <w:rPr>
                <w:rStyle w:val="Hyperlink"/>
              </w:rPr>
              <w:t>2.2</w:t>
            </w:r>
            <w:r w:rsidR="00432C29">
              <w:rPr>
                <w:rFonts w:asciiTheme="minorHAnsi" w:eastAsiaTheme="minorEastAsia" w:hAnsiTheme="minorHAnsi" w:cstheme="minorBidi"/>
                <w:color w:val="auto"/>
                <w:kern w:val="0"/>
                <w:sz w:val="22"/>
                <w:szCs w:val="22"/>
                <w:lang w:eastAsia="en-AU"/>
              </w:rPr>
              <w:tab/>
            </w:r>
            <w:r w:rsidR="00432C29" w:rsidRPr="00883F5E">
              <w:rPr>
                <w:rStyle w:val="Hyperlink"/>
              </w:rPr>
              <w:t>Stream Metabolism and Water Quality</w:t>
            </w:r>
            <w:r w:rsidR="00432C29">
              <w:rPr>
                <w:webHidden/>
              </w:rPr>
              <w:tab/>
            </w:r>
            <w:r w:rsidR="00432C29">
              <w:rPr>
                <w:webHidden/>
              </w:rPr>
              <w:fldChar w:fldCharType="begin"/>
            </w:r>
            <w:r w:rsidR="00432C29">
              <w:rPr>
                <w:webHidden/>
              </w:rPr>
              <w:instrText xml:space="preserve"> PAGEREF _Toc69309237 \h </w:instrText>
            </w:r>
            <w:r w:rsidR="00432C29">
              <w:rPr>
                <w:webHidden/>
              </w:rPr>
            </w:r>
            <w:r w:rsidR="00432C29">
              <w:rPr>
                <w:webHidden/>
              </w:rPr>
              <w:fldChar w:fldCharType="separate"/>
            </w:r>
            <w:r w:rsidR="00593FFB">
              <w:rPr>
                <w:webHidden/>
              </w:rPr>
              <w:t>29</w:t>
            </w:r>
            <w:r w:rsidR="00432C29">
              <w:rPr>
                <w:webHidden/>
              </w:rPr>
              <w:fldChar w:fldCharType="end"/>
            </w:r>
          </w:hyperlink>
        </w:p>
        <w:p w14:paraId="019C0A31" w14:textId="10B55A02" w:rsidR="00432C29" w:rsidRDefault="006C38E9">
          <w:pPr>
            <w:pStyle w:val="TOC2"/>
            <w:rPr>
              <w:rFonts w:asciiTheme="minorHAnsi" w:eastAsiaTheme="minorEastAsia" w:hAnsiTheme="minorHAnsi" w:cstheme="minorBidi"/>
              <w:color w:val="auto"/>
              <w:kern w:val="0"/>
              <w:sz w:val="22"/>
              <w:szCs w:val="22"/>
              <w:lang w:eastAsia="en-AU"/>
            </w:rPr>
          </w:pPr>
          <w:hyperlink w:anchor="_Toc69309238" w:history="1">
            <w:r w:rsidR="00432C29" w:rsidRPr="00883F5E">
              <w:rPr>
                <w:rStyle w:val="Hyperlink"/>
              </w:rPr>
              <w:t>2.3</w:t>
            </w:r>
            <w:r w:rsidR="00432C29">
              <w:rPr>
                <w:rFonts w:asciiTheme="minorHAnsi" w:eastAsiaTheme="minorEastAsia" w:hAnsiTheme="minorHAnsi" w:cstheme="minorBidi"/>
                <w:color w:val="auto"/>
                <w:kern w:val="0"/>
                <w:sz w:val="22"/>
                <w:szCs w:val="22"/>
                <w:lang w:eastAsia="en-AU"/>
              </w:rPr>
              <w:tab/>
            </w:r>
            <w:r w:rsidR="00432C29" w:rsidRPr="00883F5E">
              <w:rPr>
                <w:rStyle w:val="Hyperlink"/>
              </w:rPr>
              <w:t>Matter Transport and Coorong Habitat</w:t>
            </w:r>
            <w:r w:rsidR="00432C29">
              <w:rPr>
                <w:webHidden/>
              </w:rPr>
              <w:tab/>
            </w:r>
            <w:r w:rsidR="00432C29">
              <w:rPr>
                <w:webHidden/>
              </w:rPr>
              <w:fldChar w:fldCharType="begin"/>
            </w:r>
            <w:r w:rsidR="00432C29">
              <w:rPr>
                <w:webHidden/>
              </w:rPr>
              <w:instrText xml:space="preserve"> PAGEREF _Toc69309238 \h </w:instrText>
            </w:r>
            <w:r w:rsidR="00432C29">
              <w:rPr>
                <w:webHidden/>
              </w:rPr>
            </w:r>
            <w:r w:rsidR="00432C29">
              <w:rPr>
                <w:webHidden/>
              </w:rPr>
              <w:fldChar w:fldCharType="separate"/>
            </w:r>
            <w:r w:rsidR="00593FFB">
              <w:rPr>
                <w:webHidden/>
              </w:rPr>
              <w:t>49</w:t>
            </w:r>
            <w:r w:rsidR="00432C29">
              <w:rPr>
                <w:webHidden/>
              </w:rPr>
              <w:fldChar w:fldCharType="end"/>
            </w:r>
          </w:hyperlink>
        </w:p>
        <w:p w14:paraId="5A3F9B4B" w14:textId="617CCB6B" w:rsidR="00432C29" w:rsidRDefault="00432C29">
          <w:pPr>
            <w:pStyle w:val="TOC2"/>
            <w:rPr>
              <w:rFonts w:asciiTheme="minorHAnsi" w:eastAsiaTheme="minorEastAsia" w:hAnsiTheme="minorHAnsi" w:cstheme="minorBidi"/>
              <w:color w:val="auto"/>
              <w:kern w:val="0"/>
              <w:sz w:val="22"/>
              <w:szCs w:val="22"/>
              <w:lang w:eastAsia="en-AU"/>
            </w:rPr>
          </w:pPr>
          <w:r w:rsidRPr="00432C29">
            <w:rPr>
              <w:rStyle w:val="Hyperlink"/>
              <w:u w:val="none"/>
            </w:rPr>
            <w:t xml:space="preserve">   </w:t>
          </w:r>
          <w:hyperlink w:anchor="_Toc69309239" w:history="1">
            <w:r w:rsidRPr="00883F5E">
              <w:rPr>
                <w:rStyle w:val="Hyperlink"/>
              </w:rPr>
              <w:t>2.3.1   Matter Transport</w:t>
            </w:r>
            <w:r>
              <w:rPr>
                <w:webHidden/>
              </w:rPr>
              <w:tab/>
            </w:r>
            <w:r>
              <w:rPr>
                <w:webHidden/>
              </w:rPr>
              <w:fldChar w:fldCharType="begin"/>
            </w:r>
            <w:r>
              <w:rPr>
                <w:webHidden/>
              </w:rPr>
              <w:instrText xml:space="preserve"> PAGEREF _Toc69309239 \h </w:instrText>
            </w:r>
            <w:r>
              <w:rPr>
                <w:webHidden/>
              </w:rPr>
            </w:r>
            <w:r>
              <w:rPr>
                <w:webHidden/>
              </w:rPr>
              <w:fldChar w:fldCharType="separate"/>
            </w:r>
            <w:r w:rsidR="00593FFB">
              <w:rPr>
                <w:webHidden/>
              </w:rPr>
              <w:t>49</w:t>
            </w:r>
            <w:r>
              <w:rPr>
                <w:webHidden/>
              </w:rPr>
              <w:fldChar w:fldCharType="end"/>
            </w:r>
          </w:hyperlink>
        </w:p>
        <w:p w14:paraId="55356D81" w14:textId="6B243C53" w:rsidR="00432C29" w:rsidRDefault="00432C29">
          <w:pPr>
            <w:pStyle w:val="TOC2"/>
            <w:rPr>
              <w:rFonts w:asciiTheme="minorHAnsi" w:eastAsiaTheme="minorEastAsia" w:hAnsiTheme="minorHAnsi" w:cstheme="minorBidi"/>
              <w:color w:val="auto"/>
              <w:kern w:val="0"/>
              <w:sz w:val="22"/>
              <w:szCs w:val="22"/>
              <w:lang w:eastAsia="en-AU"/>
            </w:rPr>
          </w:pPr>
          <w:r w:rsidRPr="00432C29">
            <w:rPr>
              <w:rStyle w:val="Hyperlink"/>
              <w:u w:val="none"/>
            </w:rPr>
            <w:t xml:space="preserve">   </w:t>
          </w:r>
          <w:hyperlink w:anchor="_Toc69309240" w:history="1">
            <w:r w:rsidRPr="00883F5E">
              <w:rPr>
                <w:rStyle w:val="Hyperlink"/>
              </w:rPr>
              <w:t>2.3.2   Coorong Habitat</w:t>
            </w:r>
            <w:r>
              <w:rPr>
                <w:webHidden/>
              </w:rPr>
              <w:tab/>
            </w:r>
            <w:r>
              <w:rPr>
                <w:webHidden/>
              </w:rPr>
              <w:fldChar w:fldCharType="begin"/>
            </w:r>
            <w:r>
              <w:rPr>
                <w:webHidden/>
              </w:rPr>
              <w:instrText xml:space="preserve"> PAGEREF _Toc69309240 \h </w:instrText>
            </w:r>
            <w:r>
              <w:rPr>
                <w:webHidden/>
              </w:rPr>
            </w:r>
            <w:r>
              <w:rPr>
                <w:webHidden/>
              </w:rPr>
              <w:fldChar w:fldCharType="separate"/>
            </w:r>
            <w:r w:rsidR="00593FFB">
              <w:rPr>
                <w:webHidden/>
              </w:rPr>
              <w:t>66</w:t>
            </w:r>
            <w:r>
              <w:rPr>
                <w:webHidden/>
              </w:rPr>
              <w:fldChar w:fldCharType="end"/>
            </w:r>
          </w:hyperlink>
        </w:p>
        <w:p w14:paraId="7DB6CA52" w14:textId="3F2111DF" w:rsidR="00432C29" w:rsidRDefault="006C38E9">
          <w:pPr>
            <w:pStyle w:val="TOC2"/>
            <w:rPr>
              <w:rFonts w:asciiTheme="minorHAnsi" w:eastAsiaTheme="minorEastAsia" w:hAnsiTheme="minorHAnsi" w:cstheme="minorBidi"/>
              <w:color w:val="auto"/>
              <w:kern w:val="0"/>
              <w:sz w:val="22"/>
              <w:szCs w:val="22"/>
              <w:lang w:eastAsia="en-AU"/>
            </w:rPr>
          </w:pPr>
          <w:hyperlink w:anchor="_Toc69309241" w:history="1">
            <w:r w:rsidR="00432C29" w:rsidRPr="00883F5E">
              <w:rPr>
                <w:rStyle w:val="Hyperlink"/>
              </w:rPr>
              <w:t>2.4</w:t>
            </w:r>
            <w:r w:rsidR="00432C29">
              <w:rPr>
                <w:rFonts w:asciiTheme="minorHAnsi" w:eastAsiaTheme="minorEastAsia" w:hAnsiTheme="minorHAnsi" w:cstheme="minorBidi"/>
                <w:color w:val="auto"/>
                <w:kern w:val="0"/>
                <w:sz w:val="22"/>
                <w:szCs w:val="22"/>
                <w:lang w:eastAsia="en-AU"/>
              </w:rPr>
              <w:tab/>
            </w:r>
            <w:r w:rsidR="00432C29" w:rsidRPr="00883F5E">
              <w:rPr>
                <w:rStyle w:val="Hyperlink"/>
              </w:rPr>
              <w:t>Littoral Vegetation Diversity and Productivity</w:t>
            </w:r>
            <w:r w:rsidR="00432C29">
              <w:rPr>
                <w:webHidden/>
              </w:rPr>
              <w:tab/>
            </w:r>
            <w:r w:rsidR="00432C29">
              <w:rPr>
                <w:webHidden/>
              </w:rPr>
              <w:fldChar w:fldCharType="begin"/>
            </w:r>
            <w:r w:rsidR="00432C29">
              <w:rPr>
                <w:webHidden/>
              </w:rPr>
              <w:instrText xml:space="preserve"> PAGEREF _Toc69309241 \h </w:instrText>
            </w:r>
            <w:r w:rsidR="00432C29">
              <w:rPr>
                <w:webHidden/>
              </w:rPr>
            </w:r>
            <w:r w:rsidR="00432C29">
              <w:rPr>
                <w:webHidden/>
              </w:rPr>
              <w:fldChar w:fldCharType="separate"/>
            </w:r>
            <w:r w:rsidR="00593FFB">
              <w:rPr>
                <w:webHidden/>
              </w:rPr>
              <w:t>77</w:t>
            </w:r>
            <w:r w:rsidR="00432C29">
              <w:rPr>
                <w:webHidden/>
              </w:rPr>
              <w:fldChar w:fldCharType="end"/>
            </w:r>
          </w:hyperlink>
        </w:p>
        <w:p w14:paraId="687CB189" w14:textId="33B8BB73" w:rsidR="00432C29" w:rsidRDefault="006C38E9">
          <w:pPr>
            <w:pStyle w:val="TOC2"/>
            <w:rPr>
              <w:rFonts w:asciiTheme="minorHAnsi" w:eastAsiaTheme="minorEastAsia" w:hAnsiTheme="minorHAnsi" w:cstheme="minorBidi"/>
              <w:color w:val="auto"/>
              <w:kern w:val="0"/>
              <w:sz w:val="22"/>
              <w:szCs w:val="22"/>
              <w:lang w:eastAsia="en-AU"/>
            </w:rPr>
          </w:pPr>
          <w:hyperlink w:anchor="_Toc69309242" w:history="1">
            <w:r w:rsidR="00432C29" w:rsidRPr="00883F5E">
              <w:rPr>
                <w:rStyle w:val="Hyperlink"/>
                <w:i/>
              </w:rPr>
              <w:t>2.5</w:t>
            </w:r>
            <w:r w:rsidR="00432C29">
              <w:rPr>
                <w:rFonts w:asciiTheme="minorHAnsi" w:eastAsiaTheme="minorEastAsia" w:hAnsiTheme="minorHAnsi" w:cstheme="minorBidi"/>
                <w:color w:val="auto"/>
                <w:kern w:val="0"/>
                <w:sz w:val="22"/>
                <w:szCs w:val="22"/>
                <w:lang w:eastAsia="en-AU"/>
              </w:rPr>
              <w:tab/>
            </w:r>
            <w:r w:rsidR="00432C29" w:rsidRPr="00883F5E">
              <w:rPr>
                <w:rStyle w:val="Hyperlink"/>
              </w:rPr>
              <w:t>Microinvertebrate Assemblage</w:t>
            </w:r>
            <w:r w:rsidR="00432C29">
              <w:rPr>
                <w:webHidden/>
              </w:rPr>
              <w:tab/>
            </w:r>
            <w:r w:rsidR="00432C29">
              <w:rPr>
                <w:webHidden/>
              </w:rPr>
              <w:fldChar w:fldCharType="begin"/>
            </w:r>
            <w:r w:rsidR="00432C29">
              <w:rPr>
                <w:webHidden/>
              </w:rPr>
              <w:instrText xml:space="preserve"> PAGEREF _Toc69309242 \h </w:instrText>
            </w:r>
            <w:r w:rsidR="00432C29">
              <w:rPr>
                <w:webHidden/>
              </w:rPr>
            </w:r>
            <w:r w:rsidR="00432C29">
              <w:rPr>
                <w:webHidden/>
              </w:rPr>
              <w:fldChar w:fldCharType="separate"/>
            </w:r>
            <w:r w:rsidR="00593FFB">
              <w:rPr>
                <w:webHidden/>
              </w:rPr>
              <w:t>91</w:t>
            </w:r>
            <w:r w:rsidR="00432C29">
              <w:rPr>
                <w:webHidden/>
              </w:rPr>
              <w:fldChar w:fldCharType="end"/>
            </w:r>
          </w:hyperlink>
        </w:p>
        <w:p w14:paraId="12B3B774" w14:textId="7F5027E7" w:rsidR="00432C29" w:rsidRDefault="006C38E9">
          <w:pPr>
            <w:pStyle w:val="TOC2"/>
            <w:rPr>
              <w:rFonts w:asciiTheme="minorHAnsi" w:eastAsiaTheme="minorEastAsia" w:hAnsiTheme="minorHAnsi" w:cstheme="minorBidi"/>
              <w:color w:val="auto"/>
              <w:kern w:val="0"/>
              <w:sz w:val="22"/>
              <w:szCs w:val="22"/>
              <w:lang w:eastAsia="en-AU"/>
            </w:rPr>
          </w:pPr>
          <w:hyperlink w:anchor="_Toc69309243" w:history="1">
            <w:r w:rsidR="00432C29" w:rsidRPr="00883F5E">
              <w:rPr>
                <w:rStyle w:val="Hyperlink"/>
              </w:rPr>
              <w:t>2.6</w:t>
            </w:r>
            <w:r w:rsidR="00432C29">
              <w:rPr>
                <w:rFonts w:asciiTheme="minorHAnsi" w:eastAsiaTheme="minorEastAsia" w:hAnsiTheme="minorHAnsi" w:cstheme="minorBidi"/>
                <w:color w:val="auto"/>
                <w:kern w:val="0"/>
                <w:sz w:val="22"/>
                <w:szCs w:val="22"/>
                <w:lang w:eastAsia="en-AU"/>
              </w:rPr>
              <w:tab/>
            </w:r>
            <w:r w:rsidR="00432C29" w:rsidRPr="00883F5E">
              <w:rPr>
                <w:rStyle w:val="Hyperlink"/>
              </w:rPr>
              <w:t>Flow-cued Spawning Fish Recruitment</w:t>
            </w:r>
            <w:r w:rsidR="00432C29">
              <w:rPr>
                <w:webHidden/>
              </w:rPr>
              <w:tab/>
            </w:r>
            <w:r w:rsidR="00432C29">
              <w:rPr>
                <w:webHidden/>
              </w:rPr>
              <w:fldChar w:fldCharType="begin"/>
            </w:r>
            <w:r w:rsidR="00432C29">
              <w:rPr>
                <w:webHidden/>
              </w:rPr>
              <w:instrText xml:space="preserve"> PAGEREF _Toc69309243 \h </w:instrText>
            </w:r>
            <w:r w:rsidR="00432C29">
              <w:rPr>
                <w:webHidden/>
              </w:rPr>
            </w:r>
            <w:r w:rsidR="00432C29">
              <w:rPr>
                <w:webHidden/>
              </w:rPr>
              <w:fldChar w:fldCharType="separate"/>
            </w:r>
            <w:r w:rsidR="00593FFB">
              <w:rPr>
                <w:webHidden/>
              </w:rPr>
              <w:t>108</w:t>
            </w:r>
            <w:r w:rsidR="00432C29">
              <w:rPr>
                <w:webHidden/>
              </w:rPr>
              <w:fldChar w:fldCharType="end"/>
            </w:r>
          </w:hyperlink>
        </w:p>
        <w:p w14:paraId="13919916" w14:textId="6CBD54F7" w:rsidR="00432C29" w:rsidRDefault="006C38E9">
          <w:pPr>
            <w:pStyle w:val="TOC2"/>
            <w:rPr>
              <w:rFonts w:asciiTheme="minorHAnsi" w:eastAsiaTheme="minorEastAsia" w:hAnsiTheme="minorHAnsi" w:cstheme="minorBidi"/>
              <w:color w:val="auto"/>
              <w:kern w:val="0"/>
              <w:sz w:val="22"/>
              <w:szCs w:val="22"/>
              <w:lang w:eastAsia="en-AU"/>
            </w:rPr>
          </w:pPr>
          <w:hyperlink w:anchor="_Toc69309244" w:history="1">
            <w:r w:rsidR="00432C29" w:rsidRPr="00883F5E">
              <w:rPr>
                <w:rStyle w:val="Hyperlink"/>
              </w:rPr>
              <w:t>2.7</w:t>
            </w:r>
            <w:r w:rsidR="00432C29">
              <w:rPr>
                <w:rFonts w:asciiTheme="minorHAnsi" w:eastAsiaTheme="minorEastAsia" w:hAnsiTheme="minorHAnsi" w:cstheme="minorBidi"/>
                <w:color w:val="auto"/>
                <w:kern w:val="0"/>
                <w:sz w:val="22"/>
                <w:szCs w:val="22"/>
                <w:lang w:eastAsia="en-AU"/>
              </w:rPr>
              <w:tab/>
            </w:r>
            <w:r w:rsidR="00432C29" w:rsidRPr="00883F5E">
              <w:rPr>
                <w:rStyle w:val="Hyperlink"/>
              </w:rPr>
              <w:t>Murray Cod Recruitment</w:t>
            </w:r>
            <w:r w:rsidR="00432C29">
              <w:rPr>
                <w:webHidden/>
              </w:rPr>
              <w:tab/>
            </w:r>
            <w:r w:rsidR="00432C29">
              <w:rPr>
                <w:webHidden/>
              </w:rPr>
              <w:fldChar w:fldCharType="begin"/>
            </w:r>
            <w:r w:rsidR="00432C29">
              <w:rPr>
                <w:webHidden/>
              </w:rPr>
              <w:instrText xml:space="preserve"> PAGEREF _Toc69309244 \h </w:instrText>
            </w:r>
            <w:r w:rsidR="00432C29">
              <w:rPr>
                <w:webHidden/>
              </w:rPr>
            </w:r>
            <w:r w:rsidR="00432C29">
              <w:rPr>
                <w:webHidden/>
              </w:rPr>
              <w:fldChar w:fldCharType="separate"/>
            </w:r>
            <w:r w:rsidR="00593FFB">
              <w:rPr>
                <w:webHidden/>
              </w:rPr>
              <w:t>114</w:t>
            </w:r>
            <w:r w:rsidR="00432C29">
              <w:rPr>
                <w:webHidden/>
              </w:rPr>
              <w:fldChar w:fldCharType="end"/>
            </w:r>
          </w:hyperlink>
        </w:p>
        <w:p w14:paraId="53AAA075" w14:textId="3A49B8BB" w:rsidR="00432C29" w:rsidRDefault="006C38E9">
          <w:pPr>
            <w:pStyle w:val="TOC2"/>
            <w:rPr>
              <w:rFonts w:asciiTheme="minorHAnsi" w:eastAsiaTheme="minorEastAsia" w:hAnsiTheme="minorHAnsi" w:cstheme="minorBidi"/>
              <w:color w:val="auto"/>
              <w:kern w:val="0"/>
              <w:sz w:val="22"/>
              <w:szCs w:val="22"/>
              <w:lang w:eastAsia="en-AU"/>
            </w:rPr>
          </w:pPr>
          <w:hyperlink w:anchor="_Toc69309245" w:history="1">
            <w:r w:rsidR="00432C29" w:rsidRPr="00883F5E">
              <w:rPr>
                <w:rStyle w:val="Hyperlink"/>
              </w:rPr>
              <w:t>2.8</w:t>
            </w:r>
            <w:r w:rsidR="00432C29">
              <w:rPr>
                <w:rFonts w:asciiTheme="minorHAnsi" w:eastAsiaTheme="minorEastAsia" w:hAnsiTheme="minorHAnsi" w:cstheme="minorBidi"/>
                <w:color w:val="auto"/>
                <w:kern w:val="0"/>
                <w:sz w:val="22"/>
                <w:szCs w:val="22"/>
                <w:lang w:eastAsia="en-AU"/>
              </w:rPr>
              <w:tab/>
            </w:r>
            <w:r w:rsidR="00432C29" w:rsidRPr="00883F5E">
              <w:rPr>
                <w:rStyle w:val="Hyperlink"/>
              </w:rPr>
              <w:t>Fish Assemblage</w:t>
            </w:r>
            <w:r w:rsidR="00432C29">
              <w:rPr>
                <w:webHidden/>
              </w:rPr>
              <w:tab/>
            </w:r>
            <w:r w:rsidR="00432C29">
              <w:rPr>
                <w:webHidden/>
              </w:rPr>
              <w:fldChar w:fldCharType="begin"/>
            </w:r>
            <w:r w:rsidR="00432C29">
              <w:rPr>
                <w:webHidden/>
              </w:rPr>
              <w:instrText xml:space="preserve"> PAGEREF _Toc69309245 \h </w:instrText>
            </w:r>
            <w:r w:rsidR="00432C29">
              <w:rPr>
                <w:webHidden/>
              </w:rPr>
            </w:r>
            <w:r w:rsidR="00432C29">
              <w:rPr>
                <w:webHidden/>
              </w:rPr>
              <w:fldChar w:fldCharType="separate"/>
            </w:r>
            <w:r w:rsidR="00593FFB">
              <w:rPr>
                <w:webHidden/>
              </w:rPr>
              <w:t>130</w:t>
            </w:r>
            <w:r w:rsidR="00432C29">
              <w:rPr>
                <w:webHidden/>
              </w:rPr>
              <w:fldChar w:fldCharType="end"/>
            </w:r>
          </w:hyperlink>
        </w:p>
        <w:p w14:paraId="53DA7C93" w14:textId="70EF1803" w:rsidR="00432C29" w:rsidRDefault="006C38E9">
          <w:pPr>
            <w:pStyle w:val="TOC1"/>
            <w:tabs>
              <w:tab w:val="left" w:pos="660"/>
              <w:tab w:val="right" w:leader="dot" w:pos="9010"/>
            </w:tabs>
            <w:rPr>
              <w:rFonts w:asciiTheme="minorHAnsi" w:eastAsiaTheme="minorEastAsia" w:hAnsiTheme="minorHAnsi" w:cstheme="minorBidi"/>
              <w:b w:val="0"/>
              <w:caps w:val="0"/>
              <w:noProof/>
              <w:color w:val="auto"/>
              <w:kern w:val="0"/>
              <w:sz w:val="22"/>
              <w:szCs w:val="22"/>
              <w:lang w:eastAsia="en-AU"/>
            </w:rPr>
          </w:pPr>
          <w:hyperlink w:anchor="_Toc69309246" w:history="1">
            <w:r w:rsidR="00432C29" w:rsidRPr="00883F5E">
              <w:rPr>
                <w:rStyle w:val="Hyperlink"/>
                <w:noProof/>
              </w:rPr>
              <w:t>3</w:t>
            </w:r>
            <w:r w:rsidR="00432C29">
              <w:rPr>
                <w:rFonts w:asciiTheme="minorHAnsi" w:eastAsiaTheme="minorEastAsia" w:hAnsiTheme="minorHAnsi" w:cstheme="minorBidi"/>
                <w:b w:val="0"/>
                <w:caps w:val="0"/>
                <w:noProof/>
                <w:color w:val="auto"/>
                <w:kern w:val="0"/>
                <w:sz w:val="22"/>
                <w:szCs w:val="22"/>
                <w:lang w:eastAsia="en-AU"/>
              </w:rPr>
              <w:tab/>
            </w:r>
            <w:r w:rsidR="00432C29" w:rsidRPr="00883F5E">
              <w:rPr>
                <w:rStyle w:val="Hyperlink"/>
                <w:noProof/>
              </w:rPr>
              <w:t>Contingency Monitoring</w:t>
            </w:r>
            <w:r w:rsidR="00432C29">
              <w:rPr>
                <w:noProof/>
                <w:webHidden/>
              </w:rPr>
              <w:tab/>
            </w:r>
            <w:r w:rsidR="00432C29">
              <w:rPr>
                <w:noProof/>
                <w:webHidden/>
              </w:rPr>
              <w:fldChar w:fldCharType="begin"/>
            </w:r>
            <w:r w:rsidR="00432C29">
              <w:rPr>
                <w:noProof/>
                <w:webHidden/>
              </w:rPr>
              <w:instrText xml:space="preserve"> PAGEREF _Toc69309246 \h </w:instrText>
            </w:r>
            <w:r w:rsidR="00432C29">
              <w:rPr>
                <w:noProof/>
                <w:webHidden/>
              </w:rPr>
            </w:r>
            <w:r w:rsidR="00432C29">
              <w:rPr>
                <w:noProof/>
                <w:webHidden/>
              </w:rPr>
              <w:fldChar w:fldCharType="separate"/>
            </w:r>
            <w:r w:rsidR="00593FFB">
              <w:rPr>
                <w:noProof/>
                <w:webHidden/>
              </w:rPr>
              <w:t>142</w:t>
            </w:r>
            <w:r w:rsidR="00432C29">
              <w:rPr>
                <w:noProof/>
                <w:webHidden/>
              </w:rPr>
              <w:fldChar w:fldCharType="end"/>
            </w:r>
          </w:hyperlink>
        </w:p>
        <w:p w14:paraId="7FE9E598" w14:textId="1468A258" w:rsidR="00432C29" w:rsidRDefault="006C38E9">
          <w:pPr>
            <w:pStyle w:val="TOC2"/>
            <w:rPr>
              <w:rFonts w:asciiTheme="minorHAnsi" w:eastAsiaTheme="minorEastAsia" w:hAnsiTheme="minorHAnsi" w:cstheme="minorBidi"/>
              <w:color w:val="auto"/>
              <w:kern w:val="0"/>
              <w:sz w:val="22"/>
              <w:szCs w:val="22"/>
              <w:lang w:eastAsia="en-AU"/>
            </w:rPr>
          </w:pPr>
          <w:hyperlink w:anchor="_Toc69309247" w:history="1">
            <w:r w:rsidR="00432C29" w:rsidRPr="00883F5E">
              <w:rPr>
                <w:rStyle w:val="Hyperlink"/>
              </w:rPr>
              <w:t>3.1</w:t>
            </w:r>
            <w:r w:rsidR="00432C29">
              <w:rPr>
                <w:rFonts w:asciiTheme="minorHAnsi" w:eastAsiaTheme="minorEastAsia" w:hAnsiTheme="minorHAnsi" w:cstheme="minorBidi"/>
                <w:color w:val="auto"/>
                <w:kern w:val="0"/>
                <w:sz w:val="22"/>
                <w:szCs w:val="22"/>
                <w:lang w:eastAsia="en-AU"/>
              </w:rPr>
              <w:tab/>
            </w:r>
            <w:r w:rsidR="00432C29" w:rsidRPr="00883F5E">
              <w:rPr>
                <w:rStyle w:val="Hyperlink"/>
              </w:rPr>
              <w:t>Lamprey migration in 2019-20: key findings and evaluation</w:t>
            </w:r>
            <w:r w:rsidR="00432C29">
              <w:rPr>
                <w:webHidden/>
              </w:rPr>
              <w:tab/>
            </w:r>
            <w:r w:rsidR="00432C29">
              <w:rPr>
                <w:webHidden/>
              </w:rPr>
              <w:fldChar w:fldCharType="begin"/>
            </w:r>
            <w:r w:rsidR="00432C29">
              <w:rPr>
                <w:webHidden/>
              </w:rPr>
              <w:instrText xml:space="preserve"> PAGEREF _Toc69309247 \h </w:instrText>
            </w:r>
            <w:r w:rsidR="00432C29">
              <w:rPr>
                <w:webHidden/>
              </w:rPr>
            </w:r>
            <w:r w:rsidR="00432C29">
              <w:rPr>
                <w:webHidden/>
              </w:rPr>
              <w:fldChar w:fldCharType="separate"/>
            </w:r>
            <w:r w:rsidR="00593FFB">
              <w:rPr>
                <w:webHidden/>
              </w:rPr>
              <w:t>142</w:t>
            </w:r>
            <w:r w:rsidR="00432C29">
              <w:rPr>
                <w:webHidden/>
              </w:rPr>
              <w:fldChar w:fldCharType="end"/>
            </w:r>
          </w:hyperlink>
        </w:p>
        <w:p w14:paraId="4B1A0263" w14:textId="7725A577" w:rsidR="00432C29" w:rsidRDefault="006C38E9">
          <w:pPr>
            <w:pStyle w:val="TOC1"/>
            <w:tabs>
              <w:tab w:val="left" w:pos="660"/>
              <w:tab w:val="right" w:leader="dot" w:pos="9010"/>
            </w:tabs>
            <w:rPr>
              <w:rFonts w:asciiTheme="minorHAnsi" w:eastAsiaTheme="minorEastAsia" w:hAnsiTheme="minorHAnsi" w:cstheme="minorBidi"/>
              <w:b w:val="0"/>
              <w:caps w:val="0"/>
              <w:noProof/>
              <w:color w:val="auto"/>
              <w:kern w:val="0"/>
              <w:sz w:val="22"/>
              <w:szCs w:val="22"/>
              <w:lang w:eastAsia="en-AU"/>
            </w:rPr>
          </w:pPr>
          <w:hyperlink w:anchor="_Toc69309248" w:history="1">
            <w:r w:rsidR="00432C29" w:rsidRPr="00883F5E">
              <w:rPr>
                <w:rStyle w:val="Hyperlink"/>
                <w:noProof/>
              </w:rPr>
              <w:t>4</w:t>
            </w:r>
            <w:r w:rsidR="00432C29">
              <w:rPr>
                <w:rFonts w:asciiTheme="minorHAnsi" w:eastAsiaTheme="minorEastAsia" w:hAnsiTheme="minorHAnsi" w:cstheme="minorBidi"/>
                <w:b w:val="0"/>
                <w:caps w:val="0"/>
                <w:noProof/>
                <w:color w:val="auto"/>
                <w:kern w:val="0"/>
                <w:sz w:val="22"/>
                <w:szCs w:val="22"/>
                <w:lang w:eastAsia="en-AU"/>
              </w:rPr>
              <w:tab/>
            </w:r>
            <w:r w:rsidR="00432C29" w:rsidRPr="00883F5E">
              <w:rPr>
                <w:rStyle w:val="Hyperlink"/>
                <w:noProof/>
              </w:rPr>
              <w:t>Synthesis and Evaluation</w:t>
            </w:r>
            <w:r w:rsidR="00432C29">
              <w:rPr>
                <w:noProof/>
                <w:webHidden/>
              </w:rPr>
              <w:tab/>
            </w:r>
            <w:r w:rsidR="00432C29">
              <w:rPr>
                <w:noProof/>
                <w:webHidden/>
              </w:rPr>
              <w:fldChar w:fldCharType="begin"/>
            </w:r>
            <w:r w:rsidR="00432C29">
              <w:rPr>
                <w:noProof/>
                <w:webHidden/>
              </w:rPr>
              <w:instrText xml:space="preserve"> PAGEREF _Toc69309248 \h </w:instrText>
            </w:r>
            <w:r w:rsidR="00432C29">
              <w:rPr>
                <w:noProof/>
                <w:webHidden/>
              </w:rPr>
            </w:r>
            <w:r w:rsidR="00432C29">
              <w:rPr>
                <w:noProof/>
                <w:webHidden/>
              </w:rPr>
              <w:fldChar w:fldCharType="separate"/>
            </w:r>
            <w:r w:rsidR="00593FFB">
              <w:rPr>
                <w:noProof/>
                <w:webHidden/>
              </w:rPr>
              <w:t>147</w:t>
            </w:r>
            <w:r w:rsidR="00432C29">
              <w:rPr>
                <w:noProof/>
                <w:webHidden/>
              </w:rPr>
              <w:fldChar w:fldCharType="end"/>
            </w:r>
          </w:hyperlink>
        </w:p>
        <w:p w14:paraId="3FDA67B5" w14:textId="73307769" w:rsidR="00432C29" w:rsidRDefault="006C38E9">
          <w:pPr>
            <w:pStyle w:val="TOC1"/>
            <w:tabs>
              <w:tab w:val="left" w:pos="660"/>
              <w:tab w:val="right" w:leader="dot" w:pos="9010"/>
            </w:tabs>
            <w:rPr>
              <w:rFonts w:asciiTheme="minorHAnsi" w:eastAsiaTheme="minorEastAsia" w:hAnsiTheme="minorHAnsi" w:cstheme="minorBidi"/>
              <w:b w:val="0"/>
              <w:caps w:val="0"/>
              <w:noProof/>
              <w:color w:val="auto"/>
              <w:kern w:val="0"/>
              <w:sz w:val="22"/>
              <w:szCs w:val="22"/>
              <w:lang w:eastAsia="en-AU"/>
            </w:rPr>
          </w:pPr>
          <w:hyperlink w:anchor="_Toc69309249" w:history="1">
            <w:r w:rsidR="00432C29" w:rsidRPr="00883F5E">
              <w:rPr>
                <w:rStyle w:val="Hyperlink"/>
                <w:noProof/>
              </w:rPr>
              <w:t>5</w:t>
            </w:r>
            <w:r w:rsidR="00432C29">
              <w:rPr>
                <w:rFonts w:asciiTheme="minorHAnsi" w:eastAsiaTheme="minorEastAsia" w:hAnsiTheme="minorHAnsi" w:cstheme="minorBidi"/>
                <w:b w:val="0"/>
                <w:caps w:val="0"/>
                <w:noProof/>
                <w:color w:val="auto"/>
                <w:kern w:val="0"/>
                <w:sz w:val="22"/>
                <w:szCs w:val="22"/>
                <w:lang w:eastAsia="en-AU"/>
              </w:rPr>
              <w:tab/>
            </w:r>
            <w:r w:rsidR="00432C29" w:rsidRPr="00883F5E">
              <w:rPr>
                <w:rStyle w:val="Hyperlink"/>
                <w:noProof/>
              </w:rPr>
              <w:t>General Management Recommendations</w:t>
            </w:r>
            <w:r w:rsidR="00432C29">
              <w:rPr>
                <w:noProof/>
                <w:webHidden/>
              </w:rPr>
              <w:tab/>
            </w:r>
            <w:r w:rsidR="00432C29">
              <w:rPr>
                <w:noProof/>
                <w:webHidden/>
              </w:rPr>
              <w:fldChar w:fldCharType="begin"/>
            </w:r>
            <w:r w:rsidR="00432C29">
              <w:rPr>
                <w:noProof/>
                <w:webHidden/>
              </w:rPr>
              <w:instrText xml:space="preserve"> PAGEREF _Toc69309249 \h </w:instrText>
            </w:r>
            <w:r w:rsidR="00432C29">
              <w:rPr>
                <w:noProof/>
                <w:webHidden/>
              </w:rPr>
            </w:r>
            <w:r w:rsidR="00432C29">
              <w:rPr>
                <w:noProof/>
                <w:webHidden/>
              </w:rPr>
              <w:fldChar w:fldCharType="separate"/>
            </w:r>
            <w:r w:rsidR="00593FFB">
              <w:rPr>
                <w:noProof/>
                <w:webHidden/>
              </w:rPr>
              <w:t>151</w:t>
            </w:r>
            <w:r w:rsidR="00432C29">
              <w:rPr>
                <w:noProof/>
                <w:webHidden/>
              </w:rPr>
              <w:fldChar w:fldCharType="end"/>
            </w:r>
          </w:hyperlink>
        </w:p>
        <w:p w14:paraId="38C95921" w14:textId="5993077F" w:rsidR="00432C29" w:rsidRDefault="006C38E9">
          <w:pPr>
            <w:pStyle w:val="TOC1"/>
            <w:tabs>
              <w:tab w:val="left" w:pos="660"/>
              <w:tab w:val="right" w:leader="dot" w:pos="9010"/>
            </w:tabs>
            <w:rPr>
              <w:rFonts w:asciiTheme="minorHAnsi" w:eastAsiaTheme="minorEastAsia" w:hAnsiTheme="minorHAnsi" w:cstheme="minorBidi"/>
              <w:b w:val="0"/>
              <w:caps w:val="0"/>
              <w:noProof/>
              <w:color w:val="auto"/>
              <w:kern w:val="0"/>
              <w:sz w:val="22"/>
              <w:szCs w:val="22"/>
              <w:lang w:eastAsia="en-AU"/>
            </w:rPr>
          </w:pPr>
          <w:hyperlink w:anchor="_Toc69309250" w:history="1">
            <w:r w:rsidR="00432C29" w:rsidRPr="00883F5E">
              <w:rPr>
                <w:rStyle w:val="Hyperlink"/>
                <w:noProof/>
              </w:rPr>
              <w:t>6</w:t>
            </w:r>
            <w:r w:rsidR="00432C29">
              <w:rPr>
                <w:rFonts w:asciiTheme="minorHAnsi" w:eastAsiaTheme="minorEastAsia" w:hAnsiTheme="minorHAnsi" w:cstheme="minorBidi"/>
                <w:b w:val="0"/>
                <w:caps w:val="0"/>
                <w:noProof/>
                <w:color w:val="auto"/>
                <w:kern w:val="0"/>
                <w:sz w:val="22"/>
                <w:szCs w:val="22"/>
                <w:lang w:eastAsia="en-AU"/>
              </w:rPr>
              <w:tab/>
            </w:r>
            <w:r w:rsidR="00432C29" w:rsidRPr="00883F5E">
              <w:rPr>
                <w:rStyle w:val="Hyperlink"/>
                <w:noProof/>
              </w:rPr>
              <w:t>References</w:t>
            </w:r>
            <w:r w:rsidR="00432C29">
              <w:rPr>
                <w:noProof/>
                <w:webHidden/>
              </w:rPr>
              <w:tab/>
            </w:r>
            <w:r w:rsidR="00432C29">
              <w:rPr>
                <w:noProof/>
                <w:webHidden/>
              </w:rPr>
              <w:fldChar w:fldCharType="begin"/>
            </w:r>
            <w:r w:rsidR="00432C29">
              <w:rPr>
                <w:noProof/>
                <w:webHidden/>
              </w:rPr>
              <w:instrText xml:space="preserve"> PAGEREF _Toc69309250 \h </w:instrText>
            </w:r>
            <w:r w:rsidR="00432C29">
              <w:rPr>
                <w:noProof/>
                <w:webHidden/>
              </w:rPr>
            </w:r>
            <w:r w:rsidR="00432C29">
              <w:rPr>
                <w:noProof/>
                <w:webHidden/>
              </w:rPr>
              <w:fldChar w:fldCharType="separate"/>
            </w:r>
            <w:r w:rsidR="00593FFB">
              <w:rPr>
                <w:noProof/>
                <w:webHidden/>
              </w:rPr>
              <w:t>155</w:t>
            </w:r>
            <w:r w:rsidR="00432C29">
              <w:rPr>
                <w:noProof/>
                <w:webHidden/>
              </w:rPr>
              <w:fldChar w:fldCharType="end"/>
            </w:r>
          </w:hyperlink>
        </w:p>
        <w:p w14:paraId="1F6D20AE" w14:textId="65A00E84" w:rsidR="00432C29" w:rsidRDefault="006C38E9">
          <w:pPr>
            <w:pStyle w:val="TOC1"/>
            <w:tabs>
              <w:tab w:val="left" w:pos="660"/>
              <w:tab w:val="right" w:leader="dot" w:pos="9010"/>
            </w:tabs>
            <w:rPr>
              <w:rFonts w:asciiTheme="minorHAnsi" w:eastAsiaTheme="minorEastAsia" w:hAnsiTheme="minorHAnsi" w:cstheme="minorBidi"/>
              <w:b w:val="0"/>
              <w:caps w:val="0"/>
              <w:noProof/>
              <w:color w:val="auto"/>
              <w:kern w:val="0"/>
              <w:sz w:val="22"/>
              <w:szCs w:val="22"/>
              <w:lang w:eastAsia="en-AU"/>
            </w:rPr>
          </w:pPr>
          <w:hyperlink w:anchor="_Toc69309251" w:history="1">
            <w:r w:rsidR="00432C29" w:rsidRPr="00883F5E">
              <w:rPr>
                <w:rStyle w:val="Hyperlink"/>
                <w:noProof/>
              </w:rPr>
              <w:t>7</w:t>
            </w:r>
            <w:r w:rsidR="00432C29">
              <w:rPr>
                <w:rFonts w:asciiTheme="minorHAnsi" w:eastAsiaTheme="minorEastAsia" w:hAnsiTheme="minorHAnsi" w:cstheme="minorBidi"/>
                <w:b w:val="0"/>
                <w:caps w:val="0"/>
                <w:noProof/>
                <w:color w:val="auto"/>
                <w:kern w:val="0"/>
                <w:sz w:val="22"/>
                <w:szCs w:val="22"/>
                <w:lang w:eastAsia="en-AU"/>
              </w:rPr>
              <w:tab/>
            </w:r>
            <w:r w:rsidR="00432C29" w:rsidRPr="00883F5E">
              <w:rPr>
                <w:rStyle w:val="Hyperlink"/>
                <w:noProof/>
              </w:rPr>
              <w:t>Appendices</w:t>
            </w:r>
            <w:r w:rsidR="00432C29">
              <w:rPr>
                <w:noProof/>
                <w:webHidden/>
              </w:rPr>
              <w:tab/>
            </w:r>
            <w:r w:rsidR="00432C29">
              <w:rPr>
                <w:noProof/>
                <w:webHidden/>
              </w:rPr>
              <w:fldChar w:fldCharType="begin"/>
            </w:r>
            <w:r w:rsidR="00432C29">
              <w:rPr>
                <w:noProof/>
                <w:webHidden/>
              </w:rPr>
              <w:instrText xml:space="preserve"> PAGEREF _Toc69309251 \h </w:instrText>
            </w:r>
            <w:r w:rsidR="00432C29">
              <w:rPr>
                <w:noProof/>
                <w:webHidden/>
              </w:rPr>
            </w:r>
            <w:r w:rsidR="00432C29">
              <w:rPr>
                <w:noProof/>
                <w:webHidden/>
              </w:rPr>
              <w:fldChar w:fldCharType="separate"/>
            </w:r>
            <w:r w:rsidR="00593FFB">
              <w:rPr>
                <w:noProof/>
                <w:webHidden/>
              </w:rPr>
              <w:t>170</w:t>
            </w:r>
            <w:r w:rsidR="00432C29">
              <w:rPr>
                <w:noProof/>
                <w:webHidden/>
              </w:rPr>
              <w:fldChar w:fldCharType="end"/>
            </w:r>
          </w:hyperlink>
        </w:p>
        <w:p w14:paraId="388B76F2" w14:textId="6673E9EF" w:rsidR="00432C29" w:rsidRDefault="006C38E9">
          <w:pPr>
            <w:pStyle w:val="TOC1"/>
            <w:tabs>
              <w:tab w:val="right" w:leader="dot" w:pos="9010"/>
            </w:tabs>
            <w:rPr>
              <w:rFonts w:asciiTheme="minorHAnsi" w:eastAsiaTheme="minorEastAsia" w:hAnsiTheme="minorHAnsi" w:cstheme="minorBidi"/>
              <w:b w:val="0"/>
              <w:caps w:val="0"/>
              <w:noProof/>
              <w:color w:val="auto"/>
              <w:kern w:val="0"/>
              <w:sz w:val="22"/>
              <w:szCs w:val="22"/>
              <w:lang w:eastAsia="en-AU"/>
            </w:rPr>
          </w:pPr>
          <w:hyperlink w:anchor="_Toc69309252" w:history="1">
            <w:r w:rsidR="00432C29" w:rsidRPr="00883F5E">
              <w:rPr>
                <w:rStyle w:val="Hyperlink"/>
                <w:noProof/>
              </w:rPr>
              <w:t>Appendix A: Expected outcomes of Commonwealth environmental water in the LOWER MURRAY RIVER, Lower Lakes and Coorong</w:t>
            </w:r>
            <w:r w:rsidR="00432C29">
              <w:rPr>
                <w:noProof/>
                <w:webHidden/>
              </w:rPr>
              <w:tab/>
            </w:r>
            <w:r w:rsidR="00432C29">
              <w:rPr>
                <w:noProof/>
                <w:webHidden/>
              </w:rPr>
              <w:fldChar w:fldCharType="begin"/>
            </w:r>
            <w:r w:rsidR="00432C29">
              <w:rPr>
                <w:noProof/>
                <w:webHidden/>
              </w:rPr>
              <w:instrText xml:space="preserve"> PAGEREF _Toc69309252 \h </w:instrText>
            </w:r>
            <w:r w:rsidR="00432C29">
              <w:rPr>
                <w:noProof/>
                <w:webHidden/>
              </w:rPr>
            </w:r>
            <w:r w:rsidR="00432C29">
              <w:rPr>
                <w:noProof/>
                <w:webHidden/>
              </w:rPr>
              <w:fldChar w:fldCharType="separate"/>
            </w:r>
            <w:r w:rsidR="00593FFB">
              <w:rPr>
                <w:noProof/>
                <w:webHidden/>
              </w:rPr>
              <w:t>170</w:t>
            </w:r>
            <w:r w:rsidR="00432C29">
              <w:rPr>
                <w:noProof/>
                <w:webHidden/>
              </w:rPr>
              <w:fldChar w:fldCharType="end"/>
            </w:r>
          </w:hyperlink>
        </w:p>
        <w:p w14:paraId="595F038B" w14:textId="3EB26CAF" w:rsidR="00432C29" w:rsidRDefault="006C38E9">
          <w:pPr>
            <w:pStyle w:val="TOC1"/>
            <w:tabs>
              <w:tab w:val="right" w:leader="dot" w:pos="9010"/>
            </w:tabs>
            <w:rPr>
              <w:rFonts w:asciiTheme="minorHAnsi" w:eastAsiaTheme="minorEastAsia" w:hAnsiTheme="minorHAnsi" w:cstheme="minorBidi"/>
              <w:b w:val="0"/>
              <w:caps w:val="0"/>
              <w:noProof/>
              <w:color w:val="auto"/>
              <w:kern w:val="0"/>
              <w:sz w:val="22"/>
              <w:szCs w:val="22"/>
              <w:lang w:eastAsia="en-AU"/>
            </w:rPr>
          </w:pPr>
          <w:hyperlink w:anchor="_Toc69309253" w:history="1">
            <w:r w:rsidR="00432C29" w:rsidRPr="00883F5E">
              <w:rPr>
                <w:rStyle w:val="Hyperlink"/>
                <w:noProof/>
              </w:rPr>
              <w:t>Appendix B: Overview of other management activities during 2019-20</w:t>
            </w:r>
            <w:r w:rsidR="00432C29">
              <w:rPr>
                <w:noProof/>
                <w:webHidden/>
              </w:rPr>
              <w:tab/>
            </w:r>
            <w:r w:rsidR="00432C29">
              <w:rPr>
                <w:noProof/>
                <w:webHidden/>
              </w:rPr>
              <w:fldChar w:fldCharType="begin"/>
            </w:r>
            <w:r w:rsidR="00432C29">
              <w:rPr>
                <w:noProof/>
                <w:webHidden/>
              </w:rPr>
              <w:instrText xml:space="preserve"> PAGEREF _Toc69309253 \h </w:instrText>
            </w:r>
            <w:r w:rsidR="00432C29">
              <w:rPr>
                <w:noProof/>
                <w:webHidden/>
              </w:rPr>
            </w:r>
            <w:r w:rsidR="00432C29">
              <w:rPr>
                <w:noProof/>
                <w:webHidden/>
              </w:rPr>
              <w:fldChar w:fldCharType="separate"/>
            </w:r>
            <w:r w:rsidR="00593FFB">
              <w:rPr>
                <w:noProof/>
                <w:webHidden/>
              </w:rPr>
              <w:t>172</w:t>
            </w:r>
            <w:r w:rsidR="00432C29">
              <w:rPr>
                <w:noProof/>
                <w:webHidden/>
              </w:rPr>
              <w:fldChar w:fldCharType="end"/>
            </w:r>
          </w:hyperlink>
        </w:p>
        <w:p w14:paraId="2D17DF56" w14:textId="13A73A9C" w:rsidR="00432C29" w:rsidRDefault="006C38E9">
          <w:pPr>
            <w:pStyle w:val="TOC1"/>
            <w:tabs>
              <w:tab w:val="right" w:leader="dot" w:pos="9010"/>
            </w:tabs>
            <w:rPr>
              <w:rFonts w:asciiTheme="minorHAnsi" w:eastAsiaTheme="minorEastAsia" w:hAnsiTheme="minorHAnsi" w:cstheme="minorBidi"/>
              <w:b w:val="0"/>
              <w:caps w:val="0"/>
              <w:noProof/>
              <w:color w:val="auto"/>
              <w:kern w:val="0"/>
              <w:sz w:val="22"/>
              <w:szCs w:val="22"/>
              <w:lang w:eastAsia="en-AU"/>
            </w:rPr>
          </w:pPr>
          <w:hyperlink w:anchor="_Toc69309254" w:history="1">
            <w:r w:rsidR="00432C29" w:rsidRPr="00883F5E">
              <w:rPr>
                <w:rStyle w:val="Hyperlink"/>
                <w:noProof/>
              </w:rPr>
              <w:t>Appendix C: DEW evaluation questions</w:t>
            </w:r>
            <w:r w:rsidR="00432C29">
              <w:rPr>
                <w:noProof/>
                <w:webHidden/>
              </w:rPr>
              <w:tab/>
            </w:r>
            <w:r w:rsidR="00432C29">
              <w:rPr>
                <w:noProof/>
                <w:webHidden/>
              </w:rPr>
              <w:fldChar w:fldCharType="begin"/>
            </w:r>
            <w:r w:rsidR="00432C29">
              <w:rPr>
                <w:noProof/>
                <w:webHidden/>
              </w:rPr>
              <w:instrText xml:space="preserve"> PAGEREF _Toc69309254 \h </w:instrText>
            </w:r>
            <w:r w:rsidR="00432C29">
              <w:rPr>
                <w:noProof/>
                <w:webHidden/>
              </w:rPr>
            </w:r>
            <w:r w:rsidR="00432C29">
              <w:rPr>
                <w:noProof/>
                <w:webHidden/>
              </w:rPr>
              <w:fldChar w:fldCharType="separate"/>
            </w:r>
            <w:r w:rsidR="00593FFB">
              <w:rPr>
                <w:noProof/>
                <w:webHidden/>
              </w:rPr>
              <w:t>177</w:t>
            </w:r>
            <w:r w:rsidR="00432C29">
              <w:rPr>
                <w:noProof/>
                <w:webHidden/>
              </w:rPr>
              <w:fldChar w:fldCharType="end"/>
            </w:r>
          </w:hyperlink>
        </w:p>
        <w:p w14:paraId="07DFB90B" w14:textId="34212141" w:rsidR="00432C29" w:rsidRDefault="006C38E9">
          <w:pPr>
            <w:pStyle w:val="TOC1"/>
            <w:tabs>
              <w:tab w:val="right" w:leader="dot" w:pos="9010"/>
            </w:tabs>
            <w:rPr>
              <w:rFonts w:asciiTheme="minorHAnsi" w:eastAsiaTheme="minorEastAsia" w:hAnsiTheme="minorHAnsi" w:cstheme="minorBidi"/>
              <w:b w:val="0"/>
              <w:caps w:val="0"/>
              <w:noProof/>
              <w:color w:val="auto"/>
              <w:kern w:val="0"/>
              <w:sz w:val="22"/>
              <w:szCs w:val="22"/>
              <w:lang w:eastAsia="en-AU"/>
            </w:rPr>
          </w:pPr>
          <w:hyperlink w:anchor="_Toc69309255" w:history="1">
            <w:r w:rsidR="00432C29" w:rsidRPr="00883F5E">
              <w:rPr>
                <w:rStyle w:val="Hyperlink"/>
                <w:noProof/>
              </w:rPr>
              <w:t>Appendix D: Supplementary information for indicators</w:t>
            </w:r>
            <w:r w:rsidR="00432C29">
              <w:rPr>
                <w:noProof/>
                <w:webHidden/>
              </w:rPr>
              <w:tab/>
            </w:r>
            <w:r w:rsidR="00432C29">
              <w:rPr>
                <w:noProof/>
                <w:webHidden/>
              </w:rPr>
              <w:fldChar w:fldCharType="begin"/>
            </w:r>
            <w:r w:rsidR="00432C29">
              <w:rPr>
                <w:noProof/>
                <w:webHidden/>
              </w:rPr>
              <w:instrText xml:space="preserve"> PAGEREF _Toc69309255 \h </w:instrText>
            </w:r>
            <w:r w:rsidR="00432C29">
              <w:rPr>
                <w:noProof/>
                <w:webHidden/>
              </w:rPr>
            </w:r>
            <w:r w:rsidR="00432C29">
              <w:rPr>
                <w:noProof/>
                <w:webHidden/>
              </w:rPr>
              <w:fldChar w:fldCharType="separate"/>
            </w:r>
            <w:r w:rsidR="00593FFB">
              <w:rPr>
                <w:noProof/>
                <w:webHidden/>
              </w:rPr>
              <w:t>182</w:t>
            </w:r>
            <w:r w:rsidR="00432C29">
              <w:rPr>
                <w:noProof/>
                <w:webHidden/>
              </w:rPr>
              <w:fldChar w:fldCharType="end"/>
            </w:r>
          </w:hyperlink>
        </w:p>
        <w:p w14:paraId="2CCA8375" w14:textId="39599199" w:rsidR="00432C29" w:rsidRDefault="006C38E9">
          <w:pPr>
            <w:pStyle w:val="TOC1"/>
            <w:tabs>
              <w:tab w:val="right" w:leader="dot" w:pos="9010"/>
            </w:tabs>
            <w:rPr>
              <w:rFonts w:asciiTheme="minorHAnsi" w:eastAsiaTheme="minorEastAsia" w:hAnsiTheme="minorHAnsi" w:cstheme="minorBidi"/>
              <w:b w:val="0"/>
              <w:caps w:val="0"/>
              <w:noProof/>
              <w:color w:val="auto"/>
              <w:kern w:val="0"/>
              <w:sz w:val="22"/>
              <w:szCs w:val="22"/>
              <w:lang w:eastAsia="en-AU"/>
            </w:rPr>
          </w:pPr>
          <w:hyperlink w:anchor="_Toc69309256" w:history="1">
            <w:r w:rsidR="00432C29" w:rsidRPr="00883F5E">
              <w:rPr>
                <w:rStyle w:val="Hyperlink"/>
                <w:noProof/>
              </w:rPr>
              <w:t>Acronyms</w:t>
            </w:r>
            <w:r w:rsidR="00432C29">
              <w:rPr>
                <w:noProof/>
                <w:webHidden/>
              </w:rPr>
              <w:tab/>
            </w:r>
            <w:r w:rsidR="00432C29">
              <w:rPr>
                <w:noProof/>
                <w:webHidden/>
              </w:rPr>
              <w:fldChar w:fldCharType="begin"/>
            </w:r>
            <w:r w:rsidR="00432C29">
              <w:rPr>
                <w:noProof/>
                <w:webHidden/>
              </w:rPr>
              <w:instrText xml:space="preserve"> PAGEREF _Toc69309256 \h </w:instrText>
            </w:r>
            <w:r w:rsidR="00432C29">
              <w:rPr>
                <w:noProof/>
                <w:webHidden/>
              </w:rPr>
            </w:r>
            <w:r w:rsidR="00432C29">
              <w:rPr>
                <w:noProof/>
                <w:webHidden/>
              </w:rPr>
              <w:fldChar w:fldCharType="separate"/>
            </w:r>
            <w:r w:rsidR="00593FFB">
              <w:rPr>
                <w:noProof/>
                <w:webHidden/>
              </w:rPr>
              <w:t>221</w:t>
            </w:r>
            <w:r w:rsidR="00432C29">
              <w:rPr>
                <w:noProof/>
                <w:webHidden/>
              </w:rPr>
              <w:fldChar w:fldCharType="end"/>
            </w:r>
          </w:hyperlink>
        </w:p>
        <w:p w14:paraId="7021FCA3" w14:textId="5B1263C5" w:rsidR="00432C29" w:rsidRDefault="006C38E9">
          <w:pPr>
            <w:pStyle w:val="TOC1"/>
            <w:tabs>
              <w:tab w:val="right" w:leader="dot" w:pos="9010"/>
            </w:tabs>
            <w:rPr>
              <w:rFonts w:asciiTheme="minorHAnsi" w:eastAsiaTheme="minorEastAsia" w:hAnsiTheme="minorHAnsi" w:cstheme="minorBidi"/>
              <w:b w:val="0"/>
              <w:caps w:val="0"/>
              <w:noProof/>
              <w:color w:val="auto"/>
              <w:kern w:val="0"/>
              <w:sz w:val="22"/>
              <w:szCs w:val="22"/>
              <w:lang w:eastAsia="en-AU"/>
            </w:rPr>
          </w:pPr>
          <w:hyperlink w:anchor="_Toc69309257" w:history="1">
            <w:r w:rsidR="00432C29" w:rsidRPr="00883F5E">
              <w:rPr>
                <w:rStyle w:val="Hyperlink"/>
                <w:noProof/>
              </w:rPr>
              <w:t>Glossary</w:t>
            </w:r>
            <w:r w:rsidR="00432C29">
              <w:rPr>
                <w:noProof/>
                <w:webHidden/>
              </w:rPr>
              <w:tab/>
            </w:r>
            <w:r w:rsidR="00432C29">
              <w:rPr>
                <w:noProof/>
                <w:webHidden/>
              </w:rPr>
              <w:fldChar w:fldCharType="begin"/>
            </w:r>
            <w:r w:rsidR="00432C29">
              <w:rPr>
                <w:noProof/>
                <w:webHidden/>
              </w:rPr>
              <w:instrText xml:space="preserve"> PAGEREF _Toc69309257 \h </w:instrText>
            </w:r>
            <w:r w:rsidR="00432C29">
              <w:rPr>
                <w:noProof/>
                <w:webHidden/>
              </w:rPr>
            </w:r>
            <w:r w:rsidR="00432C29">
              <w:rPr>
                <w:noProof/>
                <w:webHidden/>
              </w:rPr>
              <w:fldChar w:fldCharType="separate"/>
            </w:r>
            <w:r w:rsidR="00593FFB">
              <w:rPr>
                <w:noProof/>
                <w:webHidden/>
              </w:rPr>
              <w:t>222</w:t>
            </w:r>
            <w:r w:rsidR="00432C29">
              <w:rPr>
                <w:noProof/>
                <w:webHidden/>
              </w:rPr>
              <w:fldChar w:fldCharType="end"/>
            </w:r>
          </w:hyperlink>
        </w:p>
        <w:p w14:paraId="63ECBC03" w14:textId="62E5F0F3" w:rsidR="005B0AA3" w:rsidRDefault="005B0AA3" w:rsidP="005B0AA3">
          <w:r>
            <w:rPr>
              <w:b/>
              <w:caps/>
              <w:highlight w:val="yellow"/>
            </w:rPr>
            <w:fldChar w:fldCharType="end"/>
          </w:r>
        </w:p>
      </w:sdtContent>
    </w:sdt>
    <w:p w14:paraId="6974230F" w14:textId="77777777" w:rsidR="005B0AA3" w:rsidRPr="00A67C76" w:rsidRDefault="005B0AA3" w:rsidP="005B0AA3">
      <w:pPr>
        <w:pStyle w:val="H1anotincinTOC"/>
        <w:outlineLvl w:val="0"/>
        <w:rPr>
          <w:color w:val="44546A" w:themeColor="text2"/>
        </w:rPr>
      </w:pPr>
      <w:bookmarkStart w:id="4" w:name="_Toc441838720"/>
      <w:bookmarkStart w:id="5" w:name="_Toc69309225"/>
      <w:r w:rsidRPr="00A67C76">
        <w:rPr>
          <w:color w:val="44546A" w:themeColor="text2"/>
        </w:rPr>
        <w:t>List of figures</w:t>
      </w:r>
      <w:bookmarkEnd w:id="4"/>
      <w:bookmarkEnd w:id="5"/>
    </w:p>
    <w:p w14:paraId="2D6F1A31" w14:textId="7E7F25FE" w:rsidR="00932D42" w:rsidRDefault="005B0AA3">
      <w:pPr>
        <w:pStyle w:val="TableofFigures"/>
        <w:rPr>
          <w:rFonts w:asciiTheme="minorHAnsi" w:eastAsiaTheme="minorEastAsia" w:hAnsiTheme="minorHAnsi" w:cstheme="minorBidi"/>
          <w:noProof/>
          <w:color w:val="auto"/>
          <w:sz w:val="22"/>
          <w:szCs w:val="22"/>
        </w:rPr>
      </w:pPr>
      <w:r>
        <w:rPr>
          <w:rStyle w:val="Hyperlink"/>
          <w:rFonts w:eastAsiaTheme="majorEastAsia"/>
          <w:noProof/>
          <w:color w:val="auto"/>
        </w:rPr>
        <w:fldChar w:fldCharType="begin"/>
      </w:r>
      <w:r>
        <w:rPr>
          <w:rStyle w:val="Hyperlink"/>
          <w:rFonts w:eastAsiaTheme="majorEastAsia"/>
          <w:noProof/>
          <w:color w:val="auto"/>
        </w:rPr>
        <w:instrText xml:space="preserve"> TOC \h \z \c "Figure" </w:instrText>
      </w:r>
      <w:r>
        <w:rPr>
          <w:rStyle w:val="Hyperlink"/>
          <w:rFonts w:eastAsiaTheme="majorEastAsia"/>
          <w:noProof/>
          <w:color w:val="auto"/>
        </w:rPr>
        <w:fldChar w:fldCharType="separate"/>
      </w:r>
      <w:hyperlink w:anchor="_Toc69387665" w:history="1">
        <w:r w:rsidR="00932D42" w:rsidRPr="00930F9F">
          <w:rPr>
            <w:rStyle w:val="Hyperlink"/>
            <w:rFonts w:eastAsiaTheme="majorEastAsia"/>
            <w:noProof/>
          </w:rPr>
          <w:t>Figure 1. Map of the Lower Murray Selected Area showing the Lower Murray River floodplain (blue), gorge (green) and swamplands (orange) geomorphic zones, and the Lower Lakes and Coorong (yellow). Sampling sites are indicated by coloured circles (field monitoring) and triangles (modelling). Larval fish sampling for Fish Spawning and Recruitment was not undertaken in 2019-20.</w:t>
        </w:r>
        <w:r w:rsidR="00932D42">
          <w:rPr>
            <w:noProof/>
            <w:webHidden/>
          </w:rPr>
          <w:tab/>
        </w:r>
        <w:r w:rsidR="00932D42">
          <w:rPr>
            <w:noProof/>
            <w:webHidden/>
          </w:rPr>
          <w:fldChar w:fldCharType="begin"/>
        </w:r>
        <w:r w:rsidR="00932D42">
          <w:rPr>
            <w:noProof/>
            <w:webHidden/>
          </w:rPr>
          <w:instrText xml:space="preserve"> PAGEREF _Toc69387665 \h </w:instrText>
        </w:r>
        <w:r w:rsidR="00932D42">
          <w:rPr>
            <w:noProof/>
            <w:webHidden/>
          </w:rPr>
        </w:r>
        <w:r w:rsidR="00932D42">
          <w:rPr>
            <w:noProof/>
            <w:webHidden/>
          </w:rPr>
          <w:fldChar w:fldCharType="separate"/>
        </w:r>
        <w:r w:rsidR="00593FFB">
          <w:rPr>
            <w:noProof/>
            <w:webHidden/>
          </w:rPr>
          <w:t>7</w:t>
        </w:r>
        <w:r w:rsidR="00932D42">
          <w:rPr>
            <w:noProof/>
            <w:webHidden/>
          </w:rPr>
          <w:fldChar w:fldCharType="end"/>
        </w:r>
      </w:hyperlink>
    </w:p>
    <w:p w14:paraId="1A4CA0DF" w14:textId="38A58BC1" w:rsidR="00932D42" w:rsidRDefault="006C38E9">
      <w:pPr>
        <w:pStyle w:val="TableofFigures"/>
        <w:rPr>
          <w:rFonts w:asciiTheme="minorHAnsi" w:eastAsiaTheme="minorEastAsia" w:hAnsiTheme="minorHAnsi" w:cstheme="minorBidi"/>
          <w:noProof/>
          <w:color w:val="auto"/>
          <w:sz w:val="22"/>
          <w:szCs w:val="22"/>
        </w:rPr>
      </w:pPr>
      <w:hyperlink w:anchor="_Toc69387666" w:history="1">
        <w:r w:rsidR="00932D42" w:rsidRPr="00930F9F">
          <w:rPr>
            <w:rStyle w:val="Hyperlink"/>
            <w:rFonts w:eastAsiaTheme="majorEastAsia"/>
            <w:noProof/>
          </w:rPr>
          <w:t>Figure 2. The various flow types of the Lower Murray River as described in the Murray–Darling Basin Plan (MDBA 2011). This diagram represents an idealised, unconstrained river reach.</w:t>
        </w:r>
        <w:r w:rsidR="00932D42">
          <w:rPr>
            <w:noProof/>
            <w:webHidden/>
          </w:rPr>
          <w:tab/>
        </w:r>
        <w:r w:rsidR="00932D42">
          <w:rPr>
            <w:noProof/>
            <w:webHidden/>
          </w:rPr>
          <w:fldChar w:fldCharType="begin"/>
        </w:r>
        <w:r w:rsidR="00932D42">
          <w:rPr>
            <w:noProof/>
            <w:webHidden/>
          </w:rPr>
          <w:instrText xml:space="preserve"> PAGEREF _Toc69387666 \h </w:instrText>
        </w:r>
        <w:r w:rsidR="00932D42">
          <w:rPr>
            <w:noProof/>
            <w:webHidden/>
          </w:rPr>
        </w:r>
        <w:r w:rsidR="00932D42">
          <w:rPr>
            <w:noProof/>
            <w:webHidden/>
          </w:rPr>
          <w:fldChar w:fldCharType="separate"/>
        </w:r>
        <w:r w:rsidR="00593FFB">
          <w:rPr>
            <w:noProof/>
            <w:webHidden/>
          </w:rPr>
          <w:t>8</w:t>
        </w:r>
        <w:r w:rsidR="00932D42">
          <w:rPr>
            <w:noProof/>
            <w:webHidden/>
          </w:rPr>
          <w:fldChar w:fldCharType="end"/>
        </w:r>
      </w:hyperlink>
    </w:p>
    <w:p w14:paraId="08C4410A" w14:textId="7E9EBC06" w:rsidR="00932D42" w:rsidRDefault="006C38E9">
      <w:pPr>
        <w:pStyle w:val="TableofFigures"/>
        <w:rPr>
          <w:rFonts w:asciiTheme="minorHAnsi" w:eastAsiaTheme="minorEastAsia" w:hAnsiTheme="minorHAnsi" w:cstheme="minorBidi"/>
          <w:noProof/>
          <w:color w:val="auto"/>
          <w:sz w:val="22"/>
          <w:szCs w:val="22"/>
        </w:rPr>
      </w:pPr>
      <w:hyperlink w:anchor="_Toc69387667" w:history="1">
        <w:r w:rsidR="00932D42" w:rsidRPr="00930F9F">
          <w:rPr>
            <w:rStyle w:val="Hyperlink"/>
            <w:rFonts w:eastAsiaTheme="majorEastAsia"/>
            <w:noProof/>
          </w:rPr>
          <w:t xml:space="preserve">Figure 3. </w:t>
        </w:r>
        <w:r w:rsidR="00932D42" w:rsidRPr="00930F9F">
          <w:rPr>
            <w:rStyle w:val="Hyperlink"/>
            <w:rFonts w:eastAsiaTheme="majorEastAsia"/>
            <w:noProof/>
            <w:kern w:val="24"/>
            <w:lang w:val="en-US"/>
          </w:rPr>
          <w:t>Cause and effect diagram of flow for the main channel of the Lower Murray with respect to the proposed indicators. Magnitude, timing and duration are factors of flow (in black). Yellow indicators followed standard protocols to support quantitative Basin-wide and Selected Area evaluation, where applicable. Purple indicators were developed to address objectives and test Selected Area-specific hypotheses with respect to biological/ecological response to environmental flows.</w:t>
        </w:r>
        <w:r w:rsidR="00932D42">
          <w:rPr>
            <w:noProof/>
            <w:webHidden/>
          </w:rPr>
          <w:tab/>
        </w:r>
        <w:r w:rsidR="00932D42">
          <w:rPr>
            <w:noProof/>
            <w:webHidden/>
          </w:rPr>
          <w:fldChar w:fldCharType="begin"/>
        </w:r>
        <w:r w:rsidR="00932D42">
          <w:rPr>
            <w:noProof/>
            <w:webHidden/>
          </w:rPr>
          <w:instrText xml:space="preserve"> PAGEREF _Toc69387667 \h </w:instrText>
        </w:r>
        <w:r w:rsidR="00932D42">
          <w:rPr>
            <w:noProof/>
            <w:webHidden/>
          </w:rPr>
        </w:r>
        <w:r w:rsidR="00932D42">
          <w:rPr>
            <w:noProof/>
            <w:webHidden/>
          </w:rPr>
          <w:fldChar w:fldCharType="separate"/>
        </w:r>
        <w:r w:rsidR="00593FFB">
          <w:rPr>
            <w:noProof/>
            <w:webHidden/>
          </w:rPr>
          <w:t>9</w:t>
        </w:r>
        <w:r w:rsidR="00932D42">
          <w:rPr>
            <w:noProof/>
            <w:webHidden/>
          </w:rPr>
          <w:fldChar w:fldCharType="end"/>
        </w:r>
      </w:hyperlink>
    </w:p>
    <w:p w14:paraId="6BFFCEAF" w14:textId="03FD868B" w:rsidR="00932D42" w:rsidRDefault="006C38E9">
      <w:pPr>
        <w:pStyle w:val="TableofFigures"/>
        <w:rPr>
          <w:rFonts w:asciiTheme="minorHAnsi" w:eastAsiaTheme="minorEastAsia" w:hAnsiTheme="minorHAnsi" w:cstheme="minorBidi"/>
          <w:noProof/>
          <w:color w:val="auto"/>
          <w:sz w:val="22"/>
          <w:szCs w:val="22"/>
        </w:rPr>
      </w:pPr>
      <w:hyperlink w:anchor="_Toc69387668" w:history="1">
        <w:r w:rsidR="00932D42" w:rsidRPr="00930F9F">
          <w:rPr>
            <w:rStyle w:val="Hyperlink"/>
            <w:rFonts w:eastAsiaTheme="majorEastAsia"/>
            <w:noProof/>
          </w:rPr>
          <w:t>Figure 4. Daily flow (ML/d) in the Lower Murray River (LMR) at the South Australian border (blue solid line) from January 1996 to July 2020, compared to modelled flow under natural conditions (grey dashed line). Approximate bankfull flow in the main channel of the LMR is shown (black dashed line).</w:t>
        </w:r>
        <w:r w:rsidR="00932D42">
          <w:rPr>
            <w:noProof/>
            <w:webHidden/>
          </w:rPr>
          <w:tab/>
        </w:r>
        <w:r w:rsidR="00932D42">
          <w:rPr>
            <w:noProof/>
            <w:webHidden/>
          </w:rPr>
          <w:fldChar w:fldCharType="begin"/>
        </w:r>
        <w:r w:rsidR="00932D42">
          <w:rPr>
            <w:noProof/>
            <w:webHidden/>
          </w:rPr>
          <w:instrText xml:space="preserve"> PAGEREF _Toc69387668 \h </w:instrText>
        </w:r>
        <w:r w:rsidR="00932D42">
          <w:rPr>
            <w:noProof/>
            <w:webHidden/>
          </w:rPr>
        </w:r>
        <w:r w:rsidR="00932D42">
          <w:rPr>
            <w:noProof/>
            <w:webHidden/>
          </w:rPr>
          <w:fldChar w:fldCharType="separate"/>
        </w:r>
        <w:r w:rsidR="00593FFB">
          <w:rPr>
            <w:noProof/>
            <w:webHidden/>
          </w:rPr>
          <w:t>10</w:t>
        </w:r>
        <w:r w:rsidR="00932D42">
          <w:rPr>
            <w:noProof/>
            <w:webHidden/>
          </w:rPr>
          <w:fldChar w:fldCharType="end"/>
        </w:r>
      </w:hyperlink>
    </w:p>
    <w:p w14:paraId="4FA8F64D" w14:textId="78A6118E" w:rsidR="00932D42" w:rsidRDefault="006C38E9">
      <w:pPr>
        <w:pStyle w:val="TableofFigures"/>
        <w:rPr>
          <w:rFonts w:asciiTheme="minorHAnsi" w:eastAsiaTheme="minorEastAsia" w:hAnsiTheme="minorHAnsi" w:cstheme="minorBidi"/>
          <w:noProof/>
          <w:color w:val="auto"/>
          <w:sz w:val="22"/>
          <w:szCs w:val="22"/>
        </w:rPr>
      </w:pPr>
      <w:hyperlink w:anchor="_Toc69387669" w:history="1">
        <w:r w:rsidR="00932D42" w:rsidRPr="00930F9F">
          <w:rPr>
            <w:rStyle w:val="Hyperlink"/>
            <w:rFonts w:eastAsiaTheme="majorEastAsia"/>
            <w:noProof/>
          </w:rPr>
          <w:t>Figure 5. Flow to South Australia from July 2019 to July 2020 showing the (a) contribution of environmental water (eWater) and (b) source of all (environmental and consumptive) water (MDBA). CEW = Commonwealth environmental water. Modelled flow under natural conditions is shown by the dotted black line. ‘Bigmod salinity routines’ was used as a proxy for transport of biological matter, to estimate the proportion of the flow that originated at different upstream tributaries.</w:t>
        </w:r>
        <w:r w:rsidR="00932D42">
          <w:rPr>
            <w:noProof/>
            <w:webHidden/>
          </w:rPr>
          <w:tab/>
        </w:r>
        <w:r w:rsidR="00932D42">
          <w:rPr>
            <w:noProof/>
            <w:webHidden/>
          </w:rPr>
          <w:fldChar w:fldCharType="begin"/>
        </w:r>
        <w:r w:rsidR="00932D42">
          <w:rPr>
            <w:noProof/>
            <w:webHidden/>
          </w:rPr>
          <w:instrText xml:space="preserve"> PAGEREF _Toc69387669 \h </w:instrText>
        </w:r>
        <w:r w:rsidR="00932D42">
          <w:rPr>
            <w:noProof/>
            <w:webHidden/>
          </w:rPr>
        </w:r>
        <w:r w:rsidR="00932D42">
          <w:rPr>
            <w:noProof/>
            <w:webHidden/>
          </w:rPr>
          <w:fldChar w:fldCharType="separate"/>
        </w:r>
        <w:r w:rsidR="00593FFB">
          <w:rPr>
            <w:noProof/>
            <w:webHidden/>
          </w:rPr>
          <w:t>12</w:t>
        </w:r>
        <w:r w:rsidR="00932D42">
          <w:rPr>
            <w:noProof/>
            <w:webHidden/>
          </w:rPr>
          <w:fldChar w:fldCharType="end"/>
        </w:r>
      </w:hyperlink>
    </w:p>
    <w:p w14:paraId="1FFDC303" w14:textId="4972605C" w:rsidR="00932D42" w:rsidRDefault="006C38E9">
      <w:pPr>
        <w:pStyle w:val="TableofFigures"/>
        <w:rPr>
          <w:rFonts w:asciiTheme="minorHAnsi" w:eastAsiaTheme="minorEastAsia" w:hAnsiTheme="minorHAnsi" w:cstheme="minorBidi"/>
          <w:noProof/>
          <w:color w:val="auto"/>
          <w:sz w:val="22"/>
          <w:szCs w:val="22"/>
        </w:rPr>
      </w:pPr>
      <w:hyperlink w:anchor="_Toc69387670" w:history="1">
        <w:r w:rsidR="00932D42" w:rsidRPr="00930F9F">
          <w:rPr>
            <w:rStyle w:val="Hyperlink"/>
            <w:rFonts w:eastAsiaTheme="majorEastAsia"/>
            <w:noProof/>
          </w:rPr>
          <w:t>Figure 6. Discharge (flow to South Australia), inundated area between Wellington and Lock 6, and length of river with faster flowing velocities (v&gt;0.2 m/s and v&gt;0.3 m/s) for the Lower Murray River (LMR) between Locks 1 &amp; 6 (excluding anabranches). Total length of river assessed for the length of river metrics in the LMR = 345 km.</w:t>
        </w:r>
        <w:r w:rsidR="00932D42">
          <w:rPr>
            <w:noProof/>
            <w:webHidden/>
          </w:rPr>
          <w:tab/>
        </w:r>
        <w:r w:rsidR="00932D42">
          <w:rPr>
            <w:noProof/>
            <w:webHidden/>
          </w:rPr>
          <w:fldChar w:fldCharType="begin"/>
        </w:r>
        <w:r w:rsidR="00932D42">
          <w:rPr>
            <w:noProof/>
            <w:webHidden/>
          </w:rPr>
          <w:instrText xml:space="preserve"> PAGEREF _Toc69387670 \h </w:instrText>
        </w:r>
        <w:r w:rsidR="00932D42">
          <w:rPr>
            <w:noProof/>
            <w:webHidden/>
          </w:rPr>
        </w:r>
        <w:r w:rsidR="00932D42">
          <w:rPr>
            <w:noProof/>
            <w:webHidden/>
          </w:rPr>
          <w:fldChar w:fldCharType="separate"/>
        </w:r>
        <w:r w:rsidR="00593FFB">
          <w:rPr>
            <w:noProof/>
            <w:webHidden/>
          </w:rPr>
          <w:t>17</w:t>
        </w:r>
        <w:r w:rsidR="00932D42">
          <w:rPr>
            <w:noProof/>
            <w:webHidden/>
          </w:rPr>
          <w:fldChar w:fldCharType="end"/>
        </w:r>
      </w:hyperlink>
    </w:p>
    <w:p w14:paraId="652F182A" w14:textId="44D880E2" w:rsidR="00932D42" w:rsidRDefault="006C38E9">
      <w:pPr>
        <w:pStyle w:val="TableofFigures"/>
        <w:rPr>
          <w:rFonts w:asciiTheme="minorHAnsi" w:eastAsiaTheme="minorEastAsia" w:hAnsiTheme="minorHAnsi" w:cstheme="minorBidi"/>
          <w:noProof/>
          <w:color w:val="auto"/>
          <w:sz w:val="22"/>
          <w:szCs w:val="22"/>
        </w:rPr>
      </w:pPr>
      <w:hyperlink w:anchor="_Toc69387671" w:history="1">
        <w:r w:rsidR="00932D42" w:rsidRPr="00930F9F">
          <w:rPr>
            <w:rStyle w:val="Hyperlink"/>
            <w:rFonts w:eastAsiaTheme="majorEastAsia"/>
            <w:noProof/>
          </w:rPr>
          <w:t xml:space="preserve">Figure 7. Median modelled velocity in each weir pool (line), with the range of velocities </w:t>
        </w:r>
        <w:r w:rsidR="00932D42" w:rsidRPr="00930F9F">
          <w:rPr>
            <w:rStyle w:val="Hyperlink"/>
            <w:noProof/>
            <w:kern w:val="28"/>
          </w:rPr>
          <w:t>within the weir pool (the shaded</w:t>
        </w:r>
        <w:r w:rsidR="00932D42" w:rsidRPr="00930F9F">
          <w:rPr>
            <w:rStyle w:val="Hyperlink"/>
            <w:rFonts w:eastAsiaTheme="minorHAnsi" w:cs="CenturyGothic"/>
            <w:noProof/>
          </w:rPr>
          <w:t xml:space="preserve"> area</w:t>
        </w:r>
        <w:r w:rsidR="00932D42" w:rsidRPr="00930F9F">
          <w:rPr>
            <w:rStyle w:val="Hyperlink"/>
            <w:rFonts w:ascii="CenturyGothic" w:eastAsiaTheme="minorHAnsi" w:hAnsi="CenturyGothic" w:cs="CenturyGothic"/>
            <w:noProof/>
          </w:rPr>
          <w:t>)</w:t>
        </w:r>
        <w:r w:rsidR="00932D42" w:rsidRPr="00930F9F">
          <w:rPr>
            <w:rStyle w:val="Hyperlink"/>
            <w:noProof/>
            <w:kern w:val="28"/>
          </w:rPr>
          <w:t>, defined by the 10</w:t>
        </w:r>
        <w:r w:rsidR="00932D42" w:rsidRPr="00930F9F">
          <w:rPr>
            <w:rStyle w:val="Hyperlink"/>
            <w:noProof/>
            <w:kern w:val="28"/>
            <w:vertAlign w:val="superscript"/>
          </w:rPr>
          <w:t>th</w:t>
        </w:r>
        <w:r w:rsidR="00932D42" w:rsidRPr="00930F9F">
          <w:rPr>
            <w:rStyle w:val="Hyperlink"/>
            <w:noProof/>
            <w:kern w:val="28"/>
          </w:rPr>
          <w:t xml:space="preserve"> and 90</w:t>
        </w:r>
        <w:r w:rsidR="00932D42" w:rsidRPr="00930F9F">
          <w:rPr>
            <w:rStyle w:val="Hyperlink"/>
            <w:noProof/>
            <w:kern w:val="28"/>
            <w:vertAlign w:val="superscript"/>
          </w:rPr>
          <w:t>th</w:t>
        </w:r>
        <w:r w:rsidR="00932D42" w:rsidRPr="00930F9F">
          <w:rPr>
            <w:rStyle w:val="Hyperlink"/>
            <w:noProof/>
            <w:kern w:val="28"/>
          </w:rPr>
          <w:t xml:space="preserve"> percentiles, in the Lower Murray River.</w:t>
        </w:r>
        <w:r w:rsidR="00932D42">
          <w:rPr>
            <w:noProof/>
            <w:webHidden/>
          </w:rPr>
          <w:tab/>
        </w:r>
        <w:r w:rsidR="00932D42">
          <w:rPr>
            <w:noProof/>
            <w:webHidden/>
          </w:rPr>
          <w:fldChar w:fldCharType="begin"/>
        </w:r>
        <w:r w:rsidR="00932D42">
          <w:rPr>
            <w:noProof/>
            <w:webHidden/>
          </w:rPr>
          <w:instrText xml:space="preserve"> PAGEREF _Toc69387671 \h </w:instrText>
        </w:r>
        <w:r w:rsidR="00932D42">
          <w:rPr>
            <w:noProof/>
            <w:webHidden/>
          </w:rPr>
        </w:r>
        <w:r w:rsidR="00932D42">
          <w:rPr>
            <w:noProof/>
            <w:webHidden/>
          </w:rPr>
          <w:fldChar w:fldCharType="separate"/>
        </w:r>
        <w:r w:rsidR="00593FFB">
          <w:rPr>
            <w:noProof/>
            <w:webHidden/>
          </w:rPr>
          <w:t>18</w:t>
        </w:r>
        <w:r w:rsidR="00932D42">
          <w:rPr>
            <w:noProof/>
            <w:webHidden/>
          </w:rPr>
          <w:fldChar w:fldCharType="end"/>
        </w:r>
      </w:hyperlink>
    </w:p>
    <w:p w14:paraId="5ABEE770" w14:textId="27453414" w:rsidR="00932D42" w:rsidRDefault="006C38E9">
      <w:pPr>
        <w:pStyle w:val="TableofFigures"/>
        <w:rPr>
          <w:rFonts w:asciiTheme="minorHAnsi" w:eastAsiaTheme="minorEastAsia" w:hAnsiTheme="minorHAnsi" w:cstheme="minorBidi"/>
          <w:noProof/>
          <w:color w:val="auto"/>
          <w:sz w:val="22"/>
          <w:szCs w:val="22"/>
        </w:rPr>
      </w:pPr>
      <w:hyperlink w:anchor="_Toc69387672" w:history="1">
        <w:r w:rsidR="00932D42" w:rsidRPr="00930F9F">
          <w:rPr>
            <w:rStyle w:val="Hyperlink"/>
            <w:rFonts w:eastAsiaTheme="majorEastAsia"/>
            <w:noProof/>
          </w:rPr>
          <w:t>Figure 8. Modelled water level at the downstream end (i.e. at the lock and weir) of each weir pool in the Lower Murray River.</w:t>
        </w:r>
        <w:r w:rsidR="00932D42">
          <w:rPr>
            <w:noProof/>
            <w:webHidden/>
          </w:rPr>
          <w:tab/>
        </w:r>
        <w:r w:rsidR="00932D42">
          <w:rPr>
            <w:noProof/>
            <w:webHidden/>
          </w:rPr>
          <w:fldChar w:fldCharType="begin"/>
        </w:r>
        <w:r w:rsidR="00932D42">
          <w:rPr>
            <w:noProof/>
            <w:webHidden/>
          </w:rPr>
          <w:instrText xml:space="preserve"> PAGEREF _Toc69387672 \h </w:instrText>
        </w:r>
        <w:r w:rsidR="00932D42">
          <w:rPr>
            <w:noProof/>
            <w:webHidden/>
          </w:rPr>
        </w:r>
        <w:r w:rsidR="00932D42">
          <w:rPr>
            <w:noProof/>
            <w:webHidden/>
          </w:rPr>
          <w:fldChar w:fldCharType="separate"/>
        </w:r>
        <w:r w:rsidR="00593FFB">
          <w:rPr>
            <w:noProof/>
            <w:webHidden/>
          </w:rPr>
          <w:t>19</w:t>
        </w:r>
        <w:r w:rsidR="00932D42">
          <w:rPr>
            <w:noProof/>
            <w:webHidden/>
          </w:rPr>
          <w:fldChar w:fldCharType="end"/>
        </w:r>
      </w:hyperlink>
    </w:p>
    <w:p w14:paraId="68C187E8" w14:textId="097AA6F4" w:rsidR="00932D42" w:rsidRDefault="006C38E9">
      <w:pPr>
        <w:pStyle w:val="TableofFigures"/>
        <w:rPr>
          <w:rFonts w:asciiTheme="minorHAnsi" w:eastAsiaTheme="minorEastAsia" w:hAnsiTheme="minorHAnsi" w:cstheme="minorBidi"/>
          <w:noProof/>
          <w:color w:val="auto"/>
          <w:sz w:val="22"/>
          <w:szCs w:val="22"/>
        </w:rPr>
      </w:pPr>
      <w:hyperlink w:anchor="_Toc69387673" w:history="1">
        <w:r w:rsidR="00932D42" w:rsidRPr="00930F9F">
          <w:rPr>
            <w:rStyle w:val="Hyperlink"/>
            <w:rFonts w:eastAsiaTheme="majorEastAsia"/>
            <w:noProof/>
          </w:rPr>
          <w:t>Figure 9. Modelled water level at the upstream end of each weir pool in the Lower Murray River.</w:t>
        </w:r>
        <w:r w:rsidR="00932D42">
          <w:rPr>
            <w:noProof/>
            <w:webHidden/>
          </w:rPr>
          <w:tab/>
        </w:r>
        <w:r w:rsidR="00932D42">
          <w:rPr>
            <w:noProof/>
            <w:webHidden/>
          </w:rPr>
          <w:fldChar w:fldCharType="begin"/>
        </w:r>
        <w:r w:rsidR="00932D42">
          <w:rPr>
            <w:noProof/>
            <w:webHidden/>
          </w:rPr>
          <w:instrText xml:space="preserve"> PAGEREF _Toc69387673 \h </w:instrText>
        </w:r>
        <w:r w:rsidR="00932D42">
          <w:rPr>
            <w:noProof/>
            <w:webHidden/>
          </w:rPr>
        </w:r>
        <w:r w:rsidR="00932D42">
          <w:rPr>
            <w:noProof/>
            <w:webHidden/>
          </w:rPr>
          <w:fldChar w:fldCharType="separate"/>
        </w:r>
        <w:r w:rsidR="00593FFB">
          <w:rPr>
            <w:noProof/>
            <w:webHidden/>
          </w:rPr>
          <w:t>20</w:t>
        </w:r>
        <w:r w:rsidR="00932D42">
          <w:rPr>
            <w:noProof/>
            <w:webHidden/>
          </w:rPr>
          <w:fldChar w:fldCharType="end"/>
        </w:r>
      </w:hyperlink>
    </w:p>
    <w:p w14:paraId="6387AF6A" w14:textId="4E13E009" w:rsidR="00932D42" w:rsidRDefault="006C38E9">
      <w:pPr>
        <w:pStyle w:val="TableofFigures"/>
        <w:rPr>
          <w:rFonts w:asciiTheme="minorHAnsi" w:eastAsiaTheme="minorEastAsia" w:hAnsiTheme="minorHAnsi" w:cstheme="minorBidi"/>
          <w:noProof/>
          <w:color w:val="auto"/>
          <w:sz w:val="22"/>
          <w:szCs w:val="22"/>
        </w:rPr>
      </w:pPr>
      <w:hyperlink w:anchor="_Toc69387674" w:history="1">
        <w:r w:rsidR="00932D42" w:rsidRPr="00930F9F">
          <w:rPr>
            <w:rStyle w:val="Hyperlink"/>
            <w:rFonts w:eastAsiaTheme="majorEastAsia"/>
            <w:noProof/>
          </w:rPr>
          <w:t>Figure 10. Flow to South Australia over the past six years, where events of similar magnitude and duration have occurred in 2014-15, 2017-18 and 2019-20. The high flow year of 2016-17 peaked at 94,350 ML/d.</w:t>
        </w:r>
        <w:r w:rsidR="00932D42">
          <w:rPr>
            <w:noProof/>
            <w:webHidden/>
          </w:rPr>
          <w:tab/>
        </w:r>
        <w:r w:rsidR="00932D42">
          <w:rPr>
            <w:noProof/>
            <w:webHidden/>
          </w:rPr>
          <w:fldChar w:fldCharType="begin"/>
        </w:r>
        <w:r w:rsidR="00932D42">
          <w:rPr>
            <w:noProof/>
            <w:webHidden/>
          </w:rPr>
          <w:instrText xml:space="preserve"> PAGEREF _Toc69387674 \h </w:instrText>
        </w:r>
        <w:r w:rsidR="00932D42">
          <w:rPr>
            <w:noProof/>
            <w:webHidden/>
          </w:rPr>
        </w:r>
        <w:r w:rsidR="00932D42">
          <w:rPr>
            <w:noProof/>
            <w:webHidden/>
          </w:rPr>
          <w:fldChar w:fldCharType="separate"/>
        </w:r>
        <w:r w:rsidR="00593FFB">
          <w:rPr>
            <w:noProof/>
            <w:webHidden/>
          </w:rPr>
          <w:t>23</w:t>
        </w:r>
        <w:r w:rsidR="00932D42">
          <w:rPr>
            <w:noProof/>
            <w:webHidden/>
          </w:rPr>
          <w:fldChar w:fldCharType="end"/>
        </w:r>
      </w:hyperlink>
    </w:p>
    <w:p w14:paraId="67615111" w14:textId="6F28D961" w:rsidR="00932D42" w:rsidRDefault="006C38E9">
      <w:pPr>
        <w:pStyle w:val="TableofFigures"/>
        <w:rPr>
          <w:rFonts w:asciiTheme="minorHAnsi" w:eastAsiaTheme="minorEastAsia" w:hAnsiTheme="minorHAnsi" w:cstheme="minorBidi"/>
          <w:noProof/>
          <w:color w:val="auto"/>
          <w:sz w:val="22"/>
          <w:szCs w:val="22"/>
        </w:rPr>
      </w:pPr>
      <w:hyperlink w:anchor="_Toc69387675" w:history="1">
        <w:r w:rsidR="00932D42" w:rsidRPr="00930F9F">
          <w:rPr>
            <w:rStyle w:val="Hyperlink"/>
            <w:rFonts w:eastAsiaTheme="majorEastAsia"/>
            <w:noProof/>
          </w:rPr>
          <w:t>Figure 11. 100m average velocity for flow to South Australia of 10,000 ML/d (above) and 15,000 ML/d (below). Locks are indicated as black squares, from Lock 1 to Lock 6.</w:t>
        </w:r>
        <w:r w:rsidR="00932D42">
          <w:rPr>
            <w:noProof/>
            <w:webHidden/>
          </w:rPr>
          <w:tab/>
        </w:r>
        <w:r w:rsidR="00932D42">
          <w:rPr>
            <w:noProof/>
            <w:webHidden/>
          </w:rPr>
          <w:fldChar w:fldCharType="begin"/>
        </w:r>
        <w:r w:rsidR="00932D42">
          <w:rPr>
            <w:noProof/>
            <w:webHidden/>
          </w:rPr>
          <w:instrText xml:space="preserve"> PAGEREF _Toc69387675 \h </w:instrText>
        </w:r>
        <w:r w:rsidR="00932D42">
          <w:rPr>
            <w:noProof/>
            <w:webHidden/>
          </w:rPr>
        </w:r>
        <w:r w:rsidR="00932D42">
          <w:rPr>
            <w:noProof/>
            <w:webHidden/>
          </w:rPr>
          <w:fldChar w:fldCharType="separate"/>
        </w:r>
        <w:r w:rsidR="00593FFB">
          <w:rPr>
            <w:noProof/>
            <w:webHidden/>
          </w:rPr>
          <w:t>26</w:t>
        </w:r>
        <w:r w:rsidR="00932D42">
          <w:rPr>
            <w:noProof/>
            <w:webHidden/>
          </w:rPr>
          <w:fldChar w:fldCharType="end"/>
        </w:r>
      </w:hyperlink>
    </w:p>
    <w:p w14:paraId="1B6FF808" w14:textId="1032A062" w:rsidR="00932D42" w:rsidRDefault="006C38E9">
      <w:pPr>
        <w:pStyle w:val="TableofFigures"/>
        <w:rPr>
          <w:rFonts w:asciiTheme="minorHAnsi" w:eastAsiaTheme="minorEastAsia" w:hAnsiTheme="minorHAnsi" w:cstheme="minorBidi"/>
          <w:noProof/>
          <w:color w:val="auto"/>
          <w:sz w:val="22"/>
          <w:szCs w:val="22"/>
        </w:rPr>
      </w:pPr>
      <w:hyperlink w:anchor="_Toc69387676" w:history="1">
        <w:r w:rsidR="00932D42" w:rsidRPr="00930F9F">
          <w:rPr>
            <w:rStyle w:val="Hyperlink"/>
            <w:rFonts w:eastAsiaTheme="majorEastAsia"/>
            <w:noProof/>
          </w:rPr>
          <w:t>Figure 12. 100m average velocity for flow to South Australia of 15,000 ML/d and a 1 m weir pool lowering at each lock (above) and 20,000 ML/d with no lowering (below). Locks are indicated as black squares, from Lock 1 to Lock 6.</w:t>
        </w:r>
        <w:r w:rsidR="00932D42">
          <w:rPr>
            <w:noProof/>
            <w:webHidden/>
          </w:rPr>
          <w:tab/>
        </w:r>
        <w:r w:rsidR="00932D42">
          <w:rPr>
            <w:noProof/>
            <w:webHidden/>
          </w:rPr>
          <w:fldChar w:fldCharType="begin"/>
        </w:r>
        <w:r w:rsidR="00932D42">
          <w:rPr>
            <w:noProof/>
            <w:webHidden/>
          </w:rPr>
          <w:instrText xml:space="preserve"> PAGEREF _Toc69387676 \h </w:instrText>
        </w:r>
        <w:r w:rsidR="00932D42">
          <w:rPr>
            <w:noProof/>
            <w:webHidden/>
          </w:rPr>
        </w:r>
        <w:r w:rsidR="00932D42">
          <w:rPr>
            <w:noProof/>
            <w:webHidden/>
          </w:rPr>
          <w:fldChar w:fldCharType="separate"/>
        </w:r>
        <w:r w:rsidR="00593FFB">
          <w:rPr>
            <w:noProof/>
            <w:webHidden/>
          </w:rPr>
          <w:t>27</w:t>
        </w:r>
        <w:r w:rsidR="00932D42">
          <w:rPr>
            <w:noProof/>
            <w:webHidden/>
          </w:rPr>
          <w:fldChar w:fldCharType="end"/>
        </w:r>
      </w:hyperlink>
    </w:p>
    <w:p w14:paraId="318B123D" w14:textId="763CEECB" w:rsidR="00932D42" w:rsidRDefault="006C38E9">
      <w:pPr>
        <w:pStyle w:val="TableofFigures"/>
        <w:rPr>
          <w:rFonts w:asciiTheme="minorHAnsi" w:eastAsiaTheme="minorEastAsia" w:hAnsiTheme="minorHAnsi" w:cstheme="minorBidi"/>
          <w:noProof/>
          <w:color w:val="auto"/>
          <w:sz w:val="22"/>
          <w:szCs w:val="22"/>
        </w:rPr>
      </w:pPr>
      <w:hyperlink w:anchor="_Toc69387677" w:history="1">
        <w:r w:rsidR="00932D42" w:rsidRPr="00930F9F">
          <w:rPr>
            <w:rStyle w:val="Hyperlink"/>
            <w:rFonts w:eastAsiaTheme="majorEastAsia"/>
            <w:noProof/>
          </w:rPr>
          <w:t>Figure 13. 1 km average velocity from Lock 1 to Lock 6 for scenarios of different flows to South Australia and weir pool lowering.</w:t>
        </w:r>
        <w:r w:rsidR="00932D42">
          <w:rPr>
            <w:noProof/>
            <w:webHidden/>
          </w:rPr>
          <w:tab/>
        </w:r>
        <w:r w:rsidR="00932D42">
          <w:rPr>
            <w:noProof/>
            <w:webHidden/>
          </w:rPr>
          <w:fldChar w:fldCharType="begin"/>
        </w:r>
        <w:r w:rsidR="00932D42">
          <w:rPr>
            <w:noProof/>
            <w:webHidden/>
          </w:rPr>
          <w:instrText xml:space="preserve"> PAGEREF _Toc69387677 \h </w:instrText>
        </w:r>
        <w:r w:rsidR="00932D42">
          <w:rPr>
            <w:noProof/>
            <w:webHidden/>
          </w:rPr>
        </w:r>
        <w:r w:rsidR="00932D42">
          <w:rPr>
            <w:noProof/>
            <w:webHidden/>
          </w:rPr>
          <w:fldChar w:fldCharType="separate"/>
        </w:r>
        <w:r w:rsidR="00593FFB">
          <w:rPr>
            <w:noProof/>
            <w:webHidden/>
          </w:rPr>
          <w:t>28</w:t>
        </w:r>
        <w:r w:rsidR="00932D42">
          <w:rPr>
            <w:noProof/>
            <w:webHidden/>
          </w:rPr>
          <w:fldChar w:fldCharType="end"/>
        </w:r>
      </w:hyperlink>
    </w:p>
    <w:p w14:paraId="3F478501" w14:textId="6F4ABB9E" w:rsidR="00932D42" w:rsidRDefault="006C38E9">
      <w:pPr>
        <w:pStyle w:val="TableofFigures"/>
        <w:rPr>
          <w:rFonts w:asciiTheme="minorHAnsi" w:eastAsiaTheme="minorEastAsia" w:hAnsiTheme="minorHAnsi" w:cstheme="minorBidi"/>
          <w:noProof/>
          <w:color w:val="auto"/>
          <w:sz w:val="22"/>
          <w:szCs w:val="22"/>
        </w:rPr>
      </w:pPr>
      <w:hyperlink w:anchor="_Toc69387678" w:history="1">
        <w:r w:rsidR="00932D42" w:rsidRPr="00930F9F">
          <w:rPr>
            <w:rStyle w:val="Hyperlink"/>
            <w:rFonts w:eastAsiaTheme="majorEastAsia"/>
            <w:noProof/>
          </w:rPr>
          <w:t>Figure 14. Modelled water level profile along the Lower Murray, from Lock 1 (274 km) to Lock 6 (620 km), for scenarios with flow increasing from 10,000 ML/d (10 GL/d) to 20,000 ML/d (20 GL/d).</w:t>
        </w:r>
        <w:r w:rsidR="00932D42">
          <w:rPr>
            <w:noProof/>
            <w:webHidden/>
          </w:rPr>
          <w:tab/>
        </w:r>
        <w:r w:rsidR="00932D42">
          <w:rPr>
            <w:noProof/>
            <w:webHidden/>
          </w:rPr>
          <w:fldChar w:fldCharType="begin"/>
        </w:r>
        <w:r w:rsidR="00932D42">
          <w:rPr>
            <w:noProof/>
            <w:webHidden/>
          </w:rPr>
          <w:instrText xml:space="preserve"> PAGEREF _Toc69387678 \h </w:instrText>
        </w:r>
        <w:r w:rsidR="00932D42">
          <w:rPr>
            <w:noProof/>
            <w:webHidden/>
          </w:rPr>
        </w:r>
        <w:r w:rsidR="00932D42">
          <w:rPr>
            <w:noProof/>
            <w:webHidden/>
          </w:rPr>
          <w:fldChar w:fldCharType="separate"/>
        </w:r>
        <w:r w:rsidR="00593FFB">
          <w:rPr>
            <w:noProof/>
            <w:webHidden/>
          </w:rPr>
          <w:t>28</w:t>
        </w:r>
        <w:r w:rsidR="00932D42">
          <w:rPr>
            <w:noProof/>
            <w:webHidden/>
          </w:rPr>
          <w:fldChar w:fldCharType="end"/>
        </w:r>
      </w:hyperlink>
    </w:p>
    <w:p w14:paraId="35C63ED9" w14:textId="60240F15" w:rsidR="00932D42" w:rsidRDefault="006C38E9">
      <w:pPr>
        <w:pStyle w:val="TableofFigures"/>
        <w:rPr>
          <w:rFonts w:asciiTheme="minorHAnsi" w:eastAsiaTheme="minorEastAsia" w:hAnsiTheme="minorHAnsi" w:cstheme="minorBidi"/>
          <w:noProof/>
          <w:color w:val="auto"/>
          <w:sz w:val="22"/>
          <w:szCs w:val="22"/>
        </w:rPr>
      </w:pPr>
      <w:hyperlink w:anchor="_Toc69387679" w:history="1">
        <w:r w:rsidR="00932D42" w:rsidRPr="00930F9F">
          <w:rPr>
            <w:rStyle w:val="Hyperlink"/>
            <w:rFonts w:eastAsiaTheme="majorEastAsia"/>
            <w:noProof/>
          </w:rPr>
          <w:t>Figure 15. Dissolved (DO, ●) and saturated (●) oxygen concentrations, temperature (●) and the daily discharge observed (●) and modelled without CEW (●) and without environmental water (●) at Locks (Lk) 6, 4 and 1.</w:t>
        </w:r>
        <w:r w:rsidR="00932D42">
          <w:rPr>
            <w:noProof/>
            <w:webHidden/>
          </w:rPr>
          <w:tab/>
        </w:r>
        <w:r w:rsidR="00932D42">
          <w:rPr>
            <w:noProof/>
            <w:webHidden/>
          </w:rPr>
          <w:fldChar w:fldCharType="begin"/>
        </w:r>
        <w:r w:rsidR="00932D42">
          <w:rPr>
            <w:noProof/>
            <w:webHidden/>
          </w:rPr>
          <w:instrText xml:space="preserve"> PAGEREF _Toc69387679 \h </w:instrText>
        </w:r>
        <w:r w:rsidR="00932D42">
          <w:rPr>
            <w:noProof/>
            <w:webHidden/>
          </w:rPr>
        </w:r>
        <w:r w:rsidR="00932D42">
          <w:rPr>
            <w:noProof/>
            <w:webHidden/>
          </w:rPr>
          <w:fldChar w:fldCharType="separate"/>
        </w:r>
        <w:r w:rsidR="00593FFB">
          <w:rPr>
            <w:noProof/>
            <w:webHidden/>
          </w:rPr>
          <w:t>33</w:t>
        </w:r>
        <w:r w:rsidR="00932D42">
          <w:rPr>
            <w:noProof/>
            <w:webHidden/>
          </w:rPr>
          <w:fldChar w:fldCharType="end"/>
        </w:r>
      </w:hyperlink>
    </w:p>
    <w:p w14:paraId="1165C940" w14:textId="0577050B" w:rsidR="00932D42" w:rsidRDefault="006C38E9">
      <w:pPr>
        <w:pStyle w:val="TableofFigures"/>
        <w:rPr>
          <w:rFonts w:asciiTheme="minorHAnsi" w:eastAsiaTheme="minorEastAsia" w:hAnsiTheme="minorHAnsi" w:cstheme="minorBidi"/>
          <w:noProof/>
          <w:color w:val="auto"/>
          <w:sz w:val="22"/>
          <w:szCs w:val="22"/>
        </w:rPr>
      </w:pPr>
      <w:hyperlink w:anchor="_Toc69387680" w:history="1">
        <w:r w:rsidR="00932D42" w:rsidRPr="00930F9F">
          <w:rPr>
            <w:rStyle w:val="Hyperlink"/>
            <w:rFonts w:eastAsiaTheme="majorEastAsia"/>
            <w:noProof/>
          </w:rPr>
          <w:t>Figure 16. The relationship between the gas exchange coefficient (k) and water velocity at Lock 6 (●), Lock 4 (●) and Lock 1 (●) during 2019-20.</w:t>
        </w:r>
        <w:r w:rsidR="00932D42">
          <w:rPr>
            <w:noProof/>
            <w:webHidden/>
          </w:rPr>
          <w:tab/>
        </w:r>
        <w:r w:rsidR="00932D42">
          <w:rPr>
            <w:noProof/>
            <w:webHidden/>
          </w:rPr>
          <w:fldChar w:fldCharType="begin"/>
        </w:r>
        <w:r w:rsidR="00932D42">
          <w:rPr>
            <w:noProof/>
            <w:webHidden/>
          </w:rPr>
          <w:instrText xml:space="preserve"> PAGEREF _Toc69387680 \h </w:instrText>
        </w:r>
        <w:r w:rsidR="00932D42">
          <w:rPr>
            <w:noProof/>
            <w:webHidden/>
          </w:rPr>
        </w:r>
        <w:r w:rsidR="00932D42">
          <w:rPr>
            <w:noProof/>
            <w:webHidden/>
          </w:rPr>
          <w:fldChar w:fldCharType="separate"/>
        </w:r>
        <w:r w:rsidR="00593FFB">
          <w:rPr>
            <w:noProof/>
            <w:webHidden/>
          </w:rPr>
          <w:t>34</w:t>
        </w:r>
        <w:r w:rsidR="00932D42">
          <w:rPr>
            <w:noProof/>
            <w:webHidden/>
          </w:rPr>
          <w:fldChar w:fldCharType="end"/>
        </w:r>
      </w:hyperlink>
    </w:p>
    <w:p w14:paraId="08E65B7E" w14:textId="78EE8D83" w:rsidR="00932D42" w:rsidRDefault="006C38E9">
      <w:pPr>
        <w:pStyle w:val="TableofFigures"/>
        <w:rPr>
          <w:rFonts w:asciiTheme="minorHAnsi" w:eastAsiaTheme="minorEastAsia" w:hAnsiTheme="minorHAnsi" w:cstheme="minorBidi"/>
          <w:noProof/>
          <w:color w:val="auto"/>
          <w:sz w:val="22"/>
          <w:szCs w:val="22"/>
        </w:rPr>
      </w:pPr>
      <w:hyperlink w:anchor="_Toc69387681" w:history="1">
        <w:r w:rsidR="00932D42" w:rsidRPr="00930F9F">
          <w:rPr>
            <w:rStyle w:val="Hyperlink"/>
            <w:rFonts w:eastAsiaTheme="majorEastAsia"/>
            <w:noProof/>
          </w:rPr>
          <w:t>Figure 17. Daily gross photosynthesis (GPP) and ecosystem respiration (ER) rates at each of the three monitoring sites.</w:t>
        </w:r>
        <w:r w:rsidR="00932D42">
          <w:rPr>
            <w:noProof/>
            <w:webHidden/>
          </w:rPr>
          <w:tab/>
        </w:r>
        <w:r w:rsidR="00932D42">
          <w:rPr>
            <w:noProof/>
            <w:webHidden/>
          </w:rPr>
          <w:fldChar w:fldCharType="begin"/>
        </w:r>
        <w:r w:rsidR="00932D42">
          <w:rPr>
            <w:noProof/>
            <w:webHidden/>
          </w:rPr>
          <w:instrText xml:space="preserve"> PAGEREF _Toc69387681 \h </w:instrText>
        </w:r>
        <w:r w:rsidR="00932D42">
          <w:rPr>
            <w:noProof/>
            <w:webHidden/>
          </w:rPr>
        </w:r>
        <w:r w:rsidR="00932D42">
          <w:rPr>
            <w:noProof/>
            <w:webHidden/>
          </w:rPr>
          <w:fldChar w:fldCharType="separate"/>
        </w:r>
        <w:r w:rsidR="00593FFB">
          <w:rPr>
            <w:noProof/>
            <w:webHidden/>
          </w:rPr>
          <w:t>35</w:t>
        </w:r>
        <w:r w:rsidR="00932D42">
          <w:rPr>
            <w:noProof/>
            <w:webHidden/>
          </w:rPr>
          <w:fldChar w:fldCharType="end"/>
        </w:r>
      </w:hyperlink>
    </w:p>
    <w:p w14:paraId="0850AFF1" w14:textId="57483124" w:rsidR="00932D42" w:rsidRDefault="006C38E9">
      <w:pPr>
        <w:pStyle w:val="TableofFigures"/>
        <w:rPr>
          <w:rFonts w:asciiTheme="minorHAnsi" w:eastAsiaTheme="minorEastAsia" w:hAnsiTheme="minorHAnsi" w:cstheme="minorBidi"/>
          <w:noProof/>
          <w:color w:val="auto"/>
          <w:sz w:val="22"/>
          <w:szCs w:val="22"/>
        </w:rPr>
      </w:pPr>
      <w:hyperlink w:anchor="_Toc69387682" w:history="1">
        <w:r w:rsidR="00932D42" w:rsidRPr="00930F9F">
          <w:rPr>
            <w:rStyle w:val="Hyperlink"/>
            <w:rFonts w:eastAsiaTheme="majorEastAsia"/>
            <w:noProof/>
          </w:rPr>
          <w:t>Figure 18. The response during 2019-20 of GPP per unit chlorophyll to the mean irradiance of the water column at Lock 6 (●), Lock 4 (●) and Lock 1 (●) when water velocities were greater than 0.18 m/s. Regression, y = 0.70x+34.2, r</w:t>
        </w:r>
        <w:r w:rsidR="00932D42" w:rsidRPr="00930F9F">
          <w:rPr>
            <w:rStyle w:val="Hyperlink"/>
            <w:rFonts w:eastAsiaTheme="majorEastAsia"/>
            <w:noProof/>
            <w:vertAlign w:val="superscript"/>
          </w:rPr>
          <w:t>2</w:t>
        </w:r>
        <w:r w:rsidR="00932D42" w:rsidRPr="00930F9F">
          <w:rPr>
            <w:rStyle w:val="Hyperlink"/>
            <w:rFonts w:eastAsiaTheme="majorEastAsia"/>
            <w:noProof/>
          </w:rPr>
          <w:t>=0.35.</w:t>
        </w:r>
        <w:r w:rsidR="00932D42">
          <w:rPr>
            <w:noProof/>
            <w:webHidden/>
          </w:rPr>
          <w:tab/>
        </w:r>
        <w:r w:rsidR="00932D42">
          <w:rPr>
            <w:noProof/>
            <w:webHidden/>
          </w:rPr>
          <w:fldChar w:fldCharType="begin"/>
        </w:r>
        <w:r w:rsidR="00932D42">
          <w:rPr>
            <w:noProof/>
            <w:webHidden/>
          </w:rPr>
          <w:instrText xml:space="preserve"> PAGEREF _Toc69387682 \h </w:instrText>
        </w:r>
        <w:r w:rsidR="00932D42">
          <w:rPr>
            <w:noProof/>
            <w:webHidden/>
          </w:rPr>
        </w:r>
        <w:r w:rsidR="00932D42">
          <w:rPr>
            <w:noProof/>
            <w:webHidden/>
          </w:rPr>
          <w:fldChar w:fldCharType="separate"/>
        </w:r>
        <w:r w:rsidR="00593FFB">
          <w:rPr>
            <w:noProof/>
            <w:webHidden/>
          </w:rPr>
          <w:t>36</w:t>
        </w:r>
        <w:r w:rsidR="00932D42">
          <w:rPr>
            <w:noProof/>
            <w:webHidden/>
          </w:rPr>
          <w:fldChar w:fldCharType="end"/>
        </w:r>
      </w:hyperlink>
    </w:p>
    <w:p w14:paraId="1A7A68C0" w14:textId="32C455E1" w:rsidR="00932D42" w:rsidRDefault="006C38E9">
      <w:pPr>
        <w:pStyle w:val="TableofFigures"/>
        <w:rPr>
          <w:rFonts w:asciiTheme="minorHAnsi" w:eastAsiaTheme="minorEastAsia" w:hAnsiTheme="minorHAnsi" w:cstheme="minorBidi"/>
          <w:noProof/>
          <w:color w:val="auto"/>
          <w:sz w:val="22"/>
          <w:szCs w:val="22"/>
        </w:rPr>
      </w:pPr>
      <w:hyperlink w:anchor="_Toc69387683" w:history="1">
        <w:r w:rsidR="00932D42" w:rsidRPr="00930F9F">
          <w:rPr>
            <w:rStyle w:val="Hyperlink"/>
            <w:rFonts w:eastAsiaTheme="majorEastAsia"/>
            <w:noProof/>
          </w:rPr>
          <w:t>Figure 19. (Left) The average depths at (a) Lock 6, (b) Lock 4 and (c) Lock 1 observed (●), and for modelled flows without CEW (●), and without environmental water (EW) (●), and the fractional reduction in GPP(b) due to the increased depths associated with CEW (●) and without EW (●). (Right) The fractional change in cross-sectional GPP due to the combined change in depth and cross-sectional area for modelled flows without CEW (●) and without EW (●).</w:t>
        </w:r>
        <w:r w:rsidR="00932D42">
          <w:rPr>
            <w:noProof/>
            <w:webHidden/>
          </w:rPr>
          <w:tab/>
        </w:r>
        <w:r w:rsidR="00932D42">
          <w:rPr>
            <w:noProof/>
            <w:webHidden/>
          </w:rPr>
          <w:fldChar w:fldCharType="begin"/>
        </w:r>
        <w:r w:rsidR="00932D42">
          <w:rPr>
            <w:noProof/>
            <w:webHidden/>
          </w:rPr>
          <w:instrText xml:space="preserve"> PAGEREF _Toc69387683 \h </w:instrText>
        </w:r>
        <w:r w:rsidR="00932D42">
          <w:rPr>
            <w:noProof/>
            <w:webHidden/>
          </w:rPr>
        </w:r>
        <w:r w:rsidR="00932D42">
          <w:rPr>
            <w:noProof/>
            <w:webHidden/>
          </w:rPr>
          <w:fldChar w:fldCharType="separate"/>
        </w:r>
        <w:r w:rsidR="00593FFB">
          <w:rPr>
            <w:noProof/>
            <w:webHidden/>
          </w:rPr>
          <w:t>37</w:t>
        </w:r>
        <w:r w:rsidR="00932D42">
          <w:rPr>
            <w:noProof/>
            <w:webHidden/>
          </w:rPr>
          <w:fldChar w:fldCharType="end"/>
        </w:r>
      </w:hyperlink>
    </w:p>
    <w:p w14:paraId="65114A11" w14:textId="32EDC273" w:rsidR="00932D42" w:rsidRDefault="006C38E9">
      <w:pPr>
        <w:pStyle w:val="TableofFigures"/>
        <w:rPr>
          <w:rFonts w:asciiTheme="minorHAnsi" w:eastAsiaTheme="minorEastAsia" w:hAnsiTheme="minorHAnsi" w:cstheme="minorBidi"/>
          <w:noProof/>
          <w:color w:val="auto"/>
          <w:sz w:val="22"/>
          <w:szCs w:val="22"/>
        </w:rPr>
      </w:pPr>
      <w:hyperlink w:anchor="_Toc69387684" w:history="1">
        <w:r w:rsidR="00932D42" w:rsidRPr="00930F9F">
          <w:rPr>
            <w:rStyle w:val="Hyperlink"/>
            <w:rFonts w:eastAsiaTheme="majorEastAsia"/>
            <w:noProof/>
          </w:rPr>
          <w:t>Figure 20. Respiration (a) and net production rates (b) of phytoplankton (●), bacteria (●) and net production of both combined (●) for all sites during 2019-20.</w:t>
        </w:r>
        <w:r w:rsidR="00932D42">
          <w:rPr>
            <w:noProof/>
            <w:webHidden/>
          </w:rPr>
          <w:tab/>
        </w:r>
        <w:r w:rsidR="00932D42">
          <w:rPr>
            <w:noProof/>
            <w:webHidden/>
          </w:rPr>
          <w:fldChar w:fldCharType="begin"/>
        </w:r>
        <w:r w:rsidR="00932D42">
          <w:rPr>
            <w:noProof/>
            <w:webHidden/>
          </w:rPr>
          <w:instrText xml:space="preserve"> PAGEREF _Toc69387684 \h </w:instrText>
        </w:r>
        <w:r w:rsidR="00932D42">
          <w:rPr>
            <w:noProof/>
            <w:webHidden/>
          </w:rPr>
        </w:r>
        <w:r w:rsidR="00932D42">
          <w:rPr>
            <w:noProof/>
            <w:webHidden/>
          </w:rPr>
          <w:fldChar w:fldCharType="separate"/>
        </w:r>
        <w:r w:rsidR="00593FFB">
          <w:rPr>
            <w:noProof/>
            <w:webHidden/>
          </w:rPr>
          <w:t>39</w:t>
        </w:r>
        <w:r w:rsidR="00932D42">
          <w:rPr>
            <w:noProof/>
            <w:webHidden/>
          </w:rPr>
          <w:fldChar w:fldCharType="end"/>
        </w:r>
      </w:hyperlink>
    </w:p>
    <w:p w14:paraId="6353507B" w14:textId="7AAA89BF" w:rsidR="00932D42" w:rsidRDefault="006C38E9">
      <w:pPr>
        <w:pStyle w:val="TableofFigures"/>
        <w:rPr>
          <w:rFonts w:asciiTheme="minorHAnsi" w:eastAsiaTheme="minorEastAsia" w:hAnsiTheme="minorHAnsi" w:cstheme="minorBidi"/>
          <w:noProof/>
          <w:color w:val="auto"/>
          <w:sz w:val="22"/>
          <w:szCs w:val="22"/>
        </w:rPr>
      </w:pPr>
      <w:hyperlink w:anchor="_Toc69387685" w:history="1">
        <w:r w:rsidR="00932D42" w:rsidRPr="00930F9F">
          <w:rPr>
            <w:rStyle w:val="Hyperlink"/>
            <w:rFonts w:eastAsiaTheme="majorEastAsia"/>
            <w:noProof/>
          </w:rPr>
          <w:t xml:space="preserve">Figure 21. (a) Cumulative contributions of water sources to total flow at the South Australian border with additional flow due to Darling River (●), Victorian Tributaries (●), Murrumbidgee River (●), Lake Victoria (●) and the Murray River (●). (b) Turbidity at Lock 6 (●), Lock 4 (●) and Lock1 (●) and </w:t>
        </w:r>
        <w:r w:rsidR="00932D42" w:rsidRPr="00930F9F">
          <w:rPr>
            <w:rStyle w:val="Hyperlink"/>
            <w:rFonts w:eastAsiaTheme="majorEastAsia"/>
            <w:i/>
            <w:iCs/>
            <w:noProof/>
          </w:rPr>
          <w:t>kd</w:t>
        </w:r>
        <w:r w:rsidR="00932D42" w:rsidRPr="00930F9F">
          <w:rPr>
            <w:rStyle w:val="Hyperlink"/>
            <w:rFonts w:eastAsiaTheme="majorEastAsia"/>
            <w:noProof/>
          </w:rPr>
          <w:t xml:space="preserve"> at Lock 6 (●), Lock 4 (●) and Lock1 (●). (c) Dissolved organic carbon at Lock 6 (●), Lock 4 (●) and Lock1 (●).</w:t>
        </w:r>
        <w:r w:rsidR="00932D42">
          <w:rPr>
            <w:noProof/>
            <w:webHidden/>
          </w:rPr>
          <w:tab/>
        </w:r>
        <w:r w:rsidR="00932D42">
          <w:rPr>
            <w:noProof/>
            <w:webHidden/>
          </w:rPr>
          <w:fldChar w:fldCharType="begin"/>
        </w:r>
        <w:r w:rsidR="00932D42">
          <w:rPr>
            <w:noProof/>
            <w:webHidden/>
          </w:rPr>
          <w:instrText xml:space="preserve"> PAGEREF _Toc69387685 \h </w:instrText>
        </w:r>
        <w:r w:rsidR="00932D42">
          <w:rPr>
            <w:noProof/>
            <w:webHidden/>
          </w:rPr>
        </w:r>
        <w:r w:rsidR="00932D42">
          <w:rPr>
            <w:noProof/>
            <w:webHidden/>
          </w:rPr>
          <w:fldChar w:fldCharType="separate"/>
        </w:r>
        <w:r w:rsidR="00593FFB">
          <w:rPr>
            <w:noProof/>
            <w:webHidden/>
          </w:rPr>
          <w:t>41</w:t>
        </w:r>
        <w:r w:rsidR="00932D42">
          <w:rPr>
            <w:noProof/>
            <w:webHidden/>
          </w:rPr>
          <w:fldChar w:fldCharType="end"/>
        </w:r>
      </w:hyperlink>
    </w:p>
    <w:p w14:paraId="0E436484" w14:textId="3738387A" w:rsidR="00932D42" w:rsidRDefault="006C38E9">
      <w:pPr>
        <w:pStyle w:val="TableofFigures"/>
        <w:rPr>
          <w:rFonts w:asciiTheme="minorHAnsi" w:eastAsiaTheme="minorEastAsia" w:hAnsiTheme="minorHAnsi" w:cstheme="minorBidi"/>
          <w:noProof/>
          <w:color w:val="auto"/>
          <w:sz w:val="22"/>
          <w:szCs w:val="22"/>
        </w:rPr>
      </w:pPr>
      <w:hyperlink w:anchor="_Toc69387686" w:history="1">
        <w:r w:rsidR="00932D42" w:rsidRPr="00930F9F">
          <w:rPr>
            <w:rStyle w:val="Hyperlink"/>
            <w:rFonts w:eastAsiaTheme="majorEastAsia"/>
            <w:noProof/>
          </w:rPr>
          <w:t>Figure 22. (a) Total nitrogen and (b) Total phosphorus at Lock 6 (●), Lock 4 (●) and Lock1 (●).</w:t>
        </w:r>
        <w:r w:rsidR="00932D42">
          <w:rPr>
            <w:noProof/>
            <w:webHidden/>
          </w:rPr>
          <w:tab/>
        </w:r>
        <w:r w:rsidR="00932D42">
          <w:rPr>
            <w:noProof/>
            <w:webHidden/>
          </w:rPr>
          <w:fldChar w:fldCharType="begin"/>
        </w:r>
        <w:r w:rsidR="00932D42">
          <w:rPr>
            <w:noProof/>
            <w:webHidden/>
          </w:rPr>
          <w:instrText xml:space="preserve"> PAGEREF _Toc69387686 \h </w:instrText>
        </w:r>
        <w:r w:rsidR="00932D42">
          <w:rPr>
            <w:noProof/>
            <w:webHidden/>
          </w:rPr>
        </w:r>
        <w:r w:rsidR="00932D42">
          <w:rPr>
            <w:noProof/>
            <w:webHidden/>
          </w:rPr>
          <w:fldChar w:fldCharType="separate"/>
        </w:r>
        <w:r w:rsidR="00593FFB">
          <w:rPr>
            <w:noProof/>
            <w:webHidden/>
          </w:rPr>
          <w:t>42</w:t>
        </w:r>
        <w:r w:rsidR="00932D42">
          <w:rPr>
            <w:noProof/>
            <w:webHidden/>
          </w:rPr>
          <w:fldChar w:fldCharType="end"/>
        </w:r>
      </w:hyperlink>
    </w:p>
    <w:p w14:paraId="4A73C9A9" w14:textId="6A303D51" w:rsidR="00932D42" w:rsidRDefault="006C38E9">
      <w:pPr>
        <w:pStyle w:val="TableofFigures"/>
        <w:rPr>
          <w:rFonts w:asciiTheme="minorHAnsi" w:eastAsiaTheme="minorEastAsia" w:hAnsiTheme="minorHAnsi" w:cstheme="minorBidi"/>
          <w:noProof/>
          <w:color w:val="auto"/>
          <w:sz w:val="22"/>
          <w:szCs w:val="22"/>
        </w:rPr>
      </w:pPr>
      <w:hyperlink w:anchor="_Toc69387687" w:history="1">
        <w:r w:rsidR="00932D42" w:rsidRPr="00930F9F">
          <w:rPr>
            <w:rStyle w:val="Hyperlink"/>
            <w:rFonts w:eastAsiaTheme="majorEastAsia"/>
            <w:noProof/>
          </w:rPr>
          <w:t>Figure 23. Overview of model domain applied in the Matter Transport study of LTIM using TUFLOW-FV. Grid provided courtesy of DEW. Coloured grids in maps on the right-hand side represent depths, i.e. increasing depth from shallow (blue) to deep (red).</w:t>
        </w:r>
        <w:r w:rsidR="00932D42">
          <w:rPr>
            <w:noProof/>
            <w:webHidden/>
          </w:rPr>
          <w:tab/>
        </w:r>
        <w:r w:rsidR="00932D42">
          <w:rPr>
            <w:noProof/>
            <w:webHidden/>
          </w:rPr>
          <w:fldChar w:fldCharType="begin"/>
        </w:r>
        <w:r w:rsidR="00932D42">
          <w:rPr>
            <w:noProof/>
            <w:webHidden/>
          </w:rPr>
          <w:instrText xml:space="preserve"> PAGEREF _Toc69387687 \h </w:instrText>
        </w:r>
        <w:r w:rsidR="00932D42">
          <w:rPr>
            <w:noProof/>
            <w:webHidden/>
          </w:rPr>
        </w:r>
        <w:r w:rsidR="00932D42">
          <w:rPr>
            <w:noProof/>
            <w:webHidden/>
          </w:rPr>
          <w:fldChar w:fldCharType="separate"/>
        </w:r>
        <w:r w:rsidR="00593FFB">
          <w:rPr>
            <w:noProof/>
            <w:webHidden/>
          </w:rPr>
          <w:t>52</w:t>
        </w:r>
        <w:r w:rsidR="00932D42">
          <w:rPr>
            <w:noProof/>
            <w:webHidden/>
          </w:rPr>
          <w:fldChar w:fldCharType="end"/>
        </w:r>
      </w:hyperlink>
    </w:p>
    <w:p w14:paraId="570C2A97" w14:textId="582951FB" w:rsidR="00932D42" w:rsidRDefault="006C38E9">
      <w:pPr>
        <w:pStyle w:val="TableofFigures"/>
        <w:rPr>
          <w:rFonts w:asciiTheme="minorHAnsi" w:eastAsiaTheme="minorEastAsia" w:hAnsiTheme="minorHAnsi" w:cstheme="minorBidi"/>
          <w:noProof/>
          <w:color w:val="auto"/>
          <w:sz w:val="22"/>
          <w:szCs w:val="22"/>
        </w:rPr>
      </w:pPr>
      <w:hyperlink w:anchor="_Toc69387688" w:history="1">
        <w:r w:rsidR="00932D42" w:rsidRPr="00930F9F">
          <w:rPr>
            <w:rStyle w:val="Hyperlink"/>
            <w:rFonts w:eastAsiaTheme="majorEastAsia"/>
            <w:noProof/>
          </w:rPr>
          <w:t>Figure 24. Overview of the flow rates from three water sources assessed by the model simulations. The area plots show the proportion of flow that was considered non-allocated (“no eWater” scenario), the proportion of Commonwealth environmental water (CEWO) and the proportion of non-CEW environmental water (eWater, together with non-allocated is the “no CEW” scenario). The cumulation of all these flows represents the ‘all water” scenario. Flows were applied to the full domain matter transport model at the upstream boundary, which is at Lock 1.</w:t>
        </w:r>
        <w:r w:rsidR="00932D42">
          <w:rPr>
            <w:noProof/>
            <w:webHidden/>
          </w:rPr>
          <w:tab/>
        </w:r>
        <w:r w:rsidR="00932D42">
          <w:rPr>
            <w:noProof/>
            <w:webHidden/>
          </w:rPr>
          <w:fldChar w:fldCharType="begin"/>
        </w:r>
        <w:r w:rsidR="00932D42">
          <w:rPr>
            <w:noProof/>
            <w:webHidden/>
          </w:rPr>
          <w:instrText xml:space="preserve"> PAGEREF _Toc69387688 \h </w:instrText>
        </w:r>
        <w:r w:rsidR="00932D42">
          <w:rPr>
            <w:noProof/>
            <w:webHidden/>
          </w:rPr>
        </w:r>
        <w:r w:rsidR="00932D42">
          <w:rPr>
            <w:noProof/>
            <w:webHidden/>
          </w:rPr>
          <w:fldChar w:fldCharType="separate"/>
        </w:r>
        <w:r w:rsidR="00593FFB">
          <w:rPr>
            <w:noProof/>
            <w:webHidden/>
          </w:rPr>
          <w:t>53</w:t>
        </w:r>
        <w:r w:rsidR="00932D42">
          <w:rPr>
            <w:noProof/>
            <w:webHidden/>
          </w:rPr>
          <w:fldChar w:fldCharType="end"/>
        </w:r>
      </w:hyperlink>
    </w:p>
    <w:p w14:paraId="08CAC6AA" w14:textId="00C22B12" w:rsidR="00932D42" w:rsidRDefault="006C38E9">
      <w:pPr>
        <w:pStyle w:val="TableofFigures"/>
        <w:rPr>
          <w:rFonts w:asciiTheme="minorHAnsi" w:eastAsiaTheme="minorEastAsia" w:hAnsiTheme="minorHAnsi" w:cstheme="minorBidi"/>
          <w:noProof/>
          <w:color w:val="auto"/>
          <w:sz w:val="22"/>
          <w:szCs w:val="22"/>
        </w:rPr>
      </w:pPr>
      <w:hyperlink w:anchor="_Toc69387689" w:history="1">
        <w:r w:rsidR="00932D42" w:rsidRPr="00930F9F">
          <w:rPr>
            <w:rStyle w:val="Hyperlink"/>
            <w:rFonts w:eastAsiaTheme="majorEastAsia"/>
            <w:noProof/>
          </w:rPr>
          <w:t>Figure 25. Modelled cells (circled) used for calculating the modelled concentration of nutrients or salt at the Wellington, Lake Alexandrina Middle and Murray Mouth sites.</w:t>
        </w:r>
        <w:r w:rsidR="00932D42">
          <w:rPr>
            <w:noProof/>
            <w:webHidden/>
          </w:rPr>
          <w:tab/>
        </w:r>
        <w:r w:rsidR="00932D42">
          <w:rPr>
            <w:noProof/>
            <w:webHidden/>
          </w:rPr>
          <w:fldChar w:fldCharType="begin"/>
        </w:r>
        <w:r w:rsidR="00932D42">
          <w:rPr>
            <w:noProof/>
            <w:webHidden/>
          </w:rPr>
          <w:instrText xml:space="preserve"> PAGEREF _Toc69387689 \h </w:instrText>
        </w:r>
        <w:r w:rsidR="00932D42">
          <w:rPr>
            <w:noProof/>
            <w:webHidden/>
          </w:rPr>
        </w:r>
        <w:r w:rsidR="00932D42">
          <w:rPr>
            <w:noProof/>
            <w:webHidden/>
          </w:rPr>
          <w:fldChar w:fldCharType="separate"/>
        </w:r>
        <w:r w:rsidR="00593FFB">
          <w:rPr>
            <w:noProof/>
            <w:webHidden/>
          </w:rPr>
          <w:t>54</w:t>
        </w:r>
        <w:r w:rsidR="00932D42">
          <w:rPr>
            <w:noProof/>
            <w:webHidden/>
          </w:rPr>
          <w:fldChar w:fldCharType="end"/>
        </w:r>
      </w:hyperlink>
    </w:p>
    <w:p w14:paraId="66341922" w14:textId="3ED4CCD0" w:rsidR="00932D42" w:rsidRDefault="006C38E9">
      <w:pPr>
        <w:pStyle w:val="TableofFigures"/>
        <w:rPr>
          <w:rFonts w:asciiTheme="minorHAnsi" w:eastAsiaTheme="minorEastAsia" w:hAnsiTheme="minorHAnsi" w:cstheme="minorBidi"/>
          <w:noProof/>
          <w:color w:val="auto"/>
          <w:sz w:val="22"/>
          <w:szCs w:val="22"/>
        </w:rPr>
      </w:pPr>
      <w:hyperlink w:anchor="_Toc69387690" w:history="1">
        <w:r w:rsidR="00932D42" w:rsidRPr="00930F9F">
          <w:rPr>
            <w:rStyle w:val="Hyperlink"/>
            <w:rFonts w:eastAsiaTheme="majorEastAsia"/>
            <w:noProof/>
          </w:rPr>
          <w:t xml:space="preserve">Figure 26. Fine resolution of the Coorong only domain, used for detailed Coorong salt and nutrient flux calculations, and habitat assessment of </w:t>
        </w:r>
        <w:r w:rsidR="00932D42" w:rsidRPr="00930F9F">
          <w:rPr>
            <w:rStyle w:val="Hyperlink"/>
            <w:rFonts w:eastAsiaTheme="majorEastAsia"/>
            <w:i/>
            <w:iCs/>
            <w:noProof/>
          </w:rPr>
          <w:t xml:space="preserve">Ruppia </w:t>
        </w:r>
        <w:r w:rsidR="00932D42" w:rsidRPr="00930F9F">
          <w:rPr>
            <w:rStyle w:val="Hyperlink"/>
            <w:rFonts w:eastAsiaTheme="majorEastAsia"/>
            <w:noProof/>
          </w:rPr>
          <w:t>and key fish species (Section 2.3.2).</w:t>
        </w:r>
        <w:r w:rsidR="00932D42">
          <w:rPr>
            <w:noProof/>
            <w:webHidden/>
          </w:rPr>
          <w:tab/>
        </w:r>
        <w:r w:rsidR="00932D42">
          <w:rPr>
            <w:noProof/>
            <w:webHidden/>
          </w:rPr>
          <w:fldChar w:fldCharType="begin"/>
        </w:r>
        <w:r w:rsidR="00932D42">
          <w:rPr>
            <w:noProof/>
            <w:webHidden/>
          </w:rPr>
          <w:instrText xml:space="preserve"> PAGEREF _Toc69387690 \h </w:instrText>
        </w:r>
        <w:r w:rsidR="00932D42">
          <w:rPr>
            <w:noProof/>
            <w:webHidden/>
          </w:rPr>
        </w:r>
        <w:r w:rsidR="00932D42">
          <w:rPr>
            <w:noProof/>
            <w:webHidden/>
          </w:rPr>
          <w:fldChar w:fldCharType="separate"/>
        </w:r>
        <w:r w:rsidR="00593FFB">
          <w:rPr>
            <w:noProof/>
            <w:webHidden/>
          </w:rPr>
          <w:t>55</w:t>
        </w:r>
        <w:r w:rsidR="00932D42">
          <w:rPr>
            <w:noProof/>
            <w:webHidden/>
          </w:rPr>
          <w:fldChar w:fldCharType="end"/>
        </w:r>
      </w:hyperlink>
    </w:p>
    <w:p w14:paraId="77B52216" w14:textId="53E1EEDA" w:rsidR="00932D42" w:rsidRDefault="006C38E9">
      <w:pPr>
        <w:pStyle w:val="TableofFigures"/>
        <w:rPr>
          <w:rFonts w:asciiTheme="minorHAnsi" w:eastAsiaTheme="minorEastAsia" w:hAnsiTheme="minorHAnsi" w:cstheme="minorBidi"/>
          <w:noProof/>
          <w:color w:val="auto"/>
          <w:sz w:val="22"/>
          <w:szCs w:val="22"/>
        </w:rPr>
      </w:pPr>
      <w:hyperlink w:anchor="_Toc69387691" w:history="1">
        <w:r w:rsidR="00932D42" w:rsidRPr="00930F9F">
          <w:rPr>
            <w:rStyle w:val="Hyperlink"/>
            <w:rFonts w:eastAsiaTheme="majorEastAsia"/>
            <w:noProof/>
          </w:rPr>
          <w:t>Figure 27. Comparison of measured and simulated salinity along the length of the Coorong lagoon (box-whisker), moving from the Murray Mouth into the South Lagoon. Model simulations for the “All water” (base-case observed conditions), and the no environmental water scenarios (“no eWater” and “no eWater 3yrs”) are shown for July (top) and November 2019 (bottom).</w:t>
        </w:r>
        <w:r w:rsidR="00932D42">
          <w:rPr>
            <w:noProof/>
            <w:webHidden/>
          </w:rPr>
          <w:tab/>
        </w:r>
        <w:r w:rsidR="00932D42">
          <w:rPr>
            <w:noProof/>
            <w:webHidden/>
          </w:rPr>
          <w:fldChar w:fldCharType="begin"/>
        </w:r>
        <w:r w:rsidR="00932D42">
          <w:rPr>
            <w:noProof/>
            <w:webHidden/>
          </w:rPr>
          <w:instrText xml:space="preserve"> PAGEREF _Toc69387691 \h </w:instrText>
        </w:r>
        <w:r w:rsidR="00932D42">
          <w:rPr>
            <w:noProof/>
            <w:webHidden/>
          </w:rPr>
        </w:r>
        <w:r w:rsidR="00932D42">
          <w:rPr>
            <w:noProof/>
            <w:webHidden/>
          </w:rPr>
          <w:fldChar w:fldCharType="separate"/>
        </w:r>
        <w:r w:rsidR="00593FFB">
          <w:rPr>
            <w:noProof/>
            <w:webHidden/>
          </w:rPr>
          <w:t>57</w:t>
        </w:r>
        <w:r w:rsidR="00932D42">
          <w:rPr>
            <w:noProof/>
            <w:webHidden/>
          </w:rPr>
          <w:fldChar w:fldCharType="end"/>
        </w:r>
      </w:hyperlink>
    </w:p>
    <w:p w14:paraId="7AE9A60B" w14:textId="4EA78871" w:rsidR="00932D42" w:rsidRDefault="006C38E9">
      <w:pPr>
        <w:pStyle w:val="TableofFigures"/>
        <w:rPr>
          <w:rFonts w:asciiTheme="minorHAnsi" w:eastAsiaTheme="minorEastAsia" w:hAnsiTheme="minorHAnsi" w:cstheme="minorBidi"/>
          <w:noProof/>
          <w:color w:val="auto"/>
          <w:sz w:val="22"/>
          <w:szCs w:val="22"/>
        </w:rPr>
      </w:pPr>
      <w:hyperlink w:anchor="_Toc69387692" w:history="1">
        <w:r w:rsidR="00932D42" w:rsidRPr="00930F9F">
          <w:rPr>
            <w:rStyle w:val="Hyperlink"/>
            <w:rFonts w:eastAsiaTheme="majorEastAsia"/>
            <w:noProof/>
          </w:rPr>
          <w:t>Figure 28. Comparison of measured and simulated salinity along the length of the Coorong lagoon, moving from the Murray Mouth into the South Lagoon. Model simulations for the “All water” (base-case observed conditions), and the no environmental water scenarios (“no eWater” and “no eWater 3yrs”) are shown for March (top) and June 2020 (bottom).</w:t>
        </w:r>
        <w:r w:rsidR="00932D42">
          <w:rPr>
            <w:noProof/>
            <w:webHidden/>
          </w:rPr>
          <w:tab/>
        </w:r>
        <w:r w:rsidR="00932D42">
          <w:rPr>
            <w:noProof/>
            <w:webHidden/>
          </w:rPr>
          <w:fldChar w:fldCharType="begin"/>
        </w:r>
        <w:r w:rsidR="00932D42">
          <w:rPr>
            <w:noProof/>
            <w:webHidden/>
          </w:rPr>
          <w:instrText xml:space="preserve"> PAGEREF _Toc69387692 \h </w:instrText>
        </w:r>
        <w:r w:rsidR="00932D42">
          <w:rPr>
            <w:noProof/>
            <w:webHidden/>
          </w:rPr>
        </w:r>
        <w:r w:rsidR="00932D42">
          <w:rPr>
            <w:noProof/>
            <w:webHidden/>
          </w:rPr>
          <w:fldChar w:fldCharType="separate"/>
        </w:r>
        <w:r w:rsidR="00593FFB">
          <w:rPr>
            <w:noProof/>
            <w:webHidden/>
          </w:rPr>
          <w:t>58</w:t>
        </w:r>
        <w:r w:rsidR="00932D42">
          <w:rPr>
            <w:noProof/>
            <w:webHidden/>
          </w:rPr>
          <w:fldChar w:fldCharType="end"/>
        </w:r>
      </w:hyperlink>
    </w:p>
    <w:p w14:paraId="7093DE2B" w14:textId="0CCFBF3D" w:rsidR="00932D42" w:rsidRDefault="006C38E9">
      <w:pPr>
        <w:pStyle w:val="TableofFigures"/>
        <w:rPr>
          <w:rFonts w:asciiTheme="minorHAnsi" w:eastAsiaTheme="minorEastAsia" w:hAnsiTheme="minorHAnsi" w:cstheme="minorBidi"/>
          <w:noProof/>
          <w:color w:val="auto"/>
          <w:sz w:val="22"/>
          <w:szCs w:val="22"/>
        </w:rPr>
      </w:pPr>
      <w:hyperlink w:anchor="_Toc69387693" w:history="1">
        <w:r w:rsidR="00932D42" w:rsidRPr="00930F9F">
          <w:rPr>
            <w:rStyle w:val="Hyperlink"/>
            <w:rFonts w:eastAsiaTheme="majorEastAsia"/>
            <w:noProof/>
          </w:rPr>
          <w:t>Figure 29. Cumulative net southward amount of salt mass into the North Lagoon (through Long Point) and South Lagoon (through Parnka Point) in the Coorong from July 2017–June 2020. Scenarios include with “All water”, without environmental water (“no eWater 3 yrs”) and without any environmental water in 2019-20 (“no eWater”). eWater delivery maintained this flux to be close to zero over the period of interest; even one year of no environmental water over the barrages contributes to salt accumulation in the North and South Lagoon. Note that only CEW water contributed to the eWater entering the Coorong (see Appendix D for barrage flow amounts).</w:t>
        </w:r>
        <w:r w:rsidR="00932D42">
          <w:rPr>
            <w:noProof/>
            <w:webHidden/>
          </w:rPr>
          <w:tab/>
        </w:r>
        <w:r w:rsidR="00932D42">
          <w:rPr>
            <w:noProof/>
            <w:webHidden/>
          </w:rPr>
          <w:fldChar w:fldCharType="begin"/>
        </w:r>
        <w:r w:rsidR="00932D42">
          <w:rPr>
            <w:noProof/>
            <w:webHidden/>
          </w:rPr>
          <w:instrText xml:space="preserve"> PAGEREF _Toc69387693 \h </w:instrText>
        </w:r>
        <w:r w:rsidR="00932D42">
          <w:rPr>
            <w:noProof/>
            <w:webHidden/>
          </w:rPr>
        </w:r>
        <w:r w:rsidR="00932D42">
          <w:rPr>
            <w:noProof/>
            <w:webHidden/>
          </w:rPr>
          <w:fldChar w:fldCharType="separate"/>
        </w:r>
        <w:r w:rsidR="00593FFB">
          <w:rPr>
            <w:noProof/>
            <w:webHidden/>
          </w:rPr>
          <w:t>59</w:t>
        </w:r>
        <w:r w:rsidR="00932D42">
          <w:rPr>
            <w:noProof/>
            <w:webHidden/>
          </w:rPr>
          <w:fldChar w:fldCharType="end"/>
        </w:r>
      </w:hyperlink>
    </w:p>
    <w:p w14:paraId="73BF004B" w14:textId="6DB03985" w:rsidR="00932D42" w:rsidRDefault="006C38E9">
      <w:pPr>
        <w:pStyle w:val="TableofFigures"/>
        <w:rPr>
          <w:rFonts w:asciiTheme="minorHAnsi" w:eastAsiaTheme="minorEastAsia" w:hAnsiTheme="minorHAnsi" w:cstheme="minorBidi"/>
          <w:noProof/>
          <w:color w:val="auto"/>
          <w:sz w:val="22"/>
          <w:szCs w:val="22"/>
        </w:rPr>
      </w:pPr>
      <w:hyperlink w:anchor="_Toc69387694" w:history="1">
        <w:r w:rsidR="00932D42" w:rsidRPr="00930F9F">
          <w:rPr>
            <w:rStyle w:val="Hyperlink"/>
            <w:rFonts w:eastAsiaTheme="majorEastAsia"/>
            <w:noProof/>
          </w:rPr>
          <w:t>Figure 30. Nitrogen flux (cumulative net amount) through the Coorong with and without environmental water delivery for July 2017–June 2020. Scenarios included are “All water”, without any environmental water (“no eWater 3 yrs”) and without environmental water for 2019-20 (“no eWater”).</w:t>
        </w:r>
        <w:r w:rsidR="00932D42">
          <w:rPr>
            <w:noProof/>
            <w:webHidden/>
          </w:rPr>
          <w:tab/>
        </w:r>
        <w:r w:rsidR="00932D42">
          <w:rPr>
            <w:noProof/>
            <w:webHidden/>
          </w:rPr>
          <w:fldChar w:fldCharType="begin"/>
        </w:r>
        <w:r w:rsidR="00932D42">
          <w:rPr>
            <w:noProof/>
            <w:webHidden/>
          </w:rPr>
          <w:instrText xml:space="preserve"> PAGEREF _Toc69387694 \h </w:instrText>
        </w:r>
        <w:r w:rsidR="00932D42">
          <w:rPr>
            <w:noProof/>
            <w:webHidden/>
          </w:rPr>
        </w:r>
        <w:r w:rsidR="00932D42">
          <w:rPr>
            <w:noProof/>
            <w:webHidden/>
          </w:rPr>
          <w:fldChar w:fldCharType="separate"/>
        </w:r>
        <w:r w:rsidR="00593FFB">
          <w:rPr>
            <w:noProof/>
            <w:webHidden/>
          </w:rPr>
          <w:t>61</w:t>
        </w:r>
        <w:r w:rsidR="00932D42">
          <w:rPr>
            <w:noProof/>
            <w:webHidden/>
          </w:rPr>
          <w:fldChar w:fldCharType="end"/>
        </w:r>
      </w:hyperlink>
    </w:p>
    <w:p w14:paraId="017B3403" w14:textId="5B482679" w:rsidR="00932D42" w:rsidRDefault="006C38E9">
      <w:pPr>
        <w:pStyle w:val="TableofFigures"/>
        <w:rPr>
          <w:rFonts w:asciiTheme="minorHAnsi" w:eastAsiaTheme="minorEastAsia" w:hAnsiTheme="minorHAnsi" w:cstheme="minorBidi"/>
          <w:noProof/>
          <w:color w:val="auto"/>
          <w:sz w:val="22"/>
          <w:szCs w:val="22"/>
        </w:rPr>
      </w:pPr>
      <w:hyperlink w:anchor="_Toc69387695" w:history="1">
        <w:r w:rsidR="00932D42" w:rsidRPr="00930F9F">
          <w:rPr>
            <w:rStyle w:val="Hyperlink"/>
            <w:rFonts w:eastAsiaTheme="majorEastAsia"/>
            <w:noProof/>
          </w:rPr>
          <w:t xml:space="preserve">Figure 31. Comparison of </w:t>
        </w:r>
        <w:r w:rsidR="00932D42" w:rsidRPr="00930F9F">
          <w:rPr>
            <w:rStyle w:val="Hyperlink"/>
            <w:rFonts w:eastAsiaTheme="majorEastAsia"/>
            <w:i/>
            <w:iCs/>
            <w:noProof/>
          </w:rPr>
          <w:t>Ruppia</w:t>
        </w:r>
        <w:r w:rsidR="00932D42" w:rsidRPr="00930F9F">
          <w:rPr>
            <w:rStyle w:val="Hyperlink"/>
            <w:rFonts w:eastAsiaTheme="majorEastAsia"/>
            <w:noProof/>
          </w:rPr>
          <w:t xml:space="preserve"> HSI (habitat suitability index) values under (a) “All water” (base-case) conditions and (b) no environmental water since 2017 (No eWater 3yrs). The index is computed for each stage of the life-cycle, and the overall suitability is based on where all life-stage requirements are met. More saline conditions in ‘no eWater’ scenario leads to a loss of good habitat in the South Lagoon that meets the requirements of all life-stages.</w:t>
        </w:r>
        <w:r w:rsidR="00932D42">
          <w:rPr>
            <w:noProof/>
            <w:webHidden/>
          </w:rPr>
          <w:tab/>
        </w:r>
        <w:r w:rsidR="00932D42">
          <w:rPr>
            <w:noProof/>
            <w:webHidden/>
          </w:rPr>
          <w:fldChar w:fldCharType="begin"/>
        </w:r>
        <w:r w:rsidR="00932D42">
          <w:rPr>
            <w:noProof/>
            <w:webHidden/>
          </w:rPr>
          <w:instrText xml:space="preserve"> PAGEREF _Toc69387695 \h </w:instrText>
        </w:r>
        <w:r w:rsidR="00932D42">
          <w:rPr>
            <w:noProof/>
            <w:webHidden/>
          </w:rPr>
        </w:r>
        <w:r w:rsidR="00932D42">
          <w:rPr>
            <w:noProof/>
            <w:webHidden/>
          </w:rPr>
          <w:fldChar w:fldCharType="separate"/>
        </w:r>
        <w:r w:rsidR="00593FFB">
          <w:rPr>
            <w:noProof/>
            <w:webHidden/>
          </w:rPr>
          <w:t>70</w:t>
        </w:r>
        <w:r w:rsidR="00932D42">
          <w:rPr>
            <w:noProof/>
            <w:webHidden/>
          </w:rPr>
          <w:fldChar w:fldCharType="end"/>
        </w:r>
      </w:hyperlink>
    </w:p>
    <w:p w14:paraId="6E8706D1" w14:textId="4A80CF93" w:rsidR="00932D42" w:rsidRDefault="006C38E9">
      <w:pPr>
        <w:pStyle w:val="TableofFigures"/>
        <w:rPr>
          <w:rFonts w:asciiTheme="minorHAnsi" w:eastAsiaTheme="minorEastAsia" w:hAnsiTheme="minorHAnsi" w:cstheme="minorBidi"/>
          <w:noProof/>
          <w:color w:val="auto"/>
          <w:sz w:val="22"/>
          <w:szCs w:val="22"/>
        </w:rPr>
      </w:pPr>
      <w:hyperlink w:anchor="_Toc69387696" w:history="1">
        <w:r w:rsidR="00932D42" w:rsidRPr="00930F9F">
          <w:rPr>
            <w:rStyle w:val="Hyperlink"/>
            <w:rFonts w:eastAsiaTheme="majorEastAsia"/>
            <w:noProof/>
          </w:rPr>
          <w:t xml:space="preserve">Figure 32. Habitat area suitable for </w:t>
        </w:r>
        <w:r w:rsidR="00932D42" w:rsidRPr="00930F9F">
          <w:rPr>
            <w:rStyle w:val="Hyperlink"/>
            <w:rFonts w:eastAsiaTheme="majorEastAsia"/>
            <w:i/>
            <w:noProof/>
          </w:rPr>
          <w:t>Ruppia tuberosa</w:t>
        </w:r>
        <w:r w:rsidR="00932D42" w:rsidRPr="00930F9F">
          <w:rPr>
            <w:rStyle w:val="Hyperlink"/>
            <w:rFonts w:eastAsiaTheme="majorEastAsia"/>
            <w:noProof/>
          </w:rPr>
          <w:t xml:space="preserve"> (overall and individual life stages), comparing the “All water” (base-case) and without environmental water (“No eWater” and “No eWater 3 yrs).</w:t>
        </w:r>
        <w:r w:rsidR="00932D42">
          <w:rPr>
            <w:noProof/>
            <w:webHidden/>
          </w:rPr>
          <w:tab/>
        </w:r>
        <w:r w:rsidR="00932D42">
          <w:rPr>
            <w:noProof/>
            <w:webHidden/>
          </w:rPr>
          <w:fldChar w:fldCharType="begin"/>
        </w:r>
        <w:r w:rsidR="00932D42">
          <w:rPr>
            <w:noProof/>
            <w:webHidden/>
          </w:rPr>
          <w:instrText xml:space="preserve"> PAGEREF _Toc69387696 \h </w:instrText>
        </w:r>
        <w:r w:rsidR="00932D42">
          <w:rPr>
            <w:noProof/>
            <w:webHidden/>
          </w:rPr>
        </w:r>
        <w:r w:rsidR="00932D42">
          <w:rPr>
            <w:noProof/>
            <w:webHidden/>
          </w:rPr>
          <w:fldChar w:fldCharType="separate"/>
        </w:r>
        <w:r w:rsidR="00593FFB">
          <w:rPr>
            <w:noProof/>
            <w:webHidden/>
          </w:rPr>
          <w:t>71</w:t>
        </w:r>
        <w:r w:rsidR="00932D42">
          <w:rPr>
            <w:noProof/>
            <w:webHidden/>
          </w:rPr>
          <w:fldChar w:fldCharType="end"/>
        </w:r>
      </w:hyperlink>
    </w:p>
    <w:p w14:paraId="4D1D74D1" w14:textId="7BF0EE2C" w:rsidR="00932D42" w:rsidRDefault="006C38E9">
      <w:pPr>
        <w:pStyle w:val="TableofFigures"/>
        <w:rPr>
          <w:rFonts w:asciiTheme="minorHAnsi" w:eastAsiaTheme="minorEastAsia" w:hAnsiTheme="minorHAnsi" w:cstheme="minorBidi"/>
          <w:noProof/>
          <w:color w:val="auto"/>
          <w:sz w:val="22"/>
          <w:szCs w:val="22"/>
        </w:rPr>
      </w:pPr>
      <w:hyperlink w:anchor="_Toc69387697" w:history="1">
        <w:r w:rsidR="00932D42" w:rsidRPr="00930F9F">
          <w:rPr>
            <w:rStyle w:val="Hyperlink"/>
            <w:rFonts w:eastAsiaTheme="majorEastAsia"/>
            <w:noProof/>
          </w:rPr>
          <w:t>Figure 33. Monthly habitat area “gained” for mulloway due to environmental water delivery (calculated as the difference between habitat in the “All water” (base-case) and “no eWater 3yrs” scenario). Large areas of the South Lagoon have an increase in habitat quality of a maximum of 1, highlighting areas that would not be viable without environmental water, but became suitable due to the ongoing water delivery since 2017-18. The improvement in habitat score means salinity and temperature conditions are suitable for mulloway. Other features of the environment such as food resources, appropriate sediment will also determine whether mulloway expand into a habitat. It may take some time for ecosystem restoration to reach a point where fish populations are supported in the expanded habitat.</w:t>
        </w:r>
        <w:r w:rsidR="00932D42">
          <w:rPr>
            <w:noProof/>
            <w:webHidden/>
          </w:rPr>
          <w:tab/>
        </w:r>
        <w:r w:rsidR="00932D42">
          <w:rPr>
            <w:noProof/>
            <w:webHidden/>
          </w:rPr>
          <w:fldChar w:fldCharType="begin"/>
        </w:r>
        <w:r w:rsidR="00932D42">
          <w:rPr>
            <w:noProof/>
            <w:webHidden/>
          </w:rPr>
          <w:instrText xml:space="preserve"> PAGEREF _Toc69387697 \h </w:instrText>
        </w:r>
        <w:r w:rsidR="00932D42">
          <w:rPr>
            <w:noProof/>
            <w:webHidden/>
          </w:rPr>
        </w:r>
        <w:r w:rsidR="00932D42">
          <w:rPr>
            <w:noProof/>
            <w:webHidden/>
          </w:rPr>
          <w:fldChar w:fldCharType="separate"/>
        </w:r>
        <w:r w:rsidR="00593FFB">
          <w:rPr>
            <w:noProof/>
            <w:webHidden/>
          </w:rPr>
          <w:t>72</w:t>
        </w:r>
        <w:r w:rsidR="00932D42">
          <w:rPr>
            <w:noProof/>
            <w:webHidden/>
          </w:rPr>
          <w:fldChar w:fldCharType="end"/>
        </w:r>
      </w:hyperlink>
    </w:p>
    <w:p w14:paraId="7E1742B9" w14:textId="14A01C6D" w:rsidR="00932D42" w:rsidRDefault="006C38E9">
      <w:pPr>
        <w:pStyle w:val="TableofFigures"/>
        <w:rPr>
          <w:rFonts w:asciiTheme="minorHAnsi" w:eastAsiaTheme="minorEastAsia" w:hAnsiTheme="minorHAnsi" w:cstheme="minorBidi"/>
          <w:noProof/>
          <w:color w:val="auto"/>
          <w:sz w:val="22"/>
          <w:szCs w:val="22"/>
        </w:rPr>
      </w:pPr>
      <w:hyperlink w:anchor="_Toc69387698" w:history="1">
        <w:r w:rsidR="00932D42" w:rsidRPr="00930F9F">
          <w:rPr>
            <w:rStyle w:val="Hyperlink"/>
            <w:rFonts w:eastAsiaTheme="majorEastAsia"/>
            <w:noProof/>
          </w:rPr>
          <w:t>Figure 34. Habitat area of juvenile stages of key fish species for the three scenarios (top). Change in area (%) that would have been in the case of no environmental water is shown in the bottom panel. Environmental water provides a large habitat expansion for all species and this increases year on year. The environmental water modifies the salinity conditions to be expanding the habitat that the fish can exploit. Other features such as food resources and appropriate sediment will also influence whether fish are able to exploit the available habitat.</w:t>
        </w:r>
        <w:r w:rsidR="00932D42">
          <w:rPr>
            <w:noProof/>
            <w:webHidden/>
          </w:rPr>
          <w:tab/>
        </w:r>
        <w:r w:rsidR="00932D42">
          <w:rPr>
            <w:noProof/>
            <w:webHidden/>
          </w:rPr>
          <w:fldChar w:fldCharType="begin"/>
        </w:r>
        <w:r w:rsidR="00932D42">
          <w:rPr>
            <w:noProof/>
            <w:webHidden/>
          </w:rPr>
          <w:instrText xml:space="preserve"> PAGEREF _Toc69387698 \h </w:instrText>
        </w:r>
        <w:r w:rsidR="00932D42">
          <w:rPr>
            <w:noProof/>
            <w:webHidden/>
          </w:rPr>
        </w:r>
        <w:r w:rsidR="00932D42">
          <w:rPr>
            <w:noProof/>
            <w:webHidden/>
          </w:rPr>
          <w:fldChar w:fldCharType="separate"/>
        </w:r>
        <w:r w:rsidR="00593FFB">
          <w:rPr>
            <w:noProof/>
            <w:webHidden/>
          </w:rPr>
          <w:t>73</w:t>
        </w:r>
        <w:r w:rsidR="00932D42">
          <w:rPr>
            <w:noProof/>
            <w:webHidden/>
          </w:rPr>
          <w:fldChar w:fldCharType="end"/>
        </w:r>
      </w:hyperlink>
    </w:p>
    <w:p w14:paraId="5D67BA60" w14:textId="152846C4" w:rsidR="00932D42" w:rsidRDefault="006C38E9">
      <w:pPr>
        <w:pStyle w:val="TableofFigures"/>
        <w:rPr>
          <w:rFonts w:asciiTheme="minorHAnsi" w:eastAsiaTheme="minorEastAsia" w:hAnsiTheme="minorHAnsi" w:cstheme="minorBidi"/>
          <w:noProof/>
          <w:color w:val="auto"/>
          <w:sz w:val="22"/>
          <w:szCs w:val="22"/>
        </w:rPr>
      </w:pPr>
      <w:hyperlink w:anchor="_Toc69387699" w:history="1">
        <w:r w:rsidR="00932D42" w:rsidRPr="00930F9F">
          <w:rPr>
            <w:rStyle w:val="Hyperlink"/>
            <w:rFonts w:eastAsiaTheme="majorEastAsia"/>
            <w:noProof/>
          </w:rPr>
          <w:t>Figure 35. Observed and modelled (without development, without Commonwealth environmental water and without any environmental water) water levels in upper weir pools (tailwaters) below Lock 1, Weir Pool 3 (below Lock 4) and Weir Pool 5 (below Lock 6).</w:t>
        </w:r>
        <w:r w:rsidR="00932D42">
          <w:rPr>
            <w:noProof/>
            <w:webHidden/>
          </w:rPr>
          <w:tab/>
        </w:r>
        <w:r w:rsidR="00932D42">
          <w:rPr>
            <w:noProof/>
            <w:webHidden/>
          </w:rPr>
          <w:fldChar w:fldCharType="begin"/>
        </w:r>
        <w:r w:rsidR="00932D42">
          <w:rPr>
            <w:noProof/>
            <w:webHidden/>
          </w:rPr>
          <w:instrText xml:space="preserve"> PAGEREF _Toc69387699 \h </w:instrText>
        </w:r>
        <w:r w:rsidR="00932D42">
          <w:rPr>
            <w:noProof/>
            <w:webHidden/>
          </w:rPr>
        </w:r>
        <w:r w:rsidR="00932D42">
          <w:rPr>
            <w:noProof/>
            <w:webHidden/>
          </w:rPr>
          <w:fldChar w:fldCharType="separate"/>
        </w:r>
        <w:r w:rsidR="00593FFB">
          <w:rPr>
            <w:noProof/>
            <w:webHidden/>
          </w:rPr>
          <w:t>79</w:t>
        </w:r>
        <w:r w:rsidR="00932D42">
          <w:rPr>
            <w:noProof/>
            <w:webHidden/>
          </w:rPr>
          <w:fldChar w:fldCharType="end"/>
        </w:r>
      </w:hyperlink>
    </w:p>
    <w:p w14:paraId="6F65E8C9" w14:textId="7094114A" w:rsidR="00932D42" w:rsidRDefault="006C38E9">
      <w:pPr>
        <w:pStyle w:val="TableofFigures"/>
        <w:rPr>
          <w:rFonts w:asciiTheme="minorHAnsi" w:eastAsiaTheme="minorEastAsia" w:hAnsiTheme="minorHAnsi" w:cstheme="minorBidi"/>
          <w:noProof/>
          <w:color w:val="auto"/>
          <w:sz w:val="22"/>
          <w:szCs w:val="22"/>
        </w:rPr>
      </w:pPr>
      <w:hyperlink w:anchor="_Toc69387700" w:history="1">
        <w:r w:rsidR="00932D42" w:rsidRPr="00930F9F">
          <w:rPr>
            <w:rStyle w:val="Hyperlink"/>
            <w:rFonts w:eastAsiaTheme="majorEastAsia"/>
            <w:noProof/>
          </w:rPr>
          <w:t>Figure 36. Position of quadrats in relation to maximum water level in when sampled in December 2019.</w:t>
        </w:r>
        <w:r w:rsidR="00932D42">
          <w:rPr>
            <w:noProof/>
            <w:webHidden/>
          </w:rPr>
          <w:tab/>
        </w:r>
        <w:r w:rsidR="00932D42">
          <w:rPr>
            <w:noProof/>
            <w:webHidden/>
          </w:rPr>
          <w:fldChar w:fldCharType="begin"/>
        </w:r>
        <w:r w:rsidR="00932D42">
          <w:rPr>
            <w:noProof/>
            <w:webHidden/>
          </w:rPr>
          <w:instrText xml:space="preserve"> PAGEREF _Toc69387700 \h </w:instrText>
        </w:r>
        <w:r w:rsidR="00932D42">
          <w:rPr>
            <w:noProof/>
            <w:webHidden/>
          </w:rPr>
        </w:r>
        <w:r w:rsidR="00932D42">
          <w:rPr>
            <w:noProof/>
            <w:webHidden/>
          </w:rPr>
          <w:fldChar w:fldCharType="separate"/>
        </w:r>
        <w:r w:rsidR="00593FFB">
          <w:rPr>
            <w:noProof/>
            <w:webHidden/>
          </w:rPr>
          <w:t>80</w:t>
        </w:r>
        <w:r w:rsidR="00932D42">
          <w:rPr>
            <w:noProof/>
            <w:webHidden/>
          </w:rPr>
          <w:fldChar w:fldCharType="end"/>
        </w:r>
      </w:hyperlink>
    </w:p>
    <w:p w14:paraId="33A06726" w14:textId="27125805" w:rsidR="00932D42" w:rsidRDefault="006C38E9">
      <w:pPr>
        <w:pStyle w:val="TableofFigures"/>
        <w:rPr>
          <w:rFonts w:asciiTheme="minorHAnsi" w:eastAsiaTheme="minorEastAsia" w:hAnsiTheme="minorHAnsi" w:cstheme="minorBidi"/>
          <w:noProof/>
          <w:color w:val="auto"/>
          <w:sz w:val="22"/>
          <w:szCs w:val="22"/>
        </w:rPr>
      </w:pPr>
      <w:hyperlink w:anchor="_Toc69387701" w:history="1">
        <w:r w:rsidR="00932D42" w:rsidRPr="00930F9F">
          <w:rPr>
            <w:rStyle w:val="Hyperlink"/>
            <w:rFonts w:eastAsiaTheme="majorEastAsia"/>
            <w:noProof/>
          </w:rPr>
          <w:t>Figure 37. Native species richness (species/quadrat) in each inundation zone in each reach in December 2019.</w:t>
        </w:r>
        <w:r w:rsidR="00932D42">
          <w:rPr>
            <w:noProof/>
            <w:webHidden/>
          </w:rPr>
          <w:tab/>
        </w:r>
        <w:r w:rsidR="00932D42">
          <w:rPr>
            <w:noProof/>
            <w:webHidden/>
          </w:rPr>
          <w:fldChar w:fldCharType="begin"/>
        </w:r>
        <w:r w:rsidR="00932D42">
          <w:rPr>
            <w:noProof/>
            <w:webHidden/>
          </w:rPr>
          <w:instrText xml:space="preserve"> PAGEREF _Toc69387701 \h </w:instrText>
        </w:r>
        <w:r w:rsidR="00932D42">
          <w:rPr>
            <w:noProof/>
            <w:webHidden/>
          </w:rPr>
        </w:r>
        <w:r w:rsidR="00932D42">
          <w:rPr>
            <w:noProof/>
            <w:webHidden/>
          </w:rPr>
          <w:fldChar w:fldCharType="separate"/>
        </w:r>
        <w:r w:rsidR="00593FFB">
          <w:rPr>
            <w:noProof/>
            <w:webHidden/>
          </w:rPr>
          <w:t>82</w:t>
        </w:r>
        <w:r w:rsidR="00932D42">
          <w:rPr>
            <w:noProof/>
            <w:webHidden/>
          </w:rPr>
          <w:fldChar w:fldCharType="end"/>
        </w:r>
      </w:hyperlink>
    </w:p>
    <w:p w14:paraId="2BA1E7A9" w14:textId="011FFC44" w:rsidR="00932D42" w:rsidRDefault="006C38E9">
      <w:pPr>
        <w:pStyle w:val="TableofFigures"/>
        <w:rPr>
          <w:rFonts w:asciiTheme="minorHAnsi" w:eastAsiaTheme="minorEastAsia" w:hAnsiTheme="minorHAnsi" w:cstheme="minorBidi"/>
          <w:noProof/>
          <w:color w:val="auto"/>
          <w:sz w:val="22"/>
          <w:szCs w:val="22"/>
        </w:rPr>
      </w:pPr>
      <w:hyperlink w:anchor="_Toc69387702" w:history="1">
        <w:r w:rsidR="00932D42" w:rsidRPr="00930F9F">
          <w:rPr>
            <w:rStyle w:val="Hyperlink"/>
            <w:rFonts w:eastAsiaTheme="majorEastAsia"/>
            <w:noProof/>
          </w:rPr>
          <w:t>Figure 38. Number of cells occupied by each functional group in each inundation zone in each reach in December 2019</w:t>
        </w:r>
        <w:r w:rsidR="00932D42">
          <w:rPr>
            <w:noProof/>
            <w:webHidden/>
          </w:rPr>
          <w:tab/>
        </w:r>
        <w:r w:rsidR="00932D42">
          <w:rPr>
            <w:noProof/>
            <w:webHidden/>
          </w:rPr>
          <w:fldChar w:fldCharType="begin"/>
        </w:r>
        <w:r w:rsidR="00932D42">
          <w:rPr>
            <w:noProof/>
            <w:webHidden/>
          </w:rPr>
          <w:instrText xml:space="preserve"> PAGEREF _Toc69387702 \h </w:instrText>
        </w:r>
        <w:r w:rsidR="00932D42">
          <w:rPr>
            <w:noProof/>
            <w:webHidden/>
          </w:rPr>
        </w:r>
        <w:r w:rsidR="00932D42">
          <w:rPr>
            <w:noProof/>
            <w:webHidden/>
          </w:rPr>
          <w:fldChar w:fldCharType="separate"/>
        </w:r>
        <w:r w:rsidR="00593FFB">
          <w:rPr>
            <w:noProof/>
            <w:webHidden/>
          </w:rPr>
          <w:t>83</w:t>
        </w:r>
        <w:r w:rsidR="00932D42">
          <w:rPr>
            <w:noProof/>
            <w:webHidden/>
          </w:rPr>
          <w:fldChar w:fldCharType="end"/>
        </w:r>
      </w:hyperlink>
    </w:p>
    <w:p w14:paraId="7D41037A" w14:textId="55E481D6" w:rsidR="00932D42" w:rsidRDefault="006C38E9">
      <w:pPr>
        <w:pStyle w:val="TableofFigures"/>
        <w:rPr>
          <w:rFonts w:asciiTheme="minorHAnsi" w:eastAsiaTheme="minorEastAsia" w:hAnsiTheme="minorHAnsi" w:cstheme="minorBidi"/>
          <w:noProof/>
          <w:color w:val="auto"/>
          <w:sz w:val="22"/>
          <w:szCs w:val="22"/>
        </w:rPr>
      </w:pPr>
      <w:hyperlink w:anchor="_Toc69387703" w:history="1">
        <w:r w:rsidR="00932D42" w:rsidRPr="00930F9F">
          <w:rPr>
            <w:rStyle w:val="Hyperlink"/>
            <w:rFonts w:eastAsiaTheme="majorEastAsia"/>
            <w:noProof/>
          </w:rPr>
          <w:t>Figure 39. nMDS Ordination comparing the plant community in each inundation zone in each reach in December 2019.</w:t>
        </w:r>
        <w:r w:rsidR="00932D42">
          <w:rPr>
            <w:noProof/>
            <w:webHidden/>
          </w:rPr>
          <w:tab/>
        </w:r>
        <w:r w:rsidR="00932D42">
          <w:rPr>
            <w:noProof/>
            <w:webHidden/>
          </w:rPr>
          <w:fldChar w:fldCharType="begin"/>
        </w:r>
        <w:r w:rsidR="00932D42">
          <w:rPr>
            <w:noProof/>
            <w:webHidden/>
          </w:rPr>
          <w:instrText xml:space="preserve"> PAGEREF _Toc69387703 \h </w:instrText>
        </w:r>
        <w:r w:rsidR="00932D42">
          <w:rPr>
            <w:noProof/>
            <w:webHidden/>
          </w:rPr>
        </w:r>
        <w:r w:rsidR="00932D42">
          <w:rPr>
            <w:noProof/>
            <w:webHidden/>
          </w:rPr>
          <w:fldChar w:fldCharType="separate"/>
        </w:r>
        <w:r w:rsidR="00593FFB">
          <w:rPr>
            <w:noProof/>
            <w:webHidden/>
          </w:rPr>
          <w:t>84</w:t>
        </w:r>
        <w:r w:rsidR="00932D42">
          <w:rPr>
            <w:noProof/>
            <w:webHidden/>
          </w:rPr>
          <w:fldChar w:fldCharType="end"/>
        </w:r>
      </w:hyperlink>
    </w:p>
    <w:p w14:paraId="422F4B4B" w14:textId="00964066" w:rsidR="00932D42" w:rsidRDefault="006C38E9">
      <w:pPr>
        <w:pStyle w:val="TableofFigures"/>
        <w:rPr>
          <w:rFonts w:asciiTheme="minorHAnsi" w:eastAsiaTheme="minorEastAsia" w:hAnsiTheme="minorHAnsi" w:cstheme="minorBidi"/>
          <w:noProof/>
          <w:color w:val="auto"/>
          <w:sz w:val="22"/>
          <w:szCs w:val="22"/>
        </w:rPr>
      </w:pPr>
      <w:hyperlink w:anchor="_Toc69387704" w:history="1">
        <w:r w:rsidR="00932D42" w:rsidRPr="00930F9F">
          <w:rPr>
            <w:rStyle w:val="Hyperlink"/>
            <w:rFonts w:eastAsiaTheme="majorEastAsia"/>
            <w:noProof/>
          </w:rPr>
          <w:t xml:space="preserve">Figure 40. Newly germinated </w:t>
        </w:r>
        <w:r w:rsidR="00932D42" w:rsidRPr="00930F9F">
          <w:rPr>
            <w:rStyle w:val="Hyperlink"/>
            <w:rFonts w:eastAsiaTheme="majorEastAsia"/>
            <w:i/>
            <w:iCs/>
            <w:noProof/>
          </w:rPr>
          <w:t>Eucalyptus camaldulensis</w:t>
        </w:r>
        <w:r w:rsidR="00932D42" w:rsidRPr="00930F9F">
          <w:rPr>
            <w:rStyle w:val="Hyperlink"/>
            <w:rFonts w:eastAsiaTheme="majorEastAsia"/>
            <w:noProof/>
          </w:rPr>
          <w:t xml:space="preserve"> (river red gum) seedling in the Lock 4 reach.</w:t>
        </w:r>
        <w:r w:rsidR="00932D42">
          <w:rPr>
            <w:noProof/>
            <w:webHidden/>
          </w:rPr>
          <w:tab/>
        </w:r>
        <w:r w:rsidR="00932D42">
          <w:rPr>
            <w:noProof/>
            <w:webHidden/>
          </w:rPr>
          <w:fldChar w:fldCharType="begin"/>
        </w:r>
        <w:r w:rsidR="00932D42">
          <w:rPr>
            <w:noProof/>
            <w:webHidden/>
          </w:rPr>
          <w:instrText xml:space="preserve"> PAGEREF _Toc69387704 \h </w:instrText>
        </w:r>
        <w:r w:rsidR="00932D42">
          <w:rPr>
            <w:noProof/>
            <w:webHidden/>
          </w:rPr>
        </w:r>
        <w:r w:rsidR="00932D42">
          <w:rPr>
            <w:noProof/>
            <w:webHidden/>
          </w:rPr>
          <w:fldChar w:fldCharType="separate"/>
        </w:r>
        <w:r w:rsidR="00593FFB">
          <w:rPr>
            <w:noProof/>
            <w:webHidden/>
          </w:rPr>
          <w:t>85</w:t>
        </w:r>
        <w:r w:rsidR="00932D42">
          <w:rPr>
            <w:noProof/>
            <w:webHidden/>
          </w:rPr>
          <w:fldChar w:fldCharType="end"/>
        </w:r>
      </w:hyperlink>
    </w:p>
    <w:p w14:paraId="2B684C59" w14:textId="12C275C3" w:rsidR="00932D42" w:rsidRDefault="006C38E9">
      <w:pPr>
        <w:pStyle w:val="TableofFigures"/>
        <w:rPr>
          <w:rFonts w:asciiTheme="minorHAnsi" w:eastAsiaTheme="minorEastAsia" w:hAnsiTheme="minorHAnsi" w:cstheme="minorBidi"/>
          <w:noProof/>
          <w:color w:val="auto"/>
          <w:sz w:val="22"/>
          <w:szCs w:val="22"/>
        </w:rPr>
      </w:pPr>
      <w:hyperlink w:anchor="_Toc69387705" w:history="1">
        <w:r w:rsidR="00932D42" w:rsidRPr="00930F9F">
          <w:rPr>
            <w:rStyle w:val="Hyperlink"/>
            <w:rFonts w:eastAsiaTheme="majorEastAsia"/>
            <w:noProof/>
          </w:rPr>
          <w:t>Figure 41. Above ground biomass in each inundation zone in each reach in December 2019 (error bars = ± 1 SE).</w:t>
        </w:r>
        <w:r w:rsidR="00932D42">
          <w:rPr>
            <w:noProof/>
            <w:webHidden/>
          </w:rPr>
          <w:tab/>
        </w:r>
        <w:r w:rsidR="00932D42">
          <w:rPr>
            <w:noProof/>
            <w:webHidden/>
          </w:rPr>
          <w:fldChar w:fldCharType="begin"/>
        </w:r>
        <w:r w:rsidR="00932D42">
          <w:rPr>
            <w:noProof/>
            <w:webHidden/>
          </w:rPr>
          <w:instrText xml:space="preserve"> PAGEREF _Toc69387705 \h </w:instrText>
        </w:r>
        <w:r w:rsidR="00932D42">
          <w:rPr>
            <w:noProof/>
            <w:webHidden/>
          </w:rPr>
        </w:r>
        <w:r w:rsidR="00932D42">
          <w:rPr>
            <w:noProof/>
            <w:webHidden/>
          </w:rPr>
          <w:fldChar w:fldCharType="separate"/>
        </w:r>
        <w:r w:rsidR="00593FFB">
          <w:rPr>
            <w:noProof/>
            <w:webHidden/>
          </w:rPr>
          <w:t>86</w:t>
        </w:r>
        <w:r w:rsidR="00932D42">
          <w:rPr>
            <w:noProof/>
            <w:webHidden/>
          </w:rPr>
          <w:fldChar w:fldCharType="end"/>
        </w:r>
      </w:hyperlink>
    </w:p>
    <w:p w14:paraId="5B45AC7A" w14:textId="7412F323" w:rsidR="00932D42" w:rsidRDefault="006C38E9">
      <w:pPr>
        <w:pStyle w:val="TableofFigures"/>
        <w:rPr>
          <w:rFonts w:asciiTheme="minorHAnsi" w:eastAsiaTheme="minorEastAsia" w:hAnsiTheme="minorHAnsi" w:cstheme="minorBidi"/>
          <w:noProof/>
          <w:color w:val="auto"/>
          <w:sz w:val="22"/>
          <w:szCs w:val="22"/>
        </w:rPr>
      </w:pPr>
      <w:hyperlink w:anchor="_Toc69387706" w:history="1">
        <w:r w:rsidR="00932D42" w:rsidRPr="00930F9F">
          <w:rPr>
            <w:rStyle w:val="Hyperlink"/>
            <w:rFonts w:eastAsiaTheme="majorEastAsia"/>
            <w:noProof/>
          </w:rPr>
          <w:t>Figure 42. Observed density and taxonomic richness for 2019-20 sampling at each lock. (a) mean density of three sub-samples at each site (lock, indicated by colour) and date. Error bars show 95% confidence limits and horizontal black lines show mean for the water year.</w:t>
        </w:r>
        <w:r w:rsidR="00932D42">
          <w:rPr>
            <w:noProof/>
            <w:webHidden/>
          </w:rPr>
          <w:tab/>
        </w:r>
        <w:r w:rsidR="00932D42">
          <w:rPr>
            <w:noProof/>
            <w:webHidden/>
          </w:rPr>
          <w:fldChar w:fldCharType="begin"/>
        </w:r>
        <w:r w:rsidR="00932D42">
          <w:rPr>
            <w:noProof/>
            <w:webHidden/>
          </w:rPr>
          <w:instrText xml:space="preserve"> PAGEREF _Toc69387706 \h </w:instrText>
        </w:r>
        <w:r w:rsidR="00932D42">
          <w:rPr>
            <w:noProof/>
            <w:webHidden/>
          </w:rPr>
        </w:r>
        <w:r w:rsidR="00932D42">
          <w:rPr>
            <w:noProof/>
            <w:webHidden/>
          </w:rPr>
          <w:fldChar w:fldCharType="separate"/>
        </w:r>
        <w:r w:rsidR="00593FFB">
          <w:rPr>
            <w:noProof/>
            <w:webHidden/>
          </w:rPr>
          <w:t>96</w:t>
        </w:r>
        <w:r w:rsidR="00932D42">
          <w:rPr>
            <w:noProof/>
            <w:webHidden/>
          </w:rPr>
          <w:fldChar w:fldCharType="end"/>
        </w:r>
      </w:hyperlink>
    </w:p>
    <w:p w14:paraId="1AF69C5D" w14:textId="59779392" w:rsidR="00932D42" w:rsidRDefault="006C38E9">
      <w:pPr>
        <w:pStyle w:val="TableofFigures"/>
        <w:rPr>
          <w:rFonts w:asciiTheme="minorHAnsi" w:eastAsiaTheme="minorEastAsia" w:hAnsiTheme="minorHAnsi" w:cstheme="minorBidi"/>
          <w:noProof/>
          <w:color w:val="auto"/>
          <w:sz w:val="22"/>
          <w:szCs w:val="22"/>
        </w:rPr>
      </w:pPr>
      <w:hyperlink w:anchor="_Toc69387707" w:history="1">
        <w:r w:rsidR="00932D42" w:rsidRPr="00930F9F">
          <w:rPr>
            <w:rStyle w:val="Hyperlink"/>
            <w:rFonts w:eastAsiaTheme="majorEastAsia"/>
            <w:noProof/>
          </w:rPr>
          <w:t>Figure 43. Functional group density by sampling date and lock for the 2019-20 season. Three sub-samples were collected at a single sample site located 5 km downstream of each lock shown in the panel caption.</w:t>
        </w:r>
        <w:r w:rsidR="00932D42">
          <w:rPr>
            <w:noProof/>
            <w:webHidden/>
          </w:rPr>
          <w:tab/>
        </w:r>
        <w:r w:rsidR="00932D42">
          <w:rPr>
            <w:noProof/>
            <w:webHidden/>
          </w:rPr>
          <w:fldChar w:fldCharType="begin"/>
        </w:r>
        <w:r w:rsidR="00932D42">
          <w:rPr>
            <w:noProof/>
            <w:webHidden/>
          </w:rPr>
          <w:instrText xml:space="preserve"> PAGEREF _Toc69387707 \h </w:instrText>
        </w:r>
        <w:r w:rsidR="00932D42">
          <w:rPr>
            <w:noProof/>
            <w:webHidden/>
          </w:rPr>
        </w:r>
        <w:r w:rsidR="00932D42">
          <w:rPr>
            <w:noProof/>
            <w:webHidden/>
          </w:rPr>
          <w:fldChar w:fldCharType="separate"/>
        </w:r>
        <w:r w:rsidR="00593FFB">
          <w:rPr>
            <w:noProof/>
            <w:webHidden/>
          </w:rPr>
          <w:t>97</w:t>
        </w:r>
        <w:r w:rsidR="00932D42">
          <w:rPr>
            <w:noProof/>
            <w:webHidden/>
          </w:rPr>
          <w:fldChar w:fldCharType="end"/>
        </w:r>
      </w:hyperlink>
    </w:p>
    <w:p w14:paraId="01D95FAD" w14:textId="77DEF210" w:rsidR="00932D42" w:rsidRDefault="006C38E9">
      <w:pPr>
        <w:pStyle w:val="TableofFigures"/>
        <w:rPr>
          <w:rFonts w:asciiTheme="minorHAnsi" w:eastAsiaTheme="minorEastAsia" w:hAnsiTheme="minorHAnsi" w:cstheme="minorBidi"/>
          <w:noProof/>
          <w:color w:val="auto"/>
          <w:sz w:val="22"/>
          <w:szCs w:val="22"/>
        </w:rPr>
      </w:pPr>
      <w:hyperlink w:anchor="_Toc69387708" w:history="1">
        <w:r w:rsidR="00932D42" w:rsidRPr="00930F9F">
          <w:rPr>
            <w:rStyle w:val="Hyperlink"/>
            <w:rFonts w:eastAsiaTheme="majorEastAsia"/>
            <w:noProof/>
          </w:rPr>
          <w:t xml:space="preserve">Figure 44. Observed and modelled (a) microinvertebrate density (individuals/litre, ind/L) and (b) taxonomic richness (number of taxa) by water year over the period 2014−2020 (2018-19 not sampled). In each panel, observed data (‘Observed’; blue bars) for all samples in the water year shown on the </w:t>
        </w:r>
        <w:r w:rsidR="00932D42" w:rsidRPr="00930F9F">
          <w:rPr>
            <w:rStyle w:val="Hyperlink"/>
            <w:rFonts w:eastAsiaTheme="majorEastAsia"/>
            <w:i/>
            <w:iCs/>
            <w:noProof/>
          </w:rPr>
          <w:t>x</w:t>
        </w:r>
        <w:r w:rsidR="00932D42" w:rsidRPr="00930F9F">
          <w:rPr>
            <w:rStyle w:val="Hyperlink"/>
            <w:rFonts w:eastAsiaTheme="majorEastAsia"/>
            <w:noProof/>
          </w:rPr>
          <w:t>-axis are compared with modelled expectations under two environmental flow scenarios: Under no Commonwealth environmental water delivery (‘No CEW’; orange bars) and if no environmental water were provided at all (‘No eWater’; grey bars). Results of the generalised linear models used to run the scenarios are given in Tables D4 (density) and D5 (taxonomic richness) in Appendix D.</w:t>
        </w:r>
        <w:r w:rsidR="00932D42">
          <w:rPr>
            <w:noProof/>
            <w:webHidden/>
          </w:rPr>
          <w:tab/>
        </w:r>
        <w:r w:rsidR="00932D42">
          <w:rPr>
            <w:noProof/>
            <w:webHidden/>
          </w:rPr>
          <w:fldChar w:fldCharType="begin"/>
        </w:r>
        <w:r w:rsidR="00932D42">
          <w:rPr>
            <w:noProof/>
            <w:webHidden/>
          </w:rPr>
          <w:instrText xml:space="preserve"> PAGEREF _Toc69387708 \h </w:instrText>
        </w:r>
        <w:r w:rsidR="00932D42">
          <w:rPr>
            <w:noProof/>
            <w:webHidden/>
          </w:rPr>
        </w:r>
        <w:r w:rsidR="00932D42">
          <w:rPr>
            <w:noProof/>
            <w:webHidden/>
          </w:rPr>
          <w:fldChar w:fldCharType="separate"/>
        </w:r>
        <w:r w:rsidR="00593FFB">
          <w:rPr>
            <w:noProof/>
            <w:webHidden/>
          </w:rPr>
          <w:t>98</w:t>
        </w:r>
        <w:r w:rsidR="00932D42">
          <w:rPr>
            <w:noProof/>
            <w:webHidden/>
          </w:rPr>
          <w:fldChar w:fldCharType="end"/>
        </w:r>
      </w:hyperlink>
    </w:p>
    <w:p w14:paraId="0B3812B1" w14:textId="0ACA5F5F" w:rsidR="00932D42" w:rsidRDefault="006C38E9">
      <w:pPr>
        <w:pStyle w:val="TableofFigures"/>
        <w:rPr>
          <w:rFonts w:asciiTheme="minorHAnsi" w:eastAsiaTheme="minorEastAsia" w:hAnsiTheme="minorHAnsi" w:cstheme="minorBidi"/>
          <w:noProof/>
          <w:color w:val="auto"/>
          <w:sz w:val="22"/>
          <w:szCs w:val="22"/>
        </w:rPr>
      </w:pPr>
      <w:hyperlink w:anchor="_Toc69387709" w:history="1">
        <w:r w:rsidR="00932D42" w:rsidRPr="00930F9F">
          <w:rPr>
            <w:rStyle w:val="Hyperlink"/>
            <w:rFonts w:eastAsiaTheme="majorEastAsia"/>
            <w:noProof/>
          </w:rPr>
          <w:t>Figure 45. Observed and modelled density (individuals per litre, ind/L) with and without environmental water (a) microinvertebrate taxa dependent on lateral connectivity to floodplains and backwaters and (b) microinvertebrate taxa dependent on longitudinal transport and connectivity with upstream areas by water year over the period 2014−2020 (2018-19 not sampled). In each panel, observed data (‘Observed’; blue bars) for all samples in the water year shown on the x-axis are compared with modelled expectations under two environmental flow scenarios: Under no Commonwealth environmental water delivery (‘No CEW; orange bars) and if no environmental water were provided at all (‘No eWater’; grey bars). Results of the generalised linear models used to run the scenarios are given in Tables D4 (density) and D5 (taxonomic richness) in Appendix D.</w:t>
        </w:r>
        <w:r w:rsidR="00932D42">
          <w:rPr>
            <w:noProof/>
            <w:webHidden/>
          </w:rPr>
          <w:tab/>
        </w:r>
        <w:r w:rsidR="00932D42">
          <w:rPr>
            <w:noProof/>
            <w:webHidden/>
          </w:rPr>
          <w:fldChar w:fldCharType="begin"/>
        </w:r>
        <w:r w:rsidR="00932D42">
          <w:rPr>
            <w:noProof/>
            <w:webHidden/>
          </w:rPr>
          <w:instrText xml:space="preserve"> PAGEREF _Toc69387709 \h </w:instrText>
        </w:r>
        <w:r w:rsidR="00932D42">
          <w:rPr>
            <w:noProof/>
            <w:webHidden/>
          </w:rPr>
        </w:r>
        <w:r w:rsidR="00932D42">
          <w:rPr>
            <w:noProof/>
            <w:webHidden/>
          </w:rPr>
          <w:fldChar w:fldCharType="separate"/>
        </w:r>
        <w:r w:rsidR="00593FFB">
          <w:rPr>
            <w:noProof/>
            <w:webHidden/>
          </w:rPr>
          <w:t>99</w:t>
        </w:r>
        <w:r w:rsidR="00932D42">
          <w:rPr>
            <w:noProof/>
            <w:webHidden/>
          </w:rPr>
          <w:fldChar w:fldCharType="end"/>
        </w:r>
      </w:hyperlink>
    </w:p>
    <w:p w14:paraId="0131D58B" w14:textId="6F674F56" w:rsidR="00932D42" w:rsidRDefault="006C38E9">
      <w:pPr>
        <w:pStyle w:val="TableofFigures"/>
        <w:rPr>
          <w:rFonts w:asciiTheme="minorHAnsi" w:eastAsiaTheme="minorEastAsia" w:hAnsiTheme="minorHAnsi" w:cstheme="minorBidi"/>
          <w:noProof/>
          <w:color w:val="auto"/>
          <w:sz w:val="22"/>
          <w:szCs w:val="22"/>
        </w:rPr>
      </w:pPr>
      <w:hyperlink w:anchor="_Toc69387710" w:history="1">
        <w:r w:rsidR="00932D42" w:rsidRPr="00930F9F">
          <w:rPr>
            <w:rStyle w:val="Hyperlink"/>
            <w:rFonts w:eastAsiaTheme="majorEastAsia"/>
            <w:noProof/>
          </w:rPr>
          <w:t>Figure 46. Observed and modelled density (individuals per litre, ind/L) of microinvertebrate prey taxa for large-bodied fish larvae in the Lower Murray during spring months.</w:t>
        </w:r>
        <w:r w:rsidR="00932D42">
          <w:rPr>
            <w:noProof/>
            <w:webHidden/>
          </w:rPr>
          <w:tab/>
        </w:r>
        <w:r w:rsidR="00932D42">
          <w:rPr>
            <w:noProof/>
            <w:webHidden/>
          </w:rPr>
          <w:fldChar w:fldCharType="begin"/>
        </w:r>
        <w:r w:rsidR="00932D42">
          <w:rPr>
            <w:noProof/>
            <w:webHidden/>
          </w:rPr>
          <w:instrText xml:space="preserve"> PAGEREF _Toc69387710 \h </w:instrText>
        </w:r>
        <w:r w:rsidR="00932D42">
          <w:rPr>
            <w:noProof/>
            <w:webHidden/>
          </w:rPr>
        </w:r>
        <w:r w:rsidR="00932D42">
          <w:rPr>
            <w:noProof/>
            <w:webHidden/>
          </w:rPr>
          <w:fldChar w:fldCharType="separate"/>
        </w:r>
        <w:r w:rsidR="00593FFB">
          <w:rPr>
            <w:noProof/>
            <w:webHidden/>
          </w:rPr>
          <w:t>100</w:t>
        </w:r>
        <w:r w:rsidR="00932D42">
          <w:rPr>
            <w:noProof/>
            <w:webHidden/>
          </w:rPr>
          <w:fldChar w:fldCharType="end"/>
        </w:r>
      </w:hyperlink>
    </w:p>
    <w:p w14:paraId="6FD9D34E" w14:textId="63229D64" w:rsidR="00932D42" w:rsidRDefault="006C38E9">
      <w:pPr>
        <w:pStyle w:val="TableofFigures"/>
        <w:rPr>
          <w:rFonts w:asciiTheme="minorHAnsi" w:eastAsiaTheme="minorEastAsia" w:hAnsiTheme="minorHAnsi" w:cstheme="minorBidi"/>
          <w:noProof/>
          <w:color w:val="auto"/>
          <w:sz w:val="22"/>
          <w:szCs w:val="22"/>
        </w:rPr>
      </w:pPr>
      <w:hyperlink w:anchor="_Toc69387711" w:history="1">
        <w:r w:rsidR="00932D42" w:rsidRPr="00930F9F">
          <w:rPr>
            <w:rStyle w:val="Hyperlink"/>
            <w:rFonts w:eastAsiaTheme="majorEastAsia"/>
            <w:noProof/>
          </w:rPr>
          <w:t>Figure 47. Mean catch-per-unit-effort (CPUE) ± standard error of golden perch captured during Category 1 Fish Assemblage electrofishing (individuals per 90 second shot) in the gorge geomorphic zone (10 sites) of the Lower Murray River in autumn from 2015–2020. CPUE data from five sites are presented for 2017 as other sites were sampled during winter 2017.</w:t>
        </w:r>
        <w:r w:rsidR="00932D42">
          <w:rPr>
            <w:noProof/>
            <w:webHidden/>
          </w:rPr>
          <w:tab/>
        </w:r>
        <w:r w:rsidR="00932D42">
          <w:rPr>
            <w:noProof/>
            <w:webHidden/>
          </w:rPr>
          <w:fldChar w:fldCharType="begin"/>
        </w:r>
        <w:r w:rsidR="00932D42">
          <w:rPr>
            <w:noProof/>
            <w:webHidden/>
          </w:rPr>
          <w:instrText xml:space="preserve"> PAGEREF _Toc69387711 \h </w:instrText>
        </w:r>
        <w:r w:rsidR="00932D42">
          <w:rPr>
            <w:noProof/>
            <w:webHidden/>
          </w:rPr>
        </w:r>
        <w:r w:rsidR="00932D42">
          <w:rPr>
            <w:noProof/>
            <w:webHidden/>
          </w:rPr>
          <w:fldChar w:fldCharType="separate"/>
        </w:r>
        <w:r w:rsidR="00593FFB">
          <w:rPr>
            <w:noProof/>
            <w:webHidden/>
          </w:rPr>
          <w:t>110</w:t>
        </w:r>
        <w:r w:rsidR="00932D42">
          <w:rPr>
            <w:noProof/>
            <w:webHidden/>
          </w:rPr>
          <w:fldChar w:fldCharType="end"/>
        </w:r>
      </w:hyperlink>
    </w:p>
    <w:p w14:paraId="128C5386" w14:textId="1221AE76" w:rsidR="00932D42" w:rsidRDefault="006C38E9">
      <w:pPr>
        <w:pStyle w:val="TableofFigures"/>
        <w:rPr>
          <w:rFonts w:asciiTheme="minorHAnsi" w:eastAsiaTheme="minorEastAsia" w:hAnsiTheme="minorHAnsi" w:cstheme="minorBidi"/>
          <w:noProof/>
          <w:color w:val="auto"/>
          <w:sz w:val="22"/>
          <w:szCs w:val="22"/>
        </w:rPr>
      </w:pPr>
      <w:hyperlink w:anchor="_Toc69387712" w:history="1">
        <w:r w:rsidR="00932D42" w:rsidRPr="00930F9F">
          <w:rPr>
            <w:rStyle w:val="Hyperlink"/>
            <w:rFonts w:eastAsiaTheme="majorEastAsia"/>
            <w:noProof/>
          </w:rPr>
          <w:t xml:space="preserve">Figure 48. Age frequency distribution of golden perch from the Lower Murray River from 2015–2020, also showing the natal origins of dominant cohorts inferred from otolith core </w:t>
        </w:r>
        <w:r w:rsidR="00932D42" w:rsidRPr="00930F9F">
          <w:rPr>
            <w:rStyle w:val="Hyperlink"/>
            <w:rFonts w:eastAsiaTheme="majorEastAsia"/>
            <w:noProof/>
            <w:vertAlign w:val="superscript"/>
          </w:rPr>
          <w:t>87</w:t>
        </w:r>
        <w:r w:rsidR="00932D42" w:rsidRPr="00930F9F">
          <w:rPr>
            <w:rStyle w:val="Hyperlink"/>
            <w:rFonts w:eastAsiaTheme="majorEastAsia"/>
            <w:noProof/>
          </w:rPr>
          <w:t>Sr/</w:t>
        </w:r>
        <w:r w:rsidR="00932D42" w:rsidRPr="00930F9F">
          <w:rPr>
            <w:rStyle w:val="Hyperlink"/>
            <w:rFonts w:eastAsiaTheme="majorEastAsia"/>
            <w:noProof/>
            <w:vertAlign w:val="superscript"/>
          </w:rPr>
          <w:t>86</w:t>
        </w:r>
        <w:r w:rsidR="00932D42" w:rsidRPr="00930F9F">
          <w:rPr>
            <w:rStyle w:val="Hyperlink"/>
            <w:rFonts w:eastAsiaTheme="majorEastAsia"/>
            <w:noProof/>
          </w:rPr>
          <w:t xml:space="preserve">Sr signatures of the sampled fish in comparison to the water sample reference collection (Ye </w:t>
        </w:r>
        <w:r w:rsidR="00932D42" w:rsidRPr="00930F9F">
          <w:rPr>
            <w:rStyle w:val="Hyperlink"/>
            <w:rFonts w:eastAsiaTheme="majorEastAsia"/>
            <w:i/>
            <w:noProof/>
          </w:rPr>
          <w:t>et al.</w:t>
        </w:r>
        <w:r w:rsidR="00932D42" w:rsidRPr="00930F9F">
          <w:rPr>
            <w:rStyle w:val="Hyperlink"/>
            <w:rFonts w:eastAsiaTheme="majorEastAsia"/>
            <w:noProof/>
          </w:rPr>
          <w:t xml:space="preserve"> 2020). LRM = Murray River, below the Darling confluence. Percentage of origin for each cohort are based on the sub-sampled population. Age cohorts with grey bars were not assessed for natal origin.</w:t>
        </w:r>
        <w:r w:rsidR="00932D42">
          <w:rPr>
            <w:noProof/>
            <w:webHidden/>
          </w:rPr>
          <w:tab/>
        </w:r>
        <w:r w:rsidR="00932D42">
          <w:rPr>
            <w:noProof/>
            <w:webHidden/>
          </w:rPr>
          <w:fldChar w:fldCharType="begin"/>
        </w:r>
        <w:r w:rsidR="00932D42">
          <w:rPr>
            <w:noProof/>
            <w:webHidden/>
          </w:rPr>
          <w:instrText xml:space="preserve"> PAGEREF _Toc69387712 \h </w:instrText>
        </w:r>
        <w:r w:rsidR="00932D42">
          <w:rPr>
            <w:noProof/>
            <w:webHidden/>
          </w:rPr>
        </w:r>
        <w:r w:rsidR="00932D42">
          <w:rPr>
            <w:noProof/>
            <w:webHidden/>
          </w:rPr>
          <w:fldChar w:fldCharType="separate"/>
        </w:r>
        <w:r w:rsidR="00593FFB">
          <w:rPr>
            <w:noProof/>
            <w:webHidden/>
          </w:rPr>
          <w:t>111</w:t>
        </w:r>
        <w:r w:rsidR="00932D42">
          <w:rPr>
            <w:noProof/>
            <w:webHidden/>
          </w:rPr>
          <w:fldChar w:fldCharType="end"/>
        </w:r>
      </w:hyperlink>
    </w:p>
    <w:p w14:paraId="2C6D014A" w14:textId="50D445FD" w:rsidR="00932D42" w:rsidRDefault="006C38E9">
      <w:pPr>
        <w:pStyle w:val="TableofFigures"/>
        <w:rPr>
          <w:rFonts w:asciiTheme="minorHAnsi" w:eastAsiaTheme="minorEastAsia" w:hAnsiTheme="minorHAnsi" w:cstheme="minorBidi"/>
          <w:noProof/>
          <w:color w:val="auto"/>
          <w:sz w:val="22"/>
          <w:szCs w:val="22"/>
        </w:rPr>
      </w:pPr>
      <w:hyperlink w:anchor="_Toc69387713" w:history="1">
        <w:r w:rsidR="00932D42" w:rsidRPr="00930F9F">
          <w:rPr>
            <w:rStyle w:val="Hyperlink"/>
            <w:rFonts w:eastAsiaTheme="majorEastAsia"/>
            <w:noProof/>
          </w:rPr>
          <w:t>Figure 49. Length frequency distributions of larval/juvenile Murray cod collected in the Lower Murray River (all sites pooled) during the five sampling trips in 2019-20.</w:t>
        </w:r>
        <w:r w:rsidR="00932D42">
          <w:rPr>
            <w:noProof/>
            <w:webHidden/>
          </w:rPr>
          <w:tab/>
        </w:r>
        <w:r w:rsidR="00932D42">
          <w:rPr>
            <w:noProof/>
            <w:webHidden/>
          </w:rPr>
          <w:fldChar w:fldCharType="begin"/>
        </w:r>
        <w:r w:rsidR="00932D42">
          <w:rPr>
            <w:noProof/>
            <w:webHidden/>
          </w:rPr>
          <w:instrText xml:space="preserve"> PAGEREF _Toc69387713 \h </w:instrText>
        </w:r>
        <w:r w:rsidR="00932D42">
          <w:rPr>
            <w:noProof/>
            <w:webHidden/>
          </w:rPr>
        </w:r>
        <w:r w:rsidR="00932D42">
          <w:rPr>
            <w:noProof/>
            <w:webHidden/>
          </w:rPr>
          <w:fldChar w:fldCharType="separate"/>
        </w:r>
        <w:r w:rsidR="00593FFB">
          <w:rPr>
            <w:noProof/>
            <w:webHidden/>
          </w:rPr>
          <w:t>119</w:t>
        </w:r>
        <w:r w:rsidR="00932D42">
          <w:rPr>
            <w:noProof/>
            <w:webHidden/>
          </w:rPr>
          <w:fldChar w:fldCharType="end"/>
        </w:r>
      </w:hyperlink>
    </w:p>
    <w:p w14:paraId="6AC2A2F2" w14:textId="77777777" w:rsidR="00A24026" w:rsidRDefault="00A24026">
      <w:pPr>
        <w:pStyle w:val="TableofFigures"/>
        <w:rPr>
          <w:noProof/>
        </w:rPr>
      </w:pPr>
    </w:p>
    <w:p w14:paraId="2A24B3F5" w14:textId="77777777" w:rsidR="00A24026" w:rsidRDefault="00A24026">
      <w:pPr>
        <w:spacing w:before="0" w:after="160" w:line="259" w:lineRule="auto"/>
        <w:jc w:val="left"/>
        <w:rPr>
          <w:noProof/>
          <w:kern w:val="0"/>
          <w:lang w:eastAsia="en-AU"/>
        </w:rPr>
      </w:pPr>
      <w:r>
        <w:rPr>
          <w:noProof/>
        </w:rPr>
        <w:br w:type="page"/>
      </w:r>
    </w:p>
    <w:p w14:paraId="6CD743E7" w14:textId="597A26AB" w:rsidR="00932D42" w:rsidRDefault="006C38E9">
      <w:pPr>
        <w:pStyle w:val="TableofFigures"/>
        <w:rPr>
          <w:rFonts w:asciiTheme="minorHAnsi" w:eastAsiaTheme="minorEastAsia" w:hAnsiTheme="minorHAnsi" w:cstheme="minorBidi"/>
          <w:noProof/>
          <w:color w:val="auto"/>
          <w:sz w:val="22"/>
          <w:szCs w:val="22"/>
        </w:rPr>
      </w:pPr>
      <w:hyperlink w:anchor="_Toc69387714" w:history="1">
        <w:r w:rsidR="00932D42" w:rsidRPr="00930F9F">
          <w:rPr>
            <w:rStyle w:val="Hyperlink"/>
            <w:rFonts w:eastAsiaTheme="majorEastAsia"/>
            <w:noProof/>
          </w:rPr>
          <w:t>Figure 50. Estimated spawn date frequency distributions of (a) larval Murray cod captured in November 2019 and (b) juvenile Murray cod captured from January to April 2020, in the Lower Murray River (LMR). *late November/early December spawn dates correspond with spawn dates of known stocked fish in the LMR from February 2020.</w:t>
        </w:r>
        <w:r w:rsidR="00932D42">
          <w:rPr>
            <w:noProof/>
            <w:webHidden/>
          </w:rPr>
          <w:tab/>
        </w:r>
        <w:r w:rsidR="00932D42">
          <w:rPr>
            <w:noProof/>
            <w:webHidden/>
          </w:rPr>
          <w:fldChar w:fldCharType="begin"/>
        </w:r>
        <w:r w:rsidR="00932D42">
          <w:rPr>
            <w:noProof/>
            <w:webHidden/>
          </w:rPr>
          <w:instrText xml:space="preserve"> PAGEREF _Toc69387714 \h </w:instrText>
        </w:r>
        <w:r w:rsidR="00932D42">
          <w:rPr>
            <w:noProof/>
            <w:webHidden/>
          </w:rPr>
        </w:r>
        <w:r w:rsidR="00932D42">
          <w:rPr>
            <w:noProof/>
            <w:webHidden/>
          </w:rPr>
          <w:fldChar w:fldCharType="separate"/>
        </w:r>
        <w:r w:rsidR="00593FFB">
          <w:rPr>
            <w:noProof/>
            <w:webHidden/>
          </w:rPr>
          <w:t>120</w:t>
        </w:r>
        <w:r w:rsidR="00932D42">
          <w:rPr>
            <w:noProof/>
            <w:webHidden/>
          </w:rPr>
          <w:fldChar w:fldCharType="end"/>
        </w:r>
      </w:hyperlink>
    </w:p>
    <w:p w14:paraId="1954F4D3" w14:textId="6C6B4121" w:rsidR="00932D42" w:rsidRDefault="006C38E9">
      <w:pPr>
        <w:pStyle w:val="TableofFigures"/>
        <w:rPr>
          <w:rFonts w:asciiTheme="minorHAnsi" w:eastAsiaTheme="minorEastAsia" w:hAnsiTheme="minorHAnsi" w:cstheme="minorBidi"/>
          <w:noProof/>
          <w:color w:val="auto"/>
          <w:sz w:val="22"/>
          <w:szCs w:val="22"/>
        </w:rPr>
      </w:pPr>
      <w:hyperlink w:anchor="_Toc69387715" w:history="1">
        <w:r w:rsidR="00932D42" w:rsidRPr="00930F9F">
          <w:rPr>
            <w:rStyle w:val="Hyperlink"/>
            <w:rFonts w:eastAsiaTheme="majorEastAsia"/>
            <w:noProof/>
          </w:rPr>
          <w:t>Figure 51. The relationship between weight and total length (TL) of YOY (&lt;160 mm) Murray cod in the Lower Murray River predicted by a cubic linear regression model (y=-0.4588+0.0527x–0.011x</w:t>
        </w:r>
        <w:r w:rsidR="00932D42" w:rsidRPr="00930F9F">
          <w:rPr>
            <w:rStyle w:val="Hyperlink"/>
            <w:rFonts w:eastAsiaTheme="majorEastAsia"/>
            <w:noProof/>
            <w:vertAlign w:val="superscript"/>
          </w:rPr>
          <w:t>2</w:t>
        </w:r>
        <w:r w:rsidR="00932D42" w:rsidRPr="00930F9F">
          <w:rPr>
            <w:rStyle w:val="Hyperlink"/>
            <w:rFonts w:eastAsiaTheme="majorEastAsia"/>
            <w:noProof/>
          </w:rPr>
          <w:t>+0.000017791x</w:t>
        </w:r>
        <w:r w:rsidR="00932D42" w:rsidRPr="00930F9F">
          <w:rPr>
            <w:rStyle w:val="Hyperlink"/>
            <w:rFonts w:eastAsiaTheme="majorEastAsia"/>
            <w:noProof/>
            <w:vertAlign w:val="superscript"/>
          </w:rPr>
          <w:t>3</w:t>
        </w:r>
        <w:r w:rsidR="00932D42" w:rsidRPr="00930F9F">
          <w:rPr>
            <w:rStyle w:val="Hyperlink"/>
            <w:rFonts w:eastAsiaTheme="majorEastAsia"/>
            <w:noProof/>
          </w:rPr>
          <w:t xml:space="preserve">) for 2019-20 (black line and circles, </w:t>
        </w:r>
        <w:r w:rsidR="00932D42" w:rsidRPr="00930F9F">
          <w:rPr>
            <w:rStyle w:val="Hyperlink"/>
            <w:rFonts w:eastAsiaTheme="majorEastAsia"/>
            <w:i/>
            <w:iCs/>
            <w:noProof/>
          </w:rPr>
          <w:t>n</w:t>
        </w:r>
        <w:r w:rsidR="00932D42" w:rsidRPr="00930F9F">
          <w:rPr>
            <w:rStyle w:val="Hyperlink"/>
            <w:rFonts w:eastAsiaTheme="majorEastAsia"/>
            <w:noProof/>
          </w:rPr>
          <w:t> = 154) and all years (2004–2020, ‘stocked’ fish removed, red line). See Table D12 in Appendix D for statistics.</w:t>
        </w:r>
        <w:r w:rsidR="00932D42">
          <w:rPr>
            <w:noProof/>
            <w:webHidden/>
          </w:rPr>
          <w:tab/>
        </w:r>
        <w:r w:rsidR="00932D42">
          <w:rPr>
            <w:noProof/>
            <w:webHidden/>
          </w:rPr>
          <w:fldChar w:fldCharType="begin"/>
        </w:r>
        <w:r w:rsidR="00932D42">
          <w:rPr>
            <w:noProof/>
            <w:webHidden/>
          </w:rPr>
          <w:instrText xml:space="preserve"> PAGEREF _Toc69387715 \h </w:instrText>
        </w:r>
        <w:r w:rsidR="00932D42">
          <w:rPr>
            <w:noProof/>
            <w:webHidden/>
          </w:rPr>
        </w:r>
        <w:r w:rsidR="00932D42">
          <w:rPr>
            <w:noProof/>
            <w:webHidden/>
          </w:rPr>
          <w:fldChar w:fldCharType="separate"/>
        </w:r>
        <w:r w:rsidR="00593FFB">
          <w:rPr>
            <w:noProof/>
            <w:webHidden/>
          </w:rPr>
          <w:t>121</w:t>
        </w:r>
        <w:r w:rsidR="00932D42">
          <w:rPr>
            <w:noProof/>
            <w:webHidden/>
          </w:rPr>
          <w:fldChar w:fldCharType="end"/>
        </w:r>
      </w:hyperlink>
    </w:p>
    <w:p w14:paraId="6B40F886" w14:textId="0E29D8B7" w:rsidR="00932D42" w:rsidRDefault="006C38E9">
      <w:pPr>
        <w:pStyle w:val="TableofFigures"/>
        <w:rPr>
          <w:rFonts w:asciiTheme="minorHAnsi" w:eastAsiaTheme="minorEastAsia" w:hAnsiTheme="minorHAnsi" w:cstheme="minorBidi"/>
          <w:noProof/>
          <w:color w:val="auto"/>
          <w:sz w:val="22"/>
          <w:szCs w:val="22"/>
        </w:rPr>
      </w:pPr>
      <w:hyperlink w:anchor="_Toc69387716" w:history="1">
        <w:r w:rsidR="00932D42" w:rsidRPr="00930F9F">
          <w:rPr>
            <w:rStyle w:val="Hyperlink"/>
            <w:rFonts w:eastAsiaTheme="majorEastAsia"/>
            <w:noProof/>
          </w:rPr>
          <w:t>Figure 52. Mean relative condition index (K</w:t>
        </w:r>
        <w:r w:rsidR="00932D42" w:rsidRPr="00930F9F">
          <w:rPr>
            <w:rStyle w:val="Hyperlink"/>
            <w:rFonts w:eastAsiaTheme="majorEastAsia"/>
            <w:i/>
            <w:noProof/>
          </w:rPr>
          <w:t>rel</w:t>
        </w:r>
        <w:r w:rsidR="00932D42" w:rsidRPr="00930F9F">
          <w:rPr>
            <w:rStyle w:val="Hyperlink"/>
            <w:rFonts w:eastAsiaTheme="majorEastAsia"/>
            <w:noProof/>
          </w:rPr>
          <w:t>) ± S.E. of YOY (&lt;160 mm) Murray cod in the Lower Murray River during autumn/winter 2015 (</w:t>
        </w:r>
        <w:r w:rsidR="00932D42" w:rsidRPr="00930F9F">
          <w:rPr>
            <w:rStyle w:val="Hyperlink"/>
            <w:rFonts w:eastAsiaTheme="majorEastAsia"/>
            <w:i/>
            <w:noProof/>
          </w:rPr>
          <w:t>n</w:t>
        </w:r>
        <w:r w:rsidR="00932D42" w:rsidRPr="00930F9F">
          <w:rPr>
            <w:rStyle w:val="Hyperlink"/>
            <w:rFonts w:eastAsiaTheme="majorEastAsia"/>
            <w:noProof/>
          </w:rPr>
          <w:t xml:space="preserve"> = 11), 2016 (</w:t>
        </w:r>
        <w:r w:rsidR="00932D42" w:rsidRPr="00930F9F">
          <w:rPr>
            <w:rStyle w:val="Hyperlink"/>
            <w:rFonts w:eastAsiaTheme="majorEastAsia"/>
            <w:i/>
            <w:noProof/>
          </w:rPr>
          <w:t>n</w:t>
        </w:r>
        <w:r w:rsidR="00932D42" w:rsidRPr="00930F9F">
          <w:rPr>
            <w:rStyle w:val="Hyperlink"/>
            <w:rFonts w:eastAsiaTheme="majorEastAsia"/>
            <w:noProof/>
          </w:rPr>
          <w:t xml:space="preserve"> = 14), 2017 (</w:t>
        </w:r>
        <w:r w:rsidR="00932D42" w:rsidRPr="00930F9F">
          <w:rPr>
            <w:rStyle w:val="Hyperlink"/>
            <w:rFonts w:eastAsiaTheme="majorEastAsia"/>
            <w:i/>
            <w:noProof/>
          </w:rPr>
          <w:t>n</w:t>
        </w:r>
        <w:r w:rsidR="00932D42" w:rsidRPr="00930F9F">
          <w:rPr>
            <w:rStyle w:val="Hyperlink"/>
            <w:rFonts w:eastAsiaTheme="majorEastAsia"/>
            <w:noProof/>
          </w:rPr>
          <w:t xml:space="preserve"> = 6), 2018 (</w:t>
        </w:r>
        <w:r w:rsidR="00932D42" w:rsidRPr="00930F9F">
          <w:rPr>
            <w:rStyle w:val="Hyperlink"/>
            <w:rFonts w:eastAsiaTheme="majorEastAsia"/>
            <w:i/>
            <w:noProof/>
          </w:rPr>
          <w:t>n</w:t>
        </w:r>
        <w:r w:rsidR="00932D42" w:rsidRPr="00930F9F">
          <w:rPr>
            <w:rStyle w:val="Hyperlink"/>
            <w:rFonts w:eastAsiaTheme="majorEastAsia"/>
            <w:noProof/>
          </w:rPr>
          <w:t xml:space="preserve"> = 11), 2019 (</w:t>
        </w:r>
        <w:r w:rsidR="00932D42" w:rsidRPr="00930F9F">
          <w:rPr>
            <w:rStyle w:val="Hyperlink"/>
            <w:rFonts w:eastAsiaTheme="majorEastAsia"/>
            <w:i/>
            <w:noProof/>
          </w:rPr>
          <w:t>n</w:t>
        </w:r>
        <w:r w:rsidR="00932D42" w:rsidRPr="00930F9F">
          <w:rPr>
            <w:rStyle w:val="Hyperlink"/>
            <w:rFonts w:eastAsiaTheme="majorEastAsia"/>
            <w:noProof/>
          </w:rPr>
          <w:t xml:space="preserve"> = 25), 2020 (</w:t>
        </w:r>
        <w:r w:rsidR="00932D42" w:rsidRPr="00930F9F">
          <w:rPr>
            <w:rStyle w:val="Hyperlink"/>
            <w:rFonts w:eastAsiaTheme="majorEastAsia"/>
            <w:i/>
            <w:noProof/>
          </w:rPr>
          <w:t>n</w:t>
        </w:r>
        <w:r w:rsidR="00932D42" w:rsidRPr="00930F9F">
          <w:rPr>
            <w:rStyle w:val="Hyperlink"/>
            <w:rFonts w:eastAsiaTheme="majorEastAsia"/>
            <w:noProof/>
          </w:rPr>
          <w:t xml:space="preserve"> = 51). See Table D13 in Appendix D for statistics.</w:t>
        </w:r>
        <w:r w:rsidR="00932D42">
          <w:rPr>
            <w:noProof/>
            <w:webHidden/>
          </w:rPr>
          <w:tab/>
        </w:r>
        <w:r w:rsidR="00932D42">
          <w:rPr>
            <w:noProof/>
            <w:webHidden/>
          </w:rPr>
          <w:fldChar w:fldCharType="begin"/>
        </w:r>
        <w:r w:rsidR="00932D42">
          <w:rPr>
            <w:noProof/>
            <w:webHidden/>
          </w:rPr>
          <w:instrText xml:space="preserve"> PAGEREF _Toc69387716 \h </w:instrText>
        </w:r>
        <w:r w:rsidR="00932D42">
          <w:rPr>
            <w:noProof/>
            <w:webHidden/>
          </w:rPr>
        </w:r>
        <w:r w:rsidR="00932D42">
          <w:rPr>
            <w:noProof/>
            <w:webHidden/>
          </w:rPr>
          <w:fldChar w:fldCharType="separate"/>
        </w:r>
        <w:r w:rsidR="00593FFB">
          <w:rPr>
            <w:noProof/>
            <w:webHidden/>
          </w:rPr>
          <w:t>121</w:t>
        </w:r>
        <w:r w:rsidR="00932D42">
          <w:rPr>
            <w:noProof/>
            <w:webHidden/>
          </w:rPr>
          <w:fldChar w:fldCharType="end"/>
        </w:r>
      </w:hyperlink>
    </w:p>
    <w:p w14:paraId="368B1D86" w14:textId="702387B4" w:rsidR="00932D42" w:rsidRDefault="006C38E9">
      <w:pPr>
        <w:pStyle w:val="TableofFigures"/>
        <w:rPr>
          <w:rFonts w:asciiTheme="minorHAnsi" w:eastAsiaTheme="minorEastAsia" w:hAnsiTheme="minorHAnsi" w:cstheme="minorBidi"/>
          <w:noProof/>
          <w:color w:val="auto"/>
          <w:sz w:val="22"/>
          <w:szCs w:val="22"/>
        </w:rPr>
      </w:pPr>
      <w:hyperlink w:anchor="_Toc69387717" w:history="1">
        <w:r w:rsidR="00932D42" w:rsidRPr="00930F9F">
          <w:rPr>
            <w:rStyle w:val="Hyperlink"/>
            <w:rFonts w:eastAsiaTheme="majorEastAsia"/>
            <w:noProof/>
          </w:rPr>
          <w:t>Figure 53. The relationship between total length (TL) and estimated age of YOY (&lt;160 mm) Murray cod in the Lower Murray River during 2019-20, predicted by the Gompertz model. See Table D14 in Appendix D for statistics.</w:t>
        </w:r>
        <w:r w:rsidR="00932D42">
          <w:rPr>
            <w:noProof/>
            <w:webHidden/>
          </w:rPr>
          <w:tab/>
        </w:r>
        <w:r w:rsidR="00932D42">
          <w:rPr>
            <w:noProof/>
            <w:webHidden/>
          </w:rPr>
          <w:fldChar w:fldCharType="begin"/>
        </w:r>
        <w:r w:rsidR="00932D42">
          <w:rPr>
            <w:noProof/>
            <w:webHidden/>
          </w:rPr>
          <w:instrText xml:space="preserve"> PAGEREF _Toc69387717 \h </w:instrText>
        </w:r>
        <w:r w:rsidR="00932D42">
          <w:rPr>
            <w:noProof/>
            <w:webHidden/>
          </w:rPr>
        </w:r>
        <w:r w:rsidR="00932D42">
          <w:rPr>
            <w:noProof/>
            <w:webHidden/>
          </w:rPr>
          <w:fldChar w:fldCharType="separate"/>
        </w:r>
        <w:r w:rsidR="00593FFB">
          <w:rPr>
            <w:noProof/>
            <w:webHidden/>
          </w:rPr>
          <w:t>122</w:t>
        </w:r>
        <w:r w:rsidR="00932D42">
          <w:rPr>
            <w:noProof/>
            <w:webHidden/>
          </w:rPr>
          <w:fldChar w:fldCharType="end"/>
        </w:r>
      </w:hyperlink>
    </w:p>
    <w:p w14:paraId="11F86670" w14:textId="75B2F740" w:rsidR="00932D42" w:rsidRDefault="006C38E9">
      <w:pPr>
        <w:pStyle w:val="TableofFigures"/>
        <w:rPr>
          <w:rFonts w:asciiTheme="minorHAnsi" w:eastAsiaTheme="minorEastAsia" w:hAnsiTheme="minorHAnsi" w:cstheme="minorBidi"/>
          <w:noProof/>
          <w:color w:val="auto"/>
          <w:sz w:val="22"/>
          <w:szCs w:val="22"/>
        </w:rPr>
      </w:pPr>
      <w:hyperlink w:anchor="_Toc69387718" w:history="1">
        <w:r w:rsidR="00932D42" w:rsidRPr="00930F9F">
          <w:rPr>
            <w:rStyle w:val="Hyperlink"/>
            <w:rFonts w:eastAsiaTheme="majorEastAsia"/>
            <w:noProof/>
          </w:rPr>
          <w:t>Figure 54. Mean non-targeted (top) and targeted (bottom) electrofishing catch-per-unit-effort (CPUE) ± S.E. of Murray cod in the weir pools downstream of Locks 2, 3, 4 and 5 of the Lower Murray River. Dashed bars represent the proportion of YOY to the total CPUE. Note the different scales on the CPUE-axis for the different methods of electrofishing. See Tables D15 and D16 in Appendix D for statistics.</w:t>
        </w:r>
        <w:r w:rsidR="00932D42">
          <w:rPr>
            <w:noProof/>
            <w:webHidden/>
          </w:rPr>
          <w:tab/>
        </w:r>
        <w:r w:rsidR="00932D42">
          <w:rPr>
            <w:noProof/>
            <w:webHidden/>
          </w:rPr>
          <w:fldChar w:fldCharType="begin"/>
        </w:r>
        <w:r w:rsidR="00932D42">
          <w:rPr>
            <w:noProof/>
            <w:webHidden/>
          </w:rPr>
          <w:instrText xml:space="preserve"> PAGEREF _Toc69387718 \h </w:instrText>
        </w:r>
        <w:r w:rsidR="00932D42">
          <w:rPr>
            <w:noProof/>
            <w:webHidden/>
          </w:rPr>
        </w:r>
        <w:r w:rsidR="00932D42">
          <w:rPr>
            <w:noProof/>
            <w:webHidden/>
          </w:rPr>
          <w:fldChar w:fldCharType="separate"/>
        </w:r>
        <w:r w:rsidR="00593FFB">
          <w:rPr>
            <w:noProof/>
            <w:webHidden/>
          </w:rPr>
          <w:t>123</w:t>
        </w:r>
        <w:r w:rsidR="00932D42">
          <w:rPr>
            <w:noProof/>
            <w:webHidden/>
          </w:rPr>
          <w:fldChar w:fldCharType="end"/>
        </w:r>
      </w:hyperlink>
    </w:p>
    <w:p w14:paraId="017E987B" w14:textId="11722D5D" w:rsidR="00932D42" w:rsidRDefault="006C38E9">
      <w:pPr>
        <w:pStyle w:val="TableofFigures"/>
        <w:rPr>
          <w:rFonts w:asciiTheme="minorHAnsi" w:eastAsiaTheme="minorEastAsia" w:hAnsiTheme="minorHAnsi" w:cstheme="minorBidi"/>
          <w:noProof/>
          <w:color w:val="auto"/>
          <w:sz w:val="22"/>
          <w:szCs w:val="22"/>
        </w:rPr>
      </w:pPr>
      <w:hyperlink w:anchor="_Toc69387719" w:history="1">
        <w:r w:rsidR="00932D42" w:rsidRPr="00930F9F">
          <w:rPr>
            <w:rStyle w:val="Hyperlink"/>
            <w:rFonts w:eastAsiaTheme="majorEastAsia"/>
            <w:noProof/>
          </w:rPr>
          <w:t>Figure 55. Total length (TL) frequencies of Murray cod in the main channel of the Lower Murray River during autumn/winter from 2013–2020.</w:t>
        </w:r>
        <w:r w:rsidR="00932D42">
          <w:rPr>
            <w:noProof/>
            <w:webHidden/>
          </w:rPr>
          <w:tab/>
        </w:r>
        <w:r w:rsidR="00932D42">
          <w:rPr>
            <w:noProof/>
            <w:webHidden/>
          </w:rPr>
          <w:fldChar w:fldCharType="begin"/>
        </w:r>
        <w:r w:rsidR="00932D42">
          <w:rPr>
            <w:noProof/>
            <w:webHidden/>
          </w:rPr>
          <w:instrText xml:space="preserve"> PAGEREF _Toc69387719 \h </w:instrText>
        </w:r>
        <w:r w:rsidR="00932D42">
          <w:rPr>
            <w:noProof/>
            <w:webHidden/>
          </w:rPr>
        </w:r>
        <w:r w:rsidR="00932D42">
          <w:rPr>
            <w:noProof/>
            <w:webHidden/>
          </w:rPr>
          <w:fldChar w:fldCharType="separate"/>
        </w:r>
        <w:r w:rsidR="00593FFB">
          <w:rPr>
            <w:noProof/>
            <w:webHidden/>
          </w:rPr>
          <w:t>124</w:t>
        </w:r>
        <w:r w:rsidR="00932D42">
          <w:rPr>
            <w:noProof/>
            <w:webHidden/>
          </w:rPr>
          <w:fldChar w:fldCharType="end"/>
        </w:r>
      </w:hyperlink>
    </w:p>
    <w:p w14:paraId="70AC463A" w14:textId="5A541C9F" w:rsidR="00932D42" w:rsidRDefault="006C38E9">
      <w:pPr>
        <w:pStyle w:val="TableofFigures"/>
        <w:rPr>
          <w:rFonts w:asciiTheme="minorHAnsi" w:eastAsiaTheme="minorEastAsia" w:hAnsiTheme="minorHAnsi" w:cstheme="minorBidi"/>
          <w:noProof/>
          <w:color w:val="auto"/>
          <w:sz w:val="22"/>
          <w:szCs w:val="22"/>
        </w:rPr>
      </w:pPr>
      <w:hyperlink w:anchor="_Toc69387720" w:history="1">
        <w:r w:rsidR="00932D42" w:rsidRPr="00930F9F">
          <w:rPr>
            <w:rStyle w:val="Hyperlink"/>
            <w:rFonts w:eastAsiaTheme="majorEastAsia"/>
            <w:noProof/>
          </w:rPr>
          <w:t>Figure 56. Increases in lotic habitat in the weir pools below Lock 3 and Lock 4 (refer to Section 2.1 for details) with the peak spawning period of 17 October–11 November 2019, based on back-calculated daily ages, indicated by a grey shaded bar.</w:t>
        </w:r>
        <w:r w:rsidR="00932D42">
          <w:rPr>
            <w:noProof/>
            <w:webHidden/>
          </w:rPr>
          <w:tab/>
        </w:r>
        <w:r w:rsidR="00932D42">
          <w:rPr>
            <w:noProof/>
            <w:webHidden/>
          </w:rPr>
          <w:fldChar w:fldCharType="begin"/>
        </w:r>
        <w:r w:rsidR="00932D42">
          <w:rPr>
            <w:noProof/>
            <w:webHidden/>
          </w:rPr>
          <w:instrText xml:space="preserve"> PAGEREF _Toc69387720 \h </w:instrText>
        </w:r>
        <w:r w:rsidR="00932D42">
          <w:rPr>
            <w:noProof/>
            <w:webHidden/>
          </w:rPr>
        </w:r>
        <w:r w:rsidR="00932D42">
          <w:rPr>
            <w:noProof/>
            <w:webHidden/>
          </w:rPr>
          <w:fldChar w:fldCharType="separate"/>
        </w:r>
        <w:r w:rsidR="00593FFB">
          <w:rPr>
            <w:noProof/>
            <w:webHidden/>
          </w:rPr>
          <w:t>129</w:t>
        </w:r>
        <w:r w:rsidR="00932D42">
          <w:rPr>
            <w:noProof/>
            <w:webHidden/>
          </w:rPr>
          <w:fldChar w:fldCharType="end"/>
        </w:r>
      </w:hyperlink>
    </w:p>
    <w:p w14:paraId="1C0F0AF9" w14:textId="0481F83A" w:rsidR="00932D42" w:rsidRDefault="006C38E9">
      <w:pPr>
        <w:pStyle w:val="TableofFigures"/>
        <w:rPr>
          <w:rFonts w:asciiTheme="minorHAnsi" w:eastAsiaTheme="minorEastAsia" w:hAnsiTheme="minorHAnsi" w:cstheme="minorBidi"/>
          <w:noProof/>
          <w:color w:val="auto"/>
          <w:sz w:val="22"/>
          <w:szCs w:val="22"/>
        </w:rPr>
      </w:pPr>
      <w:hyperlink w:anchor="_Toc69387721" w:history="1">
        <w:r w:rsidR="00932D42" w:rsidRPr="00930F9F">
          <w:rPr>
            <w:rStyle w:val="Hyperlink"/>
            <w:rFonts w:eastAsiaTheme="majorEastAsia"/>
            <w:noProof/>
          </w:rPr>
          <w:t>Figure 57. Target species for the Lower Murray River: (a) Murray cod and (b) freshwater catfish (equilibrium life history); (c) golden perch and (d) silver perch (periodic life history); and (e) carp gudgeon, (f) Murray rainbowfish and (g) bony herring (opportunistic life history).</w:t>
        </w:r>
        <w:r w:rsidR="00932D42">
          <w:rPr>
            <w:noProof/>
            <w:webHidden/>
          </w:rPr>
          <w:tab/>
        </w:r>
        <w:r w:rsidR="00932D42">
          <w:rPr>
            <w:noProof/>
            <w:webHidden/>
          </w:rPr>
          <w:fldChar w:fldCharType="begin"/>
        </w:r>
        <w:r w:rsidR="00932D42">
          <w:rPr>
            <w:noProof/>
            <w:webHidden/>
          </w:rPr>
          <w:instrText xml:space="preserve"> PAGEREF _Toc69387721 \h </w:instrText>
        </w:r>
        <w:r w:rsidR="00932D42">
          <w:rPr>
            <w:noProof/>
            <w:webHidden/>
          </w:rPr>
        </w:r>
        <w:r w:rsidR="00932D42">
          <w:rPr>
            <w:noProof/>
            <w:webHidden/>
          </w:rPr>
          <w:fldChar w:fldCharType="separate"/>
        </w:r>
        <w:r w:rsidR="00593FFB">
          <w:rPr>
            <w:noProof/>
            <w:webHidden/>
          </w:rPr>
          <w:t>130</w:t>
        </w:r>
        <w:r w:rsidR="00932D42">
          <w:rPr>
            <w:noProof/>
            <w:webHidden/>
          </w:rPr>
          <w:fldChar w:fldCharType="end"/>
        </w:r>
      </w:hyperlink>
    </w:p>
    <w:p w14:paraId="0824A0B1" w14:textId="0046BAF1" w:rsidR="00932D42" w:rsidRDefault="006C38E9">
      <w:pPr>
        <w:pStyle w:val="TableofFigures"/>
        <w:rPr>
          <w:rFonts w:asciiTheme="minorHAnsi" w:eastAsiaTheme="minorEastAsia" w:hAnsiTheme="minorHAnsi" w:cstheme="minorBidi"/>
          <w:noProof/>
          <w:color w:val="auto"/>
          <w:sz w:val="22"/>
          <w:szCs w:val="22"/>
        </w:rPr>
      </w:pPr>
      <w:hyperlink w:anchor="_Toc69387722" w:history="1">
        <w:r w:rsidR="00932D42" w:rsidRPr="00930F9F">
          <w:rPr>
            <w:rStyle w:val="Hyperlink"/>
            <w:rFonts w:eastAsiaTheme="majorEastAsia"/>
            <w:noProof/>
          </w:rPr>
          <w:t xml:space="preserve">Figure 58. Mean catch-per-unit-effort (CPUE) </w:t>
        </w:r>
        <w:r w:rsidR="00932D42" w:rsidRPr="00930F9F">
          <w:rPr>
            <w:rStyle w:val="Hyperlink"/>
            <w:rFonts w:eastAsiaTheme="majorEastAsia" w:cstheme="minorHAnsi"/>
            <w:noProof/>
          </w:rPr>
          <w:t>±</w:t>
        </w:r>
        <w:r w:rsidR="00932D42" w:rsidRPr="00930F9F">
          <w:rPr>
            <w:rStyle w:val="Hyperlink"/>
            <w:rFonts w:eastAsiaTheme="majorEastAsia"/>
            <w:noProof/>
          </w:rPr>
          <w:t xml:space="preserve"> standard error of (a) large-bodied fish species captured using electrofishing (individuals per 90 second shot) and (b) small-bodied fish species captured using fine-mesh fyke nets (individuals per net per hour) in the gorge geomorphic zone (10 sites) of the Lower Murray River in autumn from 2015–2020. Electrofishing CPUE data from five sites are presented for 2017 as other sites were sampled during winter 2017. See Table D17 in Appendix for statistics.</w:t>
        </w:r>
        <w:r w:rsidR="00932D42">
          <w:rPr>
            <w:noProof/>
            <w:webHidden/>
          </w:rPr>
          <w:tab/>
        </w:r>
        <w:r w:rsidR="00932D42">
          <w:rPr>
            <w:noProof/>
            <w:webHidden/>
          </w:rPr>
          <w:fldChar w:fldCharType="begin"/>
        </w:r>
        <w:r w:rsidR="00932D42">
          <w:rPr>
            <w:noProof/>
            <w:webHidden/>
          </w:rPr>
          <w:instrText xml:space="preserve"> PAGEREF _Toc69387722 \h </w:instrText>
        </w:r>
        <w:r w:rsidR="00932D42">
          <w:rPr>
            <w:noProof/>
            <w:webHidden/>
          </w:rPr>
        </w:r>
        <w:r w:rsidR="00932D42">
          <w:rPr>
            <w:noProof/>
            <w:webHidden/>
          </w:rPr>
          <w:fldChar w:fldCharType="separate"/>
        </w:r>
        <w:r w:rsidR="00593FFB">
          <w:rPr>
            <w:noProof/>
            <w:webHidden/>
          </w:rPr>
          <w:t>132</w:t>
        </w:r>
        <w:r w:rsidR="00932D42">
          <w:rPr>
            <w:noProof/>
            <w:webHidden/>
          </w:rPr>
          <w:fldChar w:fldCharType="end"/>
        </w:r>
      </w:hyperlink>
    </w:p>
    <w:p w14:paraId="3172E091" w14:textId="77777777" w:rsidR="00A24026" w:rsidRDefault="00A24026">
      <w:pPr>
        <w:pStyle w:val="TableofFigures"/>
        <w:rPr>
          <w:noProof/>
        </w:rPr>
      </w:pPr>
    </w:p>
    <w:p w14:paraId="58491F82" w14:textId="77777777" w:rsidR="00A24026" w:rsidRDefault="00A24026">
      <w:pPr>
        <w:spacing w:before="0" w:after="160" w:line="259" w:lineRule="auto"/>
        <w:jc w:val="left"/>
        <w:rPr>
          <w:noProof/>
          <w:kern w:val="0"/>
          <w:lang w:eastAsia="en-AU"/>
        </w:rPr>
      </w:pPr>
      <w:r>
        <w:rPr>
          <w:noProof/>
        </w:rPr>
        <w:br w:type="page"/>
      </w:r>
    </w:p>
    <w:p w14:paraId="00355C8E" w14:textId="3A249269" w:rsidR="00932D42" w:rsidRDefault="006C38E9">
      <w:pPr>
        <w:pStyle w:val="TableofFigures"/>
        <w:rPr>
          <w:rFonts w:asciiTheme="minorHAnsi" w:eastAsiaTheme="minorEastAsia" w:hAnsiTheme="minorHAnsi" w:cstheme="minorBidi"/>
          <w:noProof/>
          <w:color w:val="auto"/>
          <w:sz w:val="22"/>
          <w:szCs w:val="22"/>
        </w:rPr>
      </w:pPr>
      <w:hyperlink w:anchor="_Toc69387723" w:history="1">
        <w:r w:rsidR="00932D42" w:rsidRPr="00930F9F">
          <w:rPr>
            <w:rStyle w:val="Hyperlink"/>
            <w:rFonts w:eastAsiaTheme="majorEastAsia"/>
            <w:noProof/>
          </w:rPr>
          <w:t>Figure 59. Non-metric multi-dimensional scaling (MDS) plot of (a) large-bodied fish assemblages sampled by electrofishing and (b) small-bodied fish assemblages sampled by fyke netting in the gorge geomorphic zone of the Lower Murray River from 2015–2020. Sites (</w:t>
        </w:r>
        <w:r w:rsidR="00932D42" w:rsidRPr="00930F9F">
          <w:rPr>
            <w:rStyle w:val="Hyperlink"/>
            <w:rFonts w:eastAsiaTheme="majorEastAsia"/>
            <w:i/>
            <w:noProof/>
          </w:rPr>
          <w:t>n</w:t>
        </w:r>
        <w:r w:rsidR="00932D42" w:rsidRPr="00930F9F">
          <w:rPr>
            <w:rStyle w:val="Hyperlink"/>
            <w:rFonts w:eastAsiaTheme="majorEastAsia"/>
            <w:noProof/>
          </w:rPr>
          <w:t xml:space="preserve"> = 5) sampled in winter 2017 were removed from the ordination.</w:t>
        </w:r>
        <w:r w:rsidR="00932D42">
          <w:rPr>
            <w:noProof/>
            <w:webHidden/>
          </w:rPr>
          <w:tab/>
        </w:r>
        <w:r w:rsidR="00932D42">
          <w:rPr>
            <w:noProof/>
            <w:webHidden/>
          </w:rPr>
          <w:fldChar w:fldCharType="begin"/>
        </w:r>
        <w:r w:rsidR="00932D42">
          <w:rPr>
            <w:noProof/>
            <w:webHidden/>
          </w:rPr>
          <w:instrText xml:space="preserve"> PAGEREF _Toc69387723 \h </w:instrText>
        </w:r>
        <w:r w:rsidR="00932D42">
          <w:rPr>
            <w:noProof/>
            <w:webHidden/>
          </w:rPr>
        </w:r>
        <w:r w:rsidR="00932D42">
          <w:rPr>
            <w:noProof/>
            <w:webHidden/>
          </w:rPr>
          <w:fldChar w:fldCharType="separate"/>
        </w:r>
        <w:r w:rsidR="00593FFB">
          <w:rPr>
            <w:noProof/>
            <w:webHidden/>
          </w:rPr>
          <w:t>133</w:t>
        </w:r>
        <w:r w:rsidR="00932D42">
          <w:rPr>
            <w:noProof/>
            <w:webHidden/>
          </w:rPr>
          <w:fldChar w:fldCharType="end"/>
        </w:r>
      </w:hyperlink>
    </w:p>
    <w:p w14:paraId="1A2C542F" w14:textId="78650BDA" w:rsidR="00932D42" w:rsidRDefault="006C38E9">
      <w:pPr>
        <w:pStyle w:val="TableofFigures"/>
        <w:rPr>
          <w:rFonts w:asciiTheme="minorHAnsi" w:eastAsiaTheme="minorEastAsia" w:hAnsiTheme="minorHAnsi" w:cstheme="minorBidi"/>
          <w:noProof/>
          <w:color w:val="auto"/>
          <w:sz w:val="22"/>
          <w:szCs w:val="22"/>
        </w:rPr>
      </w:pPr>
      <w:hyperlink w:anchor="_Toc69387724" w:history="1">
        <w:r w:rsidR="00932D42" w:rsidRPr="00930F9F">
          <w:rPr>
            <w:rStyle w:val="Hyperlink"/>
            <w:rFonts w:eastAsiaTheme="majorEastAsia"/>
            <w:noProof/>
          </w:rPr>
          <w:t>Figure 60. Length frequency distributions and age structures of golden perch collected from the gorge geomorphic zone of the Lower Murray River from 2015–2020.</w:t>
        </w:r>
        <w:r w:rsidR="00932D42">
          <w:rPr>
            <w:noProof/>
            <w:webHidden/>
          </w:rPr>
          <w:tab/>
        </w:r>
        <w:r w:rsidR="00932D42">
          <w:rPr>
            <w:noProof/>
            <w:webHidden/>
          </w:rPr>
          <w:fldChar w:fldCharType="begin"/>
        </w:r>
        <w:r w:rsidR="00932D42">
          <w:rPr>
            <w:noProof/>
            <w:webHidden/>
          </w:rPr>
          <w:instrText xml:space="preserve"> PAGEREF _Toc69387724 \h </w:instrText>
        </w:r>
        <w:r w:rsidR="00932D42">
          <w:rPr>
            <w:noProof/>
            <w:webHidden/>
          </w:rPr>
        </w:r>
        <w:r w:rsidR="00932D42">
          <w:rPr>
            <w:noProof/>
            <w:webHidden/>
          </w:rPr>
          <w:fldChar w:fldCharType="separate"/>
        </w:r>
        <w:r w:rsidR="00593FFB">
          <w:rPr>
            <w:noProof/>
            <w:webHidden/>
          </w:rPr>
          <w:t>135</w:t>
        </w:r>
        <w:r w:rsidR="00932D42">
          <w:rPr>
            <w:noProof/>
            <w:webHidden/>
          </w:rPr>
          <w:fldChar w:fldCharType="end"/>
        </w:r>
      </w:hyperlink>
    </w:p>
    <w:p w14:paraId="31A64314" w14:textId="4A137E8A" w:rsidR="00932D42" w:rsidRDefault="006C38E9">
      <w:pPr>
        <w:pStyle w:val="TableofFigures"/>
        <w:rPr>
          <w:rFonts w:asciiTheme="minorHAnsi" w:eastAsiaTheme="minorEastAsia" w:hAnsiTheme="minorHAnsi" w:cstheme="minorBidi"/>
          <w:noProof/>
          <w:color w:val="auto"/>
          <w:sz w:val="22"/>
          <w:szCs w:val="22"/>
        </w:rPr>
      </w:pPr>
      <w:hyperlink w:anchor="_Toc69387725" w:history="1">
        <w:r w:rsidR="00932D42" w:rsidRPr="00930F9F">
          <w:rPr>
            <w:rStyle w:val="Hyperlink"/>
            <w:rFonts w:eastAsiaTheme="majorEastAsia"/>
            <w:noProof/>
          </w:rPr>
          <w:t>Figure 61. Length frequency distributions and age structures of silver perch collected from the gorge geomorphic zone of the Lower Murray River from 2015–2020.</w:t>
        </w:r>
        <w:r w:rsidR="00932D42">
          <w:rPr>
            <w:noProof/>
            <w:webHidden/>
          </w:rPr>
          <w:tab/>
        </w:r>
        <w:r w:rsidR="00932D42">
          <w:rPr>
            <w:noProof/>
            <w:webHidden/>
          </w:rPr>
          <w:fldChar w:fldCharType="begin"/>
        </w:r>
        <w:r w:rsidR="00932D42">
          <w:rPr>
            <w:noProof/>
            <w:webHidden/>
          </w:rPr>
          <w:instrText xml:space="preserve"> PAGEREF _Toc69387725 \h </w:instrText>
        </w:r>
        <w:r w:rsidR="00932D42">
          <w:rPr>
            <w:noProof/>
            <w:webHidden/>
          </w:rPr>
        </w:r>
        <w:r w:rsidR="00932D42">
          <w:rPr>
            <w:noProof/>
            <w:webHidden/>
          </w:rPr>
          <w:fldChar w:fldCharType="separate"/>
        </w:r>
        <w:r w:rsidR="00593FFB">
          <w:rPr>
            <w:noProof/>
            <w:webHidden/>
          </w:rPr>
          <w:t>136</w:t>
        </w:r>
        <w:r w:rsidR="00932D42">
          <w:rPr>
            <w:noProof/>
            <w:webHidden/>
          </w:rPr>
          <w:fldChar w:fldCharType="end"/>
        </w:r>
      </w:hyperlink>
    </w:p>
    <w:p w14:paraId="52681A5B" w14:textId="4E66BD3B" w:rsidR="00932D42" w:rsidRDefault="006C38E9">
      <w:pPr>
        <w:pStyle w:val="TableofFigures"/>
        <w:rPr>
          <w:rFonts w:asciiTheme="minorHAnsi" w:eastAsiaTheme="minorEastAsia" w:hAnsiTheme="minorHAnsi" w:cstheme="minorBidi"/>
          <w:noProof/>
          <w:color w:val="auto"/>
          <w:sz w:val="22"/>
          <w:szCs w:val="22"/>
        </w:rPr>
      </w:pPr>
      <w:hyperlink w:anchor="_Toc69387726" w:history="1">
        <w:r w:rsidR="00932D42" w:rsidRPr="00930F9F">
          <w:rPr>
            <w:rStyle w:val="Hyperlink"/>
            <w:rFonts w:eastAsiaTheme="majorEastAsia"/>
            <w:noProof/>
          </w:rPr>
          <w:t>Figure 62. Length frequency distributions and age structures of freshwater catfish collected from the gorge geomorphic zone of the Lower Murray River from 2015–2020.</w:t>
        </w:r>
        <w:r w:rsidR="00932D42">
          <w:rPr>
            <w:noProof/>
            <w:webHidden/>
          </w:rPr>
          <w:tab/>
        </w:r>
        <w:r w:rsidR="00932D42">
          <w:rPr>
            <w:noProof/>
            <w:webHidden/>
          </w:rPr>
          <w:fldChar w:fldCharType="begin"/>
        </w:r>
        <w:r w:rsidR="00932D42">
          <w:rPr>
            <w:noProof/>
            <w:webHidden/>
          </w:rPr>
          <w:instrText xml:space="preserve"> PAGEREF _Toc69387726 \h </w:instrText>
        </w:r>
        <w:r w:rsidR="00932D42">
          <w:rPr>
            <w:noProof/>
            <w:webHidden/>
          </w:rPr>
        </w:r>
        <w:r w:rsidR="00932D42">
          <w:rPr>
            <w:noProof/>
            <w:webHidden/>
          </w:rPr>
          <w:fldChar w:fldCharType="separate"/>
        </w:r>
        <w:r w:rsidR="00593FFB">
          <w:rPr>
            <w:noProof/>
            <w:webHidden/>
          </w:rPr>
          <w:t>137</w:t>
        </w:r>
        <w:r w:rsidR="00932D42">
          <w:rPr>
            <w:noProof/>
            <w:webHidden/>
          </w:rPr>
          <w:fldChar w:fldCharType="end"/>
        </w:r>
      </w:hyperlink>
    </w:p>
    <w:p w14:paraId="7EC7FB08" w14:textId="5719954D" w:rsidR="00932D42" w:rsidRDefault="006C38E9">
      <w:pPr>
        <w:pStyle w:val="TableofFigures"/>
        <w:rPr>
          <w:rFonts w:asciiTheme="minorHAnsi" w:eastAsiaTheme="minorEastAsia" w:hAnsiTheme="minorHAnsi" w:cstheme="minorBidi"/>
          <w:noProof/>
          <w:color w:val="auto"/>
          <w:sz w:val="22"/>
          <w:szCs w:val="22"/>
        </w:rPr>
      </w:pPr>
      <w:hyperlink w:anchor="_Toc69387727" w:history="1">
        <w:r w:rsidR="00932D42" w:rsidRPr="00930F9F">
          <w:rPr>
            <w:rStyle w:val="Hyperlink"/>
            <w:rFonts w:eastAsiaTheme="majorEastAsia"/>
            <w:noProof/>
          </w:rPr>
          <w:t>Figure 63. Length frequency distributions and age structures of Murray cod collected from the gorge geomorphic zone of the Lower Murray River from 2015–2020. Individuals &gt;340 mm were not retained for ageing.</w:t>
        </w:r>
        <w:r w:rsidR="00932D42">
          <w:rPr>
            <w:noProof/>
            <w:webHidden/>
          </w:rPr>
          <w:tab/>
        </w:r>
        <w:r w:rsidR="00932D42">
          <w:rPr>
            <w:noProof/>
            <w:webHidden/>
          </w:rPr>
          <w:fldChar w:fldCharType="begin"/>
        </w:r>
        <w:r w:rsidR="00932D42">
          <w:rPr>
            <w:noProof/>
            <w:webHidden/>
          </w:rPr>
          <w:instrText xml:space="preserve"> PAGEREF _Toc69387727 \h </w:instrText>
        </w:r>
        <w:r w:rsidR="00932D42">
          <w:rPr>
            <w:noProof/>
            <w:webHidden/>
          </w:rPr>
        </w:r>
        <w:r w:rsidR="00932D42">
          <w:rPr>
            <w:noProof/>
            <w:webHidden/>
          </w:rPr>
          <w:fldChar w:fldCharType="separate"/>
        </w:r>
        <w:r w:rsidR="00593FFB">
          <w:rPr>
            <w:noProof/>
            <w:webHidden/>
          </w:rPr>
          <w:t>138</w:t>
        </w:r>
        <w:r w:rsidR="00932D42">
          <w:rPr>
            <w:noProof/>
            <w:webHidden/>
          </w:rPr>
          <w:fldChar w:fldCharType="end"/>
        </w:r>
      </w:hyperlink>
    </w:p>
    <w:p w14:paraId="58F66A46" w14:textId="3419A1CE" w:rsidR="00932D42" w:rsidRDefault="006C38E9">
      <w:pPr>
        <w:pStyle w:val="TableofFigures"/>
        <w:rPr>
          <w:rFonts w:asciiTheme="minorHAnsi" w:eastAsiaTheme="minorEastAsia" w:hAnsiTheme="minorHAnsi" w:cstheme="minorBidi"/>
          <w:noProof/>
          <w:color w:val="auto"/>
          <w:sz w:val="22"/>
          <w:szCs w:val="22"/>
        </w:rPr>
      </w:pPr>
      <w:hyperlink w:anchor="_Toc69387728" w:history="1">
        <w:r w:rsidR="00932D42" w:rsidRPr="00930F9F">
          <w:rPr>
            <w:rStyle w:val="Hyperlink"/>
            <w:rFonts w:eastAsiaTheme="majorEastAsia"/>
            <w:noProof/>
          </w:rPr>
          <w:t>Figure 64. Length frequency distributions and age structures of bony herring collected from the gorge geomorphic zone of the Lower Murray River from 2016–2020.</w:t>
        </w:r>
        <w:r w:rsidR="00932D42">
          <w:rPr>
            <w:noProof/>
            <w:webHidden/>
          </w:rPr>
          <w:tab/>
        </w:r>
        <w:r w:rsidR="00932D42">
          <w:rPr>
            <w:noProof/>
            <w:webHidden/>
          </w:rPr>
          <w:fldChar w:fldCharType="begin"/>
        </w:r>
        <w:r w:rsidR="00932D42">
          <w:rPr>
            <w:noProof/>
            <w:webHidden/>
          </w:rPr>
          <w:instrText xml:space="preserve"> PAGEREF _Toc69387728 \h </w:instrText>
        </w:r>
        <w:r w:rsidR="00932D42">
          <w:rPr>
            <w:noProof/>
            <w:webHidden/>
          </w:rPr>
        </w:r>
        <w:r w:rsidR="00932D42">
          <w:rPr>
            <w:noProof/>
            <w:webHidden/>
          </w:rPr>
          <w:fldChar w:fldCharType="separate"/>
        </w:r>
        <w:r w:rsidR="00593FFB">
          <w:rPr>
            <w:noProof/>
            <w:webHidden/>
          </w:rPr>
          <w:t>139</w:t>
        </w:r>
        <w:r w:rsidR="00932D42">
          <w:rPr>
            <w:noProof/>
            <w:webHidden/>
          </w:rPr>
          <w:fldChar w:fldCharType="end"/>
        </w:r>
      </w:hyperlink>
    </w:p>
    <w:p w14:paraId="0057EFC0" w14:textId="4840F1B4" w:rsidR="00932D42" w:rsidRDefault="006C38E9">
      <w:pPr>
        <w:pStyle w:val="TableofFigures"/>
        <w:rPr>
          <w:rFonts w:asciiTheme="minorHAnsi" w:eastAsiaTheme="minorEastAsia" w:hAnsiTheme="minorHAnsi" w:cstheme="minorBidi"/>
          <w:noProof/>
          <w:color w:val="auto"/>
          <w:sz w:val="22"/>
          <w:szCs w:val="22"/>
        </w:rPr>
      </w:pPr>
      <w:hyperlink w:anchor="_Toc69387729" w:history="1">
        <w:r w:rsidR="00932D42" w:rsidRPr="00930F9F">
          <w:rPr>
            <w:rStyle w:val="Hyperlink"/>
            <w:rFonts w:eastAsiaTheme="majorEastAsia"/>
            <w:noProof/>
          </w:rPr>
          <w:t>Figure 65. a) Numbers and date of capture for pouched and short-headed lamprey in 2019, presented with total daily barrage discharge (ML/d). Horizontal back bar represents period of targeted lamprey sampling; and b) relative abundance (lamprey per hour per trap event) of pouched lamprey sampled from various fishways from 2015</w:t>
        </w:r>
        <w:r w:rsidR="00932D42" w:rsidRPr="00930F9F">
          <w:rPr>
            <w:rStyle w:val="Hyperlink"/>
            <w:rFonts w:eastAsiaTheme="majorEastAsia" w:cs="Arial"/>
            <w:noProof/>
          </w:rPr>
          <w:t>–</w:t>
        </w:r>
        <w:r w:rsidR="00932D42" w:rsidRPr="00930F9F">
          <w:rPr>
            <w:rStyle w:val="Hyperlink"/>
            <w:rFonts w:eastAsiaTheme="majorEastAsia"/>
            <w:noProof/>
          </w:rPr>
          <w:t>2019 (total numbers sampled in each year are also presented). GVS1 = Goolwa vertical-slot 1, GVS2 = Goolwa vertical-slot 2, MDVS = Mundoo dual vertical-slot, BCVS = Boundary Creek vertical-slot, EIDVS = Ewe Island dual vertical-slot, TVS = Tauwitchere vertical-slot, TSVS = Tauwitchere small vertical-slot. Note MDVS was not sampled in 2015 or 2016, while GVS2, EIDVS and BCVS were not sampled in 2015.</w:t>
        </w:r>
        <w:r w:rsidR="00932D42">
          <w:rPr>
            <w:noProof/>
            <w:webHidden/>
          </w:rPr>
          <w:tab/>
        </w:r>
        <w:r w:rsidR="00932D42">
          <w:rPr>
            <w:noProof/>
            <w:webHidden/>
          </w:rPr>
          <w:fldChar w:fldCharType="begin"/>
        </w:r>
        <w:r w:rsidR="00932D42">
          <w:rPr>
            <w:noProof/>
            <w:webHidden/>
          </w:rPr>
          <w:instrText xml:space="preserve"> PAGEREF _Toc69387729 \h </w:instrText>
        </w:r>
        <w:r w:rsidR="00932D42">
          <w:rPr>
            <w:noProof/>
            <w:webHidden/>
          </w:rPr>
        </w:r>
        <w:r w:rsidR="00932D42">
          <w:rPr>
            <w:noProof/>
            <w:webHidden/>
          </w:rPr>
          <w:fldChar w:fldCharType="separate"/>
        </w:r>
        <w:r w:rsidR="00593FFB">
          <w:rPr>
            <w:noProof/>
            <w:webHidden/>
          </w:rPr>
          <w:t>144</w:t>
        </w:r>
        <w:r w:rsidR="00932D42">
          <w:rPr>
            <w:noProof/>
            <w:webHidden/>
          </w:rPr>
          <w:fldChar w:fldCharType="end"/>
        </w:r>
      </w:hyperlink>
    </w:p>
    <w:p w14:paraId="5A19644D" w14:textId="489556F1" w:rsidR="005B0AA3" w:rsidRDefault="005B0AA3" w:rsidP="002C2611">
      <w:pPr>
        <w:rPr>
          <w:rFonts w:cs="Arial"/>
          <w:color w:val="44546A" w:themeColor="text2"/>
          <w:spacing w:val="40"/>
          <w:sz w:val="32"/>
          <w:szCs w:val="32"/>
        </w:rPr>
      </w:pPr>
      <w:r>
        <w:rPr>
          <w:rStyle w:val="Hyperlink"/>
          <w:rFonts w:eastAsiaTheme="majorEastAsia"/>
          <w:noProof/>
          <w:color w:val="auto"/>
        </w:rPr>
        <w:fldChar w:fldCharType="end"/>
      </w:r>
      <w:bookmarkStart w:id="6" w:name="_Toc441838721"/>
    </w:p>
    <w:p w14:paraId="1B29C0A8" w14:textId="079EB936" w:rsidR="005B0AA3" w:rsidRPr="00A67C76" w:rsidRDefault="005B0AA3" w:rsidP="005B0AA3">
      <w:pPr>
        <w:pStyle w:val="H1anotincinTOC"/>
        <w:outlineLvl w:val="0"/>
        <w:rPr>
          <w:color w:val="44546A" w:themeColor="text2"/>
        </w:rPr>
      </w:pPr>
      <w:bookmarkStart w:id="7" w:name="_Toc69309226"/>
      <w:r w:rsidRPr="00A67C76">
        <w:rPr>
          <w:color w:val="44546A" w:themeColor="text2"/>
        </w:rPr>
        <w:t>List of tables</w:t>
      </w:r>
      <w:bookmarkEnd w:id="6"/>
      <w:bookmarkEnd w:id="7"/>
    </w:p>
    <w:p w14:paraId="0D5F4B81" w14:textId="0F4AB7FF" w:rsidR="00932D42" w:rsidRDefault="005B0AA3">
      <w:pPr>
        <w:pStyle w:val="TableofFigures"/>
        <w:rPr>
          <w:rFonts w:asciiTheme="minorHAnsi" w:eastAsiaTheme="minorEastAsia" w:hAnsiTheme="minorHAnsi" w:cstheme="minorBidi"/>
          <w:noProof/>
          <w:color w:val="auto"/>
          <w:sz w:val="22"/>
          <w:szCs w:val="22"/>
        </w:rPr>
      </w:pPr>
      <w:r w:rsidRPr="00C04A54">
        <w:rPr>
          <w:noProof/>
        </w:rPr>
        <w:fldChar w:fldCharType="begin"/>
      </w:r>
      <w:r w:rsidRPr="00C04A54">
        <w:rPr>
          <w:noProof/>
        </w:rPr>
        <w:instrText xml:space="preserve"> TOC \h \z \c "Table" </w:instrText>
      </w:r>
      <w:r w:rsidRPr="00C04A54">
        <w:rPr>
          <w:noProof/>
        </w:rPr>
        <w:fldChar w:fldCharType="separate"/>
      </w:r>
      <w:hyperlink w:anchor="_Toc69387730" w:history="1">
        <w:r w:rsidR="00932D42" w:rsidRPr="00631268">
          <w:rPr>
            <w:rStyle w:val="Hyperlink"/>
            <w:rFonts w:eastAsiaTheme="majorEastAsia"/>
            <w:noProof/>
          </w:rPr>
          <w:t>Table 1. Total annual volumes (gigalitres, GL) of environmental water (eWater), including Commonwealth environmental water (CEW), delivered to the Lower Murray River (LMR) channel (excludes wetland use*) and the proportion contribution towards total flow to the LMR (QSA). Volumes are provided by the CEWO, include the environmental components of the South Australian entitlement and exclude environmental water delivered from the SA Minister for Environment and Water and Accolade Wines (predominantly for wetlands). TLM = The Living Murray, VEWH = Victorian Environmental Water Holder, RMIF = River Murray Increased Flows, NSW DPIE = New South Wales Department of Planning, Industry and Environment.</w:t>
        </w:r>
        <w:r w:rsidR="00932D42">
          <w:rPr>
            <w:noProof/>
            <w:webHidden/>
          </w:rPr>
          <w:tab/>
        </w:r>
        <w:r w:rsidR="00932D42">
          <w:rPr>
            <w:noProof/>
            <w:webHidden/>
          </w:rPr>
          <w:fldChar w:fldCharType="begin"/>
        </w:r>
        <w:r w:rsidR="00932D42">
          <w:rPr>
            <w:noProof/>
            <w:webHidden/>
          </w:rPr>
          <w:instrText xml:space="preserve"> PAGEREF _Toc69387730 \h </w:instrText>
        </w:r>
        <w:r w:rsidR="00932D42">
          <w:rPr>
            <w:noProof/>
            <w:webHidden/>
          </w:rPr>
        </w:r>
        <w:r w:rsidR="00932D42">
          <w:rPr>
            <w:noProof/>
            <w:webHidden/>
          </w:rPr>
          <w:fldChar w:fldCharType="separate"/>
        </w:r>
        <w:r w:rsidR="00593FFB">
          <w:rPr>
            <w:noProof/>
            <w:webHidden/>
          </w:rPr>
          <w:t>10</w:t>
        </w:r>
        <w:r w:rsidR="00932D42">
          <w:rPr>
            <w:noProof/>
            <w:webHidden/>
          </w:rPr>
          <w:fldChar w:fldCharType="end"/>
        </w:r>
      </w:hyperlink>
    </w:p>
    <w:p w14:paraId="7F5D942C" w14:textId="77777777" w:rsidR="00A24026" w:rsidRDefault="00A24026">
      <w:pPr>
        <w:pStyle w:val="TableofFigures"/>
        <w:rPr>
          <w:noProof/>
        </w:rPr>
      </w:pPr>
    </w:p>
    <w:p w14:paraId="5A8585F2" w14:textId="77777777" w:rsidR="00A24026" w:rsidRDefault="00A24026">
      <w:pPr>
        <w:spacing w:before="0" w:after="160" w:line="259" w:lineRule="auto"/>
        <w:jc w:val="left"/>
        <w:rPr>
          <w:noProof/>
          <w:kern w:val="0"/>
          <w:lang w:eastAsia="en-AU"/>
        </w:rPr>
      </w:pPr>
      <w:r>
        <w:rPr>
          <w:noProof/>
        </w:rPr>
        <w:br w:type="page"/>
      </w:r>
    </w:p>
    <w:p w14:paraId="1BE048C4" w14:textId="11E778FD" w:rsidR="00932D42" w:rsidRDefault="006C38E9">
      <w:pPr>
        <w:pStyle w:val="TableofFigures"/>
        <w:rPr>
          <w:rFonts w:asciiTheme="minorHAnsi" w:eastAsiaTheme="minorEastAsia" w:hAnsiTheme="minorHAnsi" w:cstheme="minorBidi"/>
          <w:noProof/>
          <w:color w:val="auto"/>
          <w:sz w:val="22"/>
          <w:szCs w:val="22"/>
        </w:rPr>
      </w:pPr>
      <w:hyperlink w:anchor="_Toc69387731" w:history="1">
        <w:r w:rsidR="00932D42" w:rsidRPr="00631268">
          <w:rPr>
            <w:rStyle w:val="Hyperlink"/>
            <w:rFonts w:eastAsiaTheme="majorEastAsia"/>
            <w:noProof/>
          </w:rPr>
          <w:t>Table 2. Annual flow over the Murray barrages (total volume, GL) from 2014-15 to 2019-2020, showing contribution by Commonwealth environmental water (CEW). CEW and total flow volumes are based on South Australian barrage dashboard accounting data. Matter transport results in Section 2.3.1 are based on different modelled data, and may not necessarily reflect the accounted data presented here.</w:t>
        </w:r>
        <w:r w:rsidR="00932D42">
          <w:rPr>
            <w:noProof/>
            <w:webHidden/>
          </w:rPr>
          <w:tab/>
        </w:r>
        <w:r w:rsidR="00932D42">
          <w:rPr>
            <w:noProof/>
            <w:webHidden/>
          </w:rPr>
          <w:fldChar w:fldCharType="begin"/>
        </w:r>
        <w:r w:rsidR="00932D42">
          <w:rPr>
            <w:noProof/>
            <w:webHidden/>
          </w:rPr>
          <w:instrText xml:space="preserve"> PAGEREF _Toc69387731 \h </w:instrText>
        </w:r>
        <w:r w:rsidR="00932D42">
          <w:rPr>
            <w:noProof/>
            <w:webHidden/>
          </w:rPr>
        </w:r>
        <w:r w:rsidR="00932D42">
          <w:rPr>
            <w:noProof/>
            <w:webHidden/>
          </w:rPr>
          <w:fldChar w:fldCharType="separate"/>
        </w:r>
        <w:r w:rsidR="00593FFB">
          <w:rPr>
            <w:noProof/>
            <w:webHidden/>
          </w:rPr>
          <w:t>11</w:t>
        </w:r>
        <w:r w:rsidR="00932D42">
          <w:rPr>
            <w:noProof/>
            <w:webHidden/>
          </w:rPr>
          <w:fldChar w:fldCharType="end"/>
        </w:r>
      </w:hyperlink>
    </w:p>
    <w:p w14:paraId="065443D3" w14:textId="58BEB631" w:rsidR="00932D42" w:rsidRDefault="006C38E9">
      <w:pPr>
        <w:pStyle w:val="TableofFigures"/>
        <w:rPr>
          <w:rFonts w:asciiTheme="minorHAnsi" w:eastAsiaTheme="minorEastAsia" w:hAnsiTheme="minorHAnsi" w:cstheme="minorBidi"/>
          <w:noProof/>
          <w:color w:val="auto"/>
          <w:sz w:val="22"/>
          <w:szCs w:val="22"/>
        </w:rPr>
      </w:pPr>
      <w:hyperlink w:anchor="_Toc69387732" w:history="1">
        <w:r w:rsidR="00932D42" w:rsidRPr="00631268">
          <w:rPr>
            <w:rStyle w:val="Hyperlink"/>
            <w:rFonts w:eastAsiaTheme="majorEastAsia"/>
            <w:noProof/>
          </w:rPr>
          <w:t>Table 3. Hydraulic Regime evaluation questions and answers. CEW = Commonwealth environmental water, eWater = environmental water.</w:t>
        </w:r>
        <w:r w:rsidR="00932D42">
          <w:rPr>
            <w:noProof/>
            <w:webHidden/>
          </w:rPr>
          <w:tab/>
        </w:r>
        <w:r w:rsidR="00932D42">
          <w:rPr>
            <w:noProof/>
            <w:webHidden/>
          </w:rPr>
          <w:fldChar w:fldCharType="begin"/>
        </w:r>
        <w:r w:rsidR="00932D42">
          <w:rPr>
            <w:noProof/>
            <w:webHidden/>
          </w:rPr>
          <w:instrText xml:space="preserve"> PAGEREF _Toc69387732 \h </w:instrText>
        </w:r>
        <w:r w:rsidR="00932D42">
          <w:rPr>
            <w:noProof/>
            <w:webHidden/>
          </w:rPr>
        </w:r>
        <w:r w:rsidR="00932D42">
          <w:rPr>
            <w:noProof/>
            <w:webHidden/>
          </w:rPr>
          <w:fldChar w:fldCharType="separate"/>
        </w:r>
        <w:r w:rsidR="00593FFB">
          <w:rPr>
            <w:noProof/>
            <w:webHidden/>
          </w:rPr>
          <w:t>21</w:t>
        </w:r>
        <w:r w:rsidR="00932D42">
          <w:rPr>
            <w:noProof/>
            <w:webHidden/>
          </w:rPr>
          <w:fldChar w:fldCharType="end"/>
        </w:r>
      </w:hyperlink>
    </w:p>
    <w:p w14:paraId="69BAA71A" w14:textId="701FCB76" w:rsidR="00932D42" w:rsidRDefault="006C38E9">
      <w:pPr>
        <w:pStyle w:val="TableofFigures"/>
        <w:rPr>
          <w:rFonts w:asciiTheme="minorHAnsi" w:eastAsiaTheme="minorEastAsia" w:hAnsiTheme="minorHAnsi" w:cstheme="minorBidi"/>
          <w:noProof/>
          <w:color w:val="auto"/>
          <w:sz w:val="22"/>
          <w:szCs w:val="22"/>
        </w:rPr>
      </w:pPr>
      <w:hyperlink w:anchor="_Toc69387733" w:history="1">
        <w:r w:rsidR="00932D42" w:rsidRPr="00631268">
          <w:rPr>
            <w:rStyle w:val="Hyperlink"/>
            <w:rFonts w:eastAsiaTheme="majorEastAsia"/>
            <w:noProof/>
          </w:rPr>
          <w:t>Table 4. Stream Metabolism evaluation questions and answers relating to Commonwealth environmental water (CEW) and environmental water (eWater). The Lock 6 site has been used to answer the evaluation questions.</w:t>
        </w:r>
        <w:r w:rsidR="00932D42">
          <w:rPr>
            <w:noProof/>
            <w:webHidden/>
          </w:rPr>
          <w:tab/>
        </w:r>
        <w:r w:rsidR="00932D42">
          <w:rPr>
            <w:noProof/>
            <w:webHidden/>
          </w:rPr>
          <w:fldChar w:fldCharType="begin"/>
        </w:r>
        <w:r w:rsidR="00932D42">
          <w:rPr>
            <w:noProof/>
            <w:webHidden/>
          </w:rPr>
          <w:instrText xml:space="preserve"> PAGEREF _Toc69387733 \h </w:instrText>
        </w:r>
        <w:r w:rsidR="00932D42">
          <w:rPr>
            <w:noProof/>
            <w:webHidden/>
          </w:rPr>
        </w:r>
        <w:r w:rsidR="00932D42">
          <w:rPr>
            <w:noProof/>
            <w:webHidden/>
          </w:rPr>
          <w:fldChar w:fldCharType="separate"/>
        </w:r>
        <w:r w:rsidR="00593FFB">
          <w:rPr>
            <w:noProof/>
            <w:webHidden/>
          </w:rPr>
          <w:t>43</w:t>
        </w:r>
        <w:r w:rsidR="00932D42">
          <w:rPr>
            <w:noProof/>
            <w:webHidden/>
          </w:rPr>
          <w:fldChar w:fldCharType="end"/>
        </w:r>
      </w:hyperlink>
    </w:p>
    <w:p w14:paraId="38A98C27" w14:textId="794AFC05" w:rsidR="00932D42" w:rsidRDefault="006C38E9">
      <w:pPr>
        <w:pStyle w:val="TableofFigures"/>
        <w:rPr>
          <w:rFonts w:asciiTheme="minorHAnsi" w:eastAsiaTheme="minorEastAsia" w:hAnsiTheme="minorHAnsi" w:cstheme="minorBidi"/>
          <w:noProof/>
          <w:color w:val="auto"/>
          <w:sz w:val="22"/>
          <w:szCs w:val="22"/>
        </w:rPr>
      </w:pPr>
      <w:hyperlink w:anchor="_Toc69387734" w:history="1">
        <w:r w:rsidR="00932D42" w:rsidRPr="00631268">
          <w:rPr>
            <w:rStyle w:val="Hyperlink"/>
            <w:rFonts w:eastAsiaTheme="majorEastAsia"/>
            <w:noProof/>
          </w:rPr>
          <w:t>Table 5. Six-year record of modelled salt export (tonnes) over the barrages to the Coorong estuary and through the Murray Mouth into the Southern Ocean.</w:t>
        </w:r>
        <w:r w:rsidR="00932D42">
          <w:rPr>
            <w:noProof/>
            <w:webHidden/>
          </w:rPr>
          <w:tab/>
        </w:r>
        <w:r w:rsidR="00932D42">
          <w:rPr>
            <w:noProof/>
            <w:webHidden/>
          </w:rPr>
          <w:fldChar w:fldCharType="begin"/>
        </w:r>
        <w:r w:rsidR="00932D42">
          <w:rPr>
            <w:noProof/>
            <w:webHidden/>
          </w:rPr>
          <w:instrText xml:space="preserve"> PAGEREF _Toc69387734 \h </w:instrText>
        </w:r>
        <w:r w:rsidR="00932D42">
          <w:rPr>
            <w:noProof/>
            <w:webHidden/>
          </w:rPr>
        </w:r>
        <w:r w:rsidR="00932D42">
          <w:rPr>
            <w:noProof/>
            <w:webHidden/>
          </w:rPr>
          <w:fldChar w:fldCharType="separate"/>
        </w:r>
        <w:r w:rsidR="00593FFB">
          <w:rPr>
            <w:noProof/>
            <w:webHidden/>
          </w:rPr>
          <w:t>56</w:t>
        </w:r>
        <w:r w:rsidR="00932D42">
          <w:rPr>
            <w:noProof/>
            <w:webHidden/>
          </w:rPr>
          <w:fldChar w:fldCharType="end"/>
        </w:r>
      </w:hyperlink>
    </w:p>
    <w:p w14:paraId="5B7289BC" w14:textId="38C4217B" w:rsidR="00932D42" w:rsidRDefault="006C38E9">
      <w:pPr>
        <w:pStyle w:val="TableofFigures"/>
        <w:rPr>
          <w:rFonts w:asciiTheme="minorHAnsi" w:eastAsiaTheme="minorEastAsia" w:hAnsiTheme="minorHAnsi" w:cstheme="minorBidi"/>
          <w:noProof/>
          <w:color w:val="auto"/>
          <w:sz w:val="22"/>
          <w:szCs w:val="22"/>
        </w:rPr>
      </w:pPr>
      <w:hyperlink w:anchor="_Toc69387735" w:history="1">
        <w:r w:rsidR="00932D42" w:rsidRPr="00631268">
          <w:rPr>
            <w:rStyle w:val="Hyperlink"/>
            <w:rFonts w:eastAsiaTheme="majorEastAsia"/>
            <w:noProof/>
          </w:rPr>
          <w:t>Table 6. Total loads of dissolved and particulate matter (tonnes) in 2019-20.</w:t>
        </w:r>
        <w:r w:rsidR="00932D42">
          <w:rPr>
            <w:noProof/>
            <w:webHidden/>
          </w:rPr>
          <w:tab/>
        </w:r>
        <w:r w:rsidR="00932D42">
          <w:rPr>
            <w:noProof/>
            <w:webHidden/>
          </w:rPr>
          <w:fldChar w:fldCharType="begin"/>
        </w:r>
        <w:r w:rsidR="00932D42">
          <w:rPr>
            <w:noProof/>
            <w:webHidden/>
          </w:rPr>
          <w:instrText xml:space="preserve"> PAGEREF _Toc69387735 \h </w:instrText>
        </w:r>
        <w:r w:rsidR="00932D42">
          <w:rPr>
            <w:noProof/>
            <w:webHidden/>
          </w:rPr>
        </w:r>
        <w:r w:rsidR="00932D42">
          <w:rPr>
            <w:noProof/>
            <w:webHidden/>
          </w:rPr>
          <w:fldChar w:fldCharType="separate"/>
        </w:r>
        <w:r w:rsidR="00593FFB">
          <w:rPr>
            <w:noProof/>
            <w:webHidden/>
          </w:rPr>
          <w:t>60</w:t>
        </w:r>
        <w:r w:rsidR="00932D42">
          <w:rPr>
            <w:noProof/>
            <w:webHidden/>
          </w:rPr>
          <w:fldChar w:fldCharType="end"/>
        </w:r>
      </w:hyperlink>
    </w:p>
    <w:p w14:paraId="541ADBC5" w14:textId="770F9F1B" w:rsidR="00932D42" w:rsidRDefault="006C38E9">
      <w:pPr>
        <w:pStyle w:val="TableofFigures"/>
        <w:rPr>
          <w:rFonts w:asciiTheme="minorHAnsi" w:eastAsiaTheme="minorEastAsia" w:hAnsiTheme="minorHAnsi" w:cstheme="minorBidi"/>
          <w:noProof/>
          <w:color w:val="auto"/>
          <w:sz w:val="22"/>
          <w:szCs w:val="22"/>
        </w:rPr>
      </w:pPr>
      <w:hyperlink w:anchor="_Toc69387736" w:history="1">
        <w:r w:rsidR="00932D42" w:rsidRPr="00631268">
          <w:rPr>
            <w:rStyle w:val="Hyperlink"/>
            <w:rFonts w:eastAsiaTheme="majorEastAsia"/>
            <w:noProof/>
          </w:rPr>
          <w:t>Table 7. Six-year record of modelled phytoplankton (chlorophyll) export expressed as carbon, (tonnes) over the barrages to the Murray estuary and Coorong.</w:t>
        </w:r>
        <w:r w:rsidR="00932D42">
          <w:rPr>
            <w:noProof/>
            <w:webHidden/>
          </w:rPr>
          <w:tab/>
        </w:r>
        <w:r w:rsidR="00932D42">
          <w:rPr>
            <w:noProof/>
            <w:webHidden/>
          </w:rPr>
          <w:fldChar w:fldCharType="begin"/>
        </w:r>
        <w:r w:rsidR="00932D42">
          <w:rPr>
            <w:noProof/>
            <w:webHidden/>
          </w:rPr>
          <w:instrText xml:space="preserve"> PAGEREF _Toc69387736 \h </w:instrText>
        </w:r>
        <w:r w:rsidR="00932D42">
          <w:rPr>
            <w:noProof/>
            <w:webHidden/>
          </w:rPr>
        </w:r>
        <w:r w:rsidR="00932D42">
          <w:rPr>
            <w:noProof/>
            <w:webHidden/>
          </w:rPr>
          <w:fldChar w:fldCharType="separate"/>
        </w:r>
        <w:r w:rsidR="00593FFB">
          <w:rPr>
            <w:noProof/>
            <w:webHidden/>
          </w:rPr>
          <w:t>61</w:t>
        </w:r>
        <w:r w:rsidR="00932D42">
          <w:rPr>
            <w:noProof/>
            <w:webHidden/>
          </w:rPr>
          <w:fldChar w:fldCharType="end"/>
        </w:r>
      </w:hyperlink>
    </w:p>
    <w:p w14:paraId="256DF2AE" w14:textId="7F934610" w:rsidR="00932D42" w:rsidRDefault="006C38E9">
      <w:pPr>
        <w:pStyle w:val="TableofFigures"/>
        <w:rPr>
          <w:rFonts w:asciiTheme="minorHAnsi" w:eastAsiaTheme="minorEastAsia" w:hAnsiTheme="minorHAnsi" w:cstheme="minorBidi"/>
          <w:noProof/>
          <w:color w:val="auto"/>
          <w:sz w:val="22"/>
          <w:szCs w:val="22"/>
        </w:rPr>
      </w:pPr>
      <w:hyperlink w:anchor="_Toc69387737" w:history="1">
        <w:r w:rsidR="00932D42" w:rsidRPr="00631268">
          <w:rPr>
            <w:rStyle w:val="Hyperlink"/>
            <w:rFonts w:eastAsiaTheme="majorEastAsia"/>
            <w:noProof/>
          </w:rPr>
          <w:t>Table 8. Matter Transport evaluation questions and answers. CEW = Commonwealth environmental water.</w:t>
        </w:r>
        <w:r w:rsidR="00932D42">
          <w:rPr>
            <w:noProof/>
            <w:webHidden/>
          </w:rPr>
          <w:tab/>
        </w:r>
        <w:r w:rsidR="00932D42">
          <w:rPr>
            <w:noProof/>
            <w:webHidden/>
          </w:rPr>
          <w:fldChar w:fldCharType="begin"/>
        </w:r>
        <w:r w:rsidR="00932D42">
          <w:rPr>
            <w:noProof/>
            <w:webHidden/>
          </w:rPr>
          <w:instrText xml:space="preserve"> PAGEREF _Toc69387737 \h </w:instrText>
        </w:r>
        <w:r w:rsidR="00932D42">
          <w:rPr>
            <w:noProof/>
            <w:webHidden/>
          </w:rPr>
        </w:r>
        <w:r w:rsidR="00932D42">
          <w:rPr>
            <w:noProof/>
            <w:webHidden/>
          </w:rPr>
          <w:fldChar w:fldCharType="separate"/>
        </w:r>
        <w:r w:rsidR="00593FFB">
          <w:rPr>
            <w:noProof/>
            <w:webHidden/>
          </w:rPr>
          <w:t>62</w:t>
        </w:r>
        <w:r w:rsidR="00932D42">
          <w:rPr>
            <w:noProof/>
            <w:webHidden/>
          </w:rPr>
          <w:fldChar w:fldCharType="end"/>
        </w:r>
      </w:hyperlink>
    </w:p>
    <w:p w14:paraId="0603B616" w14:textId="0FC1786D" w:rsidR="00932D42" w:rsidRDefault="006C38E9">
      <w:pPr>
        <w:pStyle w:val="TableofFigures"/>
        <w:rPr>
          <w:rFonts w:asciiTheme="minorHAnsi" w:eastAsiaTheme="minorEastAsia" w:hAnsiTheme="minorHAnsi" w:cstheme="minorBidi"/>
          <w:noProof/>
          <w:color w:val="auto"/>
          <w:sz w:val="22"/>
          <w:szCs w:val="22"/>
        </w:rPr>
      </w:pPr>
      <w:hyperlink w:anchor="_Toc69387738" w:history="1">
        <w:r w:rsidR="00932D42" w:rsidRPr="00631268">
          <w:rPr>
            <w:rStyle w:val="Hyperlink"/>
            <w:rFonts w:eastAsiaTheme="majorEastAsia"/>
            <w:noProof/>
          </w:rPr>
          <w:t>Table 9. Salinity suitability at different temperature levels for a range of Coorong fish species used to develop a habitat suitability index (HSI).</w:t>
        </w:r>
        <w:r w:rsidR="00932D42">
          <w:rPr>
            <w:noProof/>
            <w:webHidden/>
          </w:rPr>
          <w:tab/>
        </w:r>
        <w:r w:rsidR="00932D42">
          <w:rPr>
            <w:noProof/>
            <w:webHidden/>
          </w:rPr>
          <w:fldChar w:fldCharType="begin"/>
        </w:r>
        <w:r w:rsidR="00932D42">
          <w:rPr>
            <w:noProof/>
            <w:webHidden/>
          </w:rPr>
          <w:instrText xml:space="preserve"> PAGEREF _Toc69387738 \h </w:instrText>
        </w:r>
        <w:r w:rsidR="00932D42">
          <w:rPr>
            <w:noProof/>
            <w:webHidden/>
          </w:rPr>
        </w:r>
        <w:r w:rsidR="00932D42">
          <w:rPr>
            <w:noProof/>
            <w:webHidden/>
          </w:rPr>
          <w:fldChar w:fldCharType="separate"/>
        </w:r>
        <w:r w:rsidR="00593FFB">
          <w:rPr>
            <w:noProof/>
            <w:webHidden/>
          </w:rPr>
          <w:t>68</w:t>
        </w:r>
        <w:r w:rsidR="00932D42">
          <w:rPr>
            <w:noProof/>
            <w:webHidden/>
          </w:rPr>
          <w:fldChar w:fldCharType="end"/>
        </w:r>
      </w:hyperlink>
    </w:p>
    <w:p w14:paraId="576D184C" w14:textId="6E3D896C" w:rsidR="00932D42" w:rsidRDefault="006C38E9">
      <w:pPr>
        <w:pStyle w:val="TableofFigures"/>
        <w:rPr>
          <w:rFonts w:asciiTheme="minorHAnsi" w:eastAsiaTheme="minorEastAsia" w:hAnsiTheme="minorHAnsi" w:cstheme="minorBidi"/>
          <w:noProof/>
          <w:color w:val="auto"/>
          <w:sz w:val="22"/>
          <w:szCs w:val="22"/>
        </w:rPr>
      </w:pPr>
      <w:hyperlink w:anchor="_Toc69387739" w:history="1">
        <w:r w:rsidR="00932D42" w:rsidRPr="00631268">
          <w:rPr>
            <w:rStyle w:val="Hyperlink"/>
            <w:rFonts w:eastAsiaTheme="majorEastAsia"/>
            <w:noProof/>
          </w:rPr>
          <w:t xml:space="preserve">Table 10. Summary of </w:t>
        </w:r>
        <m:oMath>
          <m:r>
            <m:rPr>
              <m:sty m:val="bi"/>
            </m:rPr>
            <w:rPr>
              <w:rStyle w:val="Hyperlink"/>
              <w:rFonts w:ascii="Cambria Math" w:eastAsiaTheme="majorEastAsia" w:hAnsi="Cambria Math"/>
              <w:noProof/>
            </w:rPr>
            <m:t>LC</m:t>
          </m:r>
          <m:r>
            <m:rPr>
              <m:sty m:val="bi"/>
            </m:rPr>
            <w:rPr>
              <w:rStyle w:val="Hyperlink"/>
              <w:rFonts w:ascii="Cambria Math" w:eastAsiaTheme="majorEastAsia" w:hAnsi="Cambria Math"/>
              <w:noProof/>
            </w:rPr>
            <m:t>50</m:t>
          </m:r>
        </m:oMath>
        <w:r w:rsidR="00932D42" w:rsidRPr="00631268">
          <w:rPr>
            <w:rStyle w:val="Hyperlink"/>
            <w:rFonts w:eastAsiaTheme="majorEastAsia"/>
            <w:noProof/>
          </w:rPr>
          <w:t xml:space="preserve">and </w:t>
        </w:r>
        <m:oMath>
          <m:r>
            <m:rPr>
              <m:sty m:val="bi"/>
            </m:rPr>
            <w:rPr>
              <w:rStyle w:val="Hyperlink"/>
              <w:rFonts w:ascii="Cambria Math" w:eastAsiaTheme="majorEastAsia" w:hAnsi="Cambria Math"/>
              <w:noProof/>
            </w:rPr>
            <m:t>LC</m:t>
          </m:r>
          <m:r>
            <m:rPr>
              <m:sty m:val="bi"/>
            </m:rPr>
            <w:rPr>
              <w:rStyle w:val="Hyperlink"/>
              <w:rFonts w:ascii="Cambria Math" w:eastAsiaTheme="majorEastAsia" w:hAnsi="Cambria Math"/>
              <w:noProof/>
            </w:rPr>
            <m:t>10</m:t>
          </m:r>
        </m:oMath>
        <w:r w:rsidR="00932D42" w:rsidRPr="00631268">
          <w:rPr>
            <w:rStyle w:val="Hyperlink"/>
            <w:rFonts w:eastAsiaTheme="majorEastAsia"/>
            <w:noProof/>
          </w:rPr>
          <w:t xml:space="preserve"> estimates (expressed as ppt) for six species at 14</w:t>
        </w:r>
        <w:r w:rsidR="00932D42" w:rsidRPr="00631268">
          <w:rPr>
            <w:rStyle w:val="Hyperlink"/>
            <w:rFonts w:eastAsiaTheme="majorEastAsia" w:cstheme="minorHAnsi"/>
            <w:noProof/>
          </w:rPr>
          <w:t>°</w:t>
        </w:r>
        <w:r w:rsidR="00932D42" w:rsidRPr="00631268">
          <w:rPr>
            <w:rStyle w:val="Hyperlink"/>
            <w:rFonts w:eastAsiaTheme="majorEastAsia"/>
            <w:noProof/>
          </w:rPr>
          <w:t>C (</w:t>
        </w:r>
        <m:oMath>
          <m:r>
            <m:rPr>
              <m:sty m:val="bi"/>
            </m:rPr>
            <w:rPr>
              <w:rStyle w:val="Hyperlink"/>
              <w:rFonts w:ascii="Cambria Math" w:eastAsiaTheme="majorEastAsia" w:hAnsi="Cambria Math"/>
              <w:noProof/>
            </w:rPr>
            <m:t>LC</m:t>
          </m:r>
          <m:r>
            <m:rPr>
              <m:sty m:val="bi"/>
            </m:rPr>
            <w:rPr>
              <w:rStyle w:val="Hyperlink"/>
              <w:rFonts w:ascii="Cambria Math" w:eastAsiaTheme="majorEastAsia" w:hAnsi="Cambria Math"/>
              <w:noProof/>
            </w:rPr>
            <m:t>14</m:t>
          </m:r>
        </m:oMath>
        <w:r w:rsidR="00932D42" w:rsidRPr="00631268">
          <w:rPr>
            <w:rStyle w:val="Hyperlink"/>
            <w:rFonts w:eastAsiaTheme="majorEastAsia"/>
            <w:noProof/>
          </w:rPr>
          <w:t>) and 23</w:t>
        </w:r>
        <w:r w:rsidR="00932D42" w:rsidRPr="00631268">
          <w:rPr>
            <w:rStyle w:val="Hyperlink"/>
            <w:rFonts w:eastAsiaTheme="majorEastAsia" w:cstheme="minorHAnsi"/>
            <w:noProof/>
          </w:rPr>
          <w:t>°</w:t>
        </w:r>
        <w:r w:rsidR="00932D42" w:rsidRPr="00631268">
          <w:rPr>
            <w:rStyle w:val="Hyperlink"/>
            <w:rFonts w:eastAsiaTheme="majorEastAsia"/>
            <w:noProof/>
          </w:rPr>
          <w:t>C (</w:t>
        </w:r>
        <m:oMath>
          <m:r>
            <m:rPr>
              <m:sty m:val="bi"/>
            </m:rPr>
            <w:rPr>
              <w:rStyle w:val="Hyperlink"/>
              <w:rFonts w:ascii="Cambria Math" w:eastAsiaTheme="majorEastAsia" w:hAnsi="Cambria Math"/>
              <w:noProof/>
            </w:rPr>
            <m:t>LC</m:t>
          </m:r>
          <m:r>
            <m:rPr>
              <m:sty m:val="bi"/>
            </m:rPr>
            <w:rPr>
              <w:rStyle w:val="Hyperlink"/>
              <w:rFonts w:ascii="Cambria Math" w:eastAsiaTheme="majorEastAsia" w:hAnsi="Cambria Math"/>
              <w:noProof/>
            </w:rPr>
            <m:t>23</m:t>
          </m:r>
        </m:oMath>
        <w:r w:rsidR="00932D42" w:rsidRPr="00631268">
          <w:rPr>
            <w:rStyle w:val="Hyperlink"/>
            <w:rFonts w:eastAsiaTheme="majorEastAsia"/>
            <w:noProof/>
          </w:rPr>
          <w:t>) temperatures.</w:t>
        </w:r>
        <w:r w:rsidR="00932D42">
          <w:rPr>
            <w:noProof/>
            <w:webHidden/>
          </w:rPr>
          <w:tab/>
        </w:r>
        <w:r w:rsidR="00932D42">
          <w:rPr>
            <w:noProof/>
            <w:webHidden/>
          </w:rPr>
          <w:fldChar w:fldCharType="begin"/>
        </w:r>
        <w:r w:rsidR="00932D42">
          <w:rPr>
            <w:noProof/>
            <w:webHidden/>
          </w:rPr>
          <w:instrText xml:space="preserve"> PAGEREF _Toc69387739 \h </w:instrText>
        </w:r>
        <w:r w:rsidR="00932D42">
          <w:rPr>
            <w:noProof/>
            <w:webHidden/>
          </w:rPr>
        </w:r>
        <w:r w:rsidR="00932D42">
          <w:rPr>
            <w:noProof/>
            <w:webHidden/>
          </w:rPr>
          <w:fldChar w:fldCharType="separate"/>
        </w:r>
        <w:r w:rsidR="00593FFB">
          <w:rPr>
            <w:noProof/>
            <w:webHidden/>
          </w:rPr>
          <w:t>68</w:t>
        </w:r>
        <w:r w:rsidR="00932D42">
          <w:rPr>
            <w:noProof/>
            <w:webHidden/>
          </w:rPr>
          <w:fldChar w:fldCharType="end"/>
        </w:r>
      </w:hyperlink>
    </w:p>
    <w:p w14:paraId="0F49FF31" w14:textId="61C7480B" w:rsidR="00932D42" w:rsidRDefault="006C38E9">
      <w:pPr>
        <w:pStyle w:val="TableofFigures"/>
        <w:rPr>
          <w:rFonts w:asciiTheme="minorHAnsi" w:eastAsiaTheme="minorEastAsia" w:hAnsiTheme="minorHAnsi" w:cstheme="minorBidi"/>
          <w:noProof/>
          <w:color w:val="auto"/>
          <w:sz w:val="22"/>
          <w:szCs w:val="22"/>
        </w:rPr>
      </w:pPr>
      <w:hyperlink w:anchor="_Toc69387740" w:history="1">
        <w:r w:rsidR="00932D42" w:rsidRPr="00631268">
          <w:rPr>
            <w:rStyle w:val="Hyperlink"/>
            <w:rFonts w:eastAsiaTheme="majorEastAsia"/>
            <w:noProof/>
          </w:rPr>
          <w:t>Table 11. PERMANOVA results comparing plant community in each inundation zone in each reach in December 2019.</w:t>
        </w:r>
        <w:r w:rsidR="00932D42">
          <w:rPr>
            <w:noProof/>
            <w:webHidden/>
          </w:rPr>
          <w:tab/>
        </w:r>
        <w:r w:rsidR="00932D42">
          <w:rPr>
            <w:noProof/>
            <w:webHidden/>
          </w:rPr>
          <w:fldChar w:fldCharType="begin"/>
        </w:r>
        <w:r w:rsidR="00932D42">
          <w:rPr>
            <w:noProof/>
            <w:webHidden/>
          </w:rPr>
          <w:instrText xml:space="preserve"> PAGEREF _Toc69387740 \h </w:instrText>
        </w:r>
        <w:r w:rsidR="00932D42">
          <w:rPr>
            <w:noProof/>
            <w:webHidden/>
          </w:rPr>
        </w:r>
        <w:r w:rsidR="00932D42">
          <w:rPr>
            <w:noProof/>
            <w:webHidden/>
          </w:rPr>
          <w:fldChar w:fldCharType="separate"/>
        </w:r>
        <w:r w:rsidR="00593FFB">
          <w:rPr>
            <w:noProof/>
            <w:webHidden/>
          </w:rPr>
          <w:t>84</w:t>
        </w:r>
        <w:r w:rsidR="00932D42">
          <w:rPr>
            <w:noProof/>
            <w:webHidden/>
          </w:rPr>
          <w:fldChar w:fldCharType="end"/>
        </w:r>
      </w:hyperlink>
    </w:p>
    <w:p w14:paraId="24CFBDA4" w14:textId="7B4ED8D6" w:rsidR="00932D42" w:rsidRDefault="006C38E9">
      <w:pPr>
        <w:pStyle w:val="TableofFigures"/>
        <w:rPr>
          <w:rFonts w:asciiTheme="minorHAnsi" w:eastAsiaTheme="minorEastAsia" w:hAnsiTheme="minorHAnsi" w:cstheme="minorBidi"/>
          <w:noProof/>
          <w:color w:val="auto"/>
          <w:sz w:val="22"/>
          <w:szCs w:val="22"/>
        </w:rPr>
      </w:pPr>
      <w:hyperlink w:anchor="_Toc69387741" w:history="1">
        <w:r w:rsidR="00932D42" w:rsidRPr="00631268">
          <w:rPr>
            <w:rStyle w:val="Hyperlink"/>
            <w:rFonts w:eastAsiaTheme="majorEastAsia"/>
            <w:noProof/>
          </w:rPr>
          <w:t>Table 12. PERMANOVA results comparing above ground biomass in each inundation zone in each reach in December 2019.</w:t>
        </w:r>
        <w:r w:rsidR="00932D42">
          <w:rPr>
            <w:noProof/>
            <w:webHidden/>
          </w:rPr>
          <w:tab/>
        </w:r>
        <w:r w:rsidR="00932D42">
          <w:rPr>
            <w:noProof/>
            <w:webHidden/>
          </w:rPr>
          <w:fldChar w:fldCharType="begin"/>
        </w:r>
        <w:r w:rsidR="00932D42">
          <w:rPr>
            <w:noProof/>
            <w:webHidden/>
          </w:rPr>
          <w:instrText xml:space="preserve"> PAGEREF _Toc69387741 \h </w:instrText>
        </w:r>
        <w:r w:rsidR="00932D42">
          <w:rPr>
            <w:noProof/>
            <w:webHidden/>
          </w:rPr>
        </w:r>
        <w:r w:rsidR="00932D42">
          <w:rPr>
            <w:noProof/>
            <w:webHidden/>
          </w:rPr>
          <w:fldChar w:fldCharType="separate"/>
        </w:r>
        <w:r w:rsidR="00593FFB">
          <w:rPr>
            <w:noProof/>
            <w:webHidden/>
          </w:rPr>
          <w:t>86</w:t>
        </w:r>
        <w:r w:rsidR="00932D42">
          <w:rPr>
            <w:noProof/>
            <w:webHidden/>
          </w:rPr>
          <w:fldChar w:fldCharType="end"/>
        </w:r>
      </w:hyperlink>
    </w:p>
    <w:p w14:paraId="50AAF0F4" w14:textId="46644387" w:rsidR="00932D42" w:rsidRDefault="006C38E9">
      <w:pPr>
        <w:pStyle w:val="TableofFigures"/>
        <w:rPr>
          <w:rFonts w:asciiTheme="minorHAnsi" w:eastAsiaTheme="minorEastAsia" w:hAnsiTheme="minorHAnsi" w:cstheme="minorBidi"/>
          <w:noProof/>
          <w:color w:val="auto"/>
          <w:sz w:val="22"/>
          <w:szCs w:val="22"/>
        </w:rPr>
      </w:pPr>
      <w:hyperlink w:anchor="_Toc69387742" w:history="1">
        <w:r w:rsidR="00932D42" w:rsidRPr="00631268">
          <w:rPr>
            <w:rStyle w:val="Hyperlink"/>
            <w:rFonts w:eastAsiaTheme="majorEastAsia"/>
            <w:noProof/>
          </w:rPr>
          <w:t>Table 13. Littoral Vegetation Diversity and Productivity evaluation questions and answers. CEW = Commonwealth environmental water, eWater = environmental water.</w:t>
        </w:r>
        <w:r w:rsidR="00932D42">
          <w:rPr>
            <w:noProof/>
            <w:webHidden/>
          </w:rPr>
          <w:tab/>
        </w:r>
        <w:r w:rsidR="00932D42">
          <w:rPr>
            <w:noProof/>
            <w:webHidden/>
          </w:rPr>
          <w:fldChar w:fldCharType="begin"/>
        </w:r>
        <w:r w:rsidR="00932D42">
          <w:rPr>
            <w:noProof/>
            <w:webHidden/>
          </w:rPr>
          <w:instrText xml:space="preserve"> PAGEREF _Toc69387742 \h </w:instrText>
        </w:r>
        <w:r w:rsidR="00932D42">
          <w:rPr>
            <w:noProof/>
            <w:webHidden/>
          </w:rPr>
        </w:r>
        <w:r w:rsidR="00932D42">
          <w:rPr>
            <w:noProof/>
            <w:webHidden/>
          </w:rPr>
          <w:fldChar w:fldCharType="separate"/>
        </w:r>
        <w:r w:rsidR="00593FFB">
          <w:rPr>
            <w:noProof/>
            <w:webHidden/>
          </w:rPr>
          <w:t>87</w:t>
        </w:r>
        <w:r w:rsidR="00932D42">
          <w:rPr>
            <w:noProof/>
            <w:webHidden/>
          </w:rPr>
          <w:fldChar w:fldCharType="end"/>
        </w:r>
      </w:hyperlink>
    </w:p>
    <w:p w14:paraId="48EA9935" w14:textId="0B15EA7A" w:rsidR="00932D42" w:rsidRDefault="006C38E9">
      <w:pPr>
        <w:pStyle w:val="TableofFigures"/>
        <w:rPr>
          <w:rFonts w:asciiTheme="minorHAnsi" w:eastAsiaTheme="minorEastAsia" w:hAnsiTheme="minorHAnsi" w:cstheme="minorBidi"/>
          <w:noProof/>
          <w:color w:val="auto"/>
          <w:sz w:val="22"/>
          <w:szCs w:val="22"/>
        </w:rPr>
      </w:pPr>
      <w:hyperlink w:anchor="_Toc69387743" w:history="1">
        <w:r w:rsidR="00932D42" w:rsidRPr="00631268">
          <w:rPr>
            <w:rStyle w:val="Hyperlink"/>
            <w:rFonts w:eastAsiaTheme="majorEastAsia"/>
            <w:noProof/>
          </w:rPr>
          <w:t>Table 14</w:t>
        </w:r>
        <w:r w:rsidR="00932D42" w:rsidRPr="00631268">
          <w:rPr>
            <w:rStyle w:val="Hyperlink"/>
            <w:rFonts w:eastAsiaTheme="majorEastAsia"/>
            <w:iCs/>
            <w:noProof/>
          </w:rPr>
          <w:t>.</w:t>
        </w:r>
        <w:r w:rsidR="00932D42" w:rsidRPr="00631268">
          <w:rPr>
            <w:rStyle w:val="Hyperlink"/>
            <w:rFonts w:eastAsiaTheme="majorEastAsia"/>
            <w:noProof/>
          </w:rPr>
          <w:t xml:space="preserve"> Microinvertebrate sampling dates from 2019-20 in the Lower Murray River.</w:t>
        </w:r>
        <w:r w:rsidR="00932D42">
          <w:rPr>
            <w:noProof/>
            <w:webHidden/>
          </w:rPr>
          <w:tab/>
        </w:r>
        <w:r w:rsidR="00932D42">
          <w:rPr>
            <w:noProof/>
            <w:webHidden/>
          </w:rPr>
          <w:fldChar w:fldCharType="begin"/>
        </w:r>
        <w:r w:rsidR="00932D42">
          <w:rPr>
            <w:noProof/>
            <w:webHidden/>
          </w:rPr>
          <w:instrText xml:space="preserve"> PAGEREF _Toc69387743 \h </w:instrText>
        </w:r>
        <w:r w:rsidR="00932D42">
          <w:rPr>
            <w:noProof/>
            <w:webHidden/>
          </w:rPr>
        </w:r>
        <w:r w:rsidR="00932D42">
          <w:rPr>
            <w:noProof/>
            <w:webHidden/>
          </w:rPr>
          <w:fldChar w:fldCharType="separate"/>
        </w:r>
        <w:r w:rsidR="00593FFB">
          <w:rPr>
            <w:noProof/>
            <w:webHidden/>
          </w:rPr>
          <w:t>92</w:t>
        </w:r>
        <w:r w:rsidR="00932D42">
          <w:rPr>
            <w:noProof/>
            <w:webHidden/>
          </w:rPr>
          <w:fldChar w:fldCharType="end"/>
        </w:r>
      </w:hyperlink>
    </w:p>
    <w:p w14:paraId="6B04548D" w14:textId="266A24C7" w:rsidR="00932D42" w:rsidRDefault="006C38E9">
      <w:pPr>
        <w:pStyle w:val="TableofFigures"/>
        <w:rPr>
          <w:rFonts w:asciiTheme="minorHAnsi" w:eastAsiaTheme="minorEastAsia" w:hAnsiTheme="minorHAnsi" w:cstheme="minorBidi"/>
          <w:noProof/>
          <w:color w:val="auto"/>
          <w:sz w:val="22"/>
          <w:szCs w:val="22"/>
        </w:rPr>
      </w:pPr>
      <w:hyperlink w:anchor="_Toc69387744" w:history="1">
        <w:r w:rsidR="00932D42" w:rsidRPr="00631268">
          <w:rPr>
            <w:rStyle w:val="Hyperlink"/>
            <w:rFonts w:eastAsiaTheme="majorEastAsia"/>
            <w:noProof/>
          </w:rPr>
          <w:t>Table 15</w:t>
        </w:r>
        <w:r w:rsidR="00932D42" w:rsidRPr="00631268">
          <w:rPr>
            <w:rStyle w:val="Hyperlink"/>
            <w:rFonts w:eastAsiaTheme="majorEastAsia"/>
            <w:iCs/>
            <w:noProof/>
          </w:rPr>
          <w:t>.</w:t>
        </w:r>
        <w:r w:rsidR="00932D42" w:rsidRPr="00631268">
          <w:rPr>
            <w:rStyle w:val="Hyperlink"/>
            <w:rFonts w:eastAsiaTheme="majorEastAsia"/>
            <w:noProof/>
          </w:rPr>
          <w:t xml:space="preserve"> Details of microinvertebrate sampling sites in the Lower Murray River.</w:t>
        </w:r>
        <w:r w:rsidR="00932D42">
          <w:rPr>
            <w:noProof/>
            <w:webHidden/>
          </w:rPr>
          <w:tab/>
        </w:r>
        <w:r w:rsidR="00932D42">
          <w:rPr>
            <w:noProof/>
            <w:webHidden/>
          </w:rPr>
          <w:fldChar w:fldCharType="begin"/>
        </w:r>
        <w:r w:rsidR="00932D42">
          <w:rPr>
            <w:noProof/>
            <w:webHidden/>
          </w:rPr>
          <w:instrText xml:space="preserve"> PAGEREF _Toc69387744 \h </w:instrText>
        </w:r>
        <w:r w:rsidR="00932D42">
          <w:rPr>
            <w:noProof/>
            <w:webHidden/>
          </w:rPr>
        </w:r>
        <w:r w:rsidR="00932D42">
          <w:rPr>
            <w:noProof/>
            <w:webHidden/>
          </w:rPr>
          <w:fldChar w:fldCharType="separate"/>
        </w:r>
        <w:r w:rsidR="00593FFB">
          <w:rPr>
            <w:noProof/>
            <w:webHidden/>
          </w:rPr>
          <w:t>93</w:t>
        </w:r>
        <w:r w:rsidR="00932D42">
          <w:rPr>
            <w:noProof/>
            <w:webHidden/>
          </w:rPr>
          <w:fldChar w:fldCharType="end"/>
        </w:r>
      </w:hyperlink>
    </w:p>
    <w:p w14:paraId="202C9E4F" w14:textId="5AC2BE2D" w:rsidR="00932D42" w:rsidRDefault="006C38E9">
      <w:pPr>
        <w:pStyle w:val="TableofFigures"/>
        <w:rPr>
          <w:rFonts w:asciiTheme="minorHAnsi" w:eastAsiaTheme="minorEastAsia" w:hAnsiTheme="minorHAnsi" w:cstheme="minorBidi"/>
          <w:noProof/>
          <w:color w:val="auto"/>
          <w:sz w:val="22"/>
          <w:szCs w:val="22"/>
        </w:rPr>
      </w:pPr>
      <w:hyperlink w:anchor="_Toc69387745" w:history="1">
        <w:r w:rsidR="00932D42" w:rsidRPr="00631268">
          <w:rPr>
            <w:rStyle w:val="Hyperlink"/>
            <w:rFonts w:eastAsiaTheme="majorEastAsia"/>
            <w:noProof/>
          </w:rPr>
          <w:t>Table 16. Taxa used to quantify the influence of environmental water on.</w:t>
        </w:r>
        <w:r w:rsidR="00932D42">
          <w:rPr>
            <w:noProof/>
            <w:webHidden/>
          </w:rPr>
          <w:tab/>
        </w:r>
        <w:r w:rsidR="00932D42">
          <w:rPr>
            <w:noProof/>
            <w:webHidden/>
          </w:rPr>
          <w:fldChar w:fldCharType="begin"/>
        </w:r>
        <w:r w:rsidR="00932D42">
          <w:rPr>
            <w:noProof/>
            <w:webHidden/>
          </w:rPr>
          <w:instrText xml:space="preserve"> PAGEREF _Toc69387745 \h </w:instrText>
        </w:r>
        <w:r w:rsidR="00932D42">
          <w:rPr>
            <w:noProof/>
            <w:webHidden/>
          </w:rPr>
        </w:r>
        <w:r w:rsidR="00932D42">
          <w:rPr>
            <w:noProof/>
            <w:webHidden/>
          </w:rPr>
          <w:fldChar w:fldCharType="separate"/>
        </w:r>
        <w:r w:rsidR="00593FFB">
          <w:rPr>
            <w:noProof/>
            <w:webHidden/>
          </w:rPr>
          <w:t>94</w:t>
        </w:r>
        <w:r w:rsidR="00932D42">
          <w:rPr>
            <w:noProof/>
            <w:webHidden/>
          </w:rPr>
          <w:fldChar w:fldCharType="end"/>
        </w:r>
      </w:hyperlink>
    </w:p>
    <w:p w14:paraId="6AC2048E" w14:textId="4A052ABA" w:rsidR="00932D42" w:rsidRDefault="006C38E9">
      <w:pPr>
        <w:pStyle w:val="TableofFigures"/>
        <w:rPr>
          <w:rFonts w:asciiTheme="minorHAnsi" w:eastAsiaTheme="minorEastAsia" w:hAnsiTheme="minorHAnsi" w:cstheme="minorBidi"/>
          <w:noProof/>
          <w:color w:val="auto"/>
          <w:sz w:val="22"/>
          <w:szCs w:val="22"/>
        </w:rPr>
      </w:pPr>
      <w:hyperlink w:anchor="_Toc69387746" w:history="1">
        <w:r w:rsidR="00932D42" w:rsidRPr="00631268">
          <w:rPr>
            <w:rStyle w:val="Hyperlink"/>
            <w:rFonts w:eastAsiaTheme="majorEastAsia"/>
            <w:noProof/>
          </w:rPr>
          <w:t>Table 17. Microinvertebrate prey species for fish larvae of large-bodied native species identified from gut content analysis used in modelling fish prey species density.</w:t>
        </w:r>
        <w:r w:rsidR="00932D42">
          <w:rPr>
            <w:noProof/>
            <w:webHidden/>
          </w:rPr>
          <w:tab/>
        </w:r>
        <w:r w:rsidR="00932D42">
          <w:rPr>
            <w:noProof/>
            <w:webHidden/>
          </w:rPr>
          <w:fldChar w:fldCharType="begin"/>
        </w:r>
        <w:r w:rsidR="00932D42">
          <w:rPr>
            <w:noProof/>
            <w:webHidden/>
          </w:rPr>
          <w:instrText xml:space="preserve"> PAGEREF _Toc69387746 \h </w:instrText>
        </w:r>
        <w:r w:rsidR="00932D42">
          <w:rPr>
            <w:noProof/>
            <w:webHidden/>
          </w:rPr>
        </w:r>
        <w:r w:rsidR="00932D42">
          <w:rPr>
            <w:noProof/>
            <w:webHidden/>
          </w:rPr>
          <w:fldChar w:fldCharType="separate"/>
        </w:r>
        <w:r w:rsidR="00593FFB">
          <w:rPr>
            <w:noProof/>
            <w:webHidden/>
          </w:rPr>
          <w:t>95</w:t>
        </w:r>
        <w:r w:rsidR="00932D42">
          <w:rPr>
            <w:noProof/>
            <w:webHidden/>
          </w:rPr>
          <w:fldChar w:fldCharType="end"/>
        </w:r>
      </w:hyperlink>
    </w:p>
    <w:p w14:paraId="5E38EF1E" w14:textId="77777777" w:rsidR="00A24026" w:rsidRDefault="00A24026">
      <w:pPr>
        <w:pStyle w:val="TableofFigures"/>
        <w:rPr>
          <w:noProof/>
        </w:rPr>
      </w:pPr>
    </w:p>
    <w:p w14:paraId="577345EB" w14:textId="77777777" w:rsidR="00A24026" w:rsidRDefault="00A24026">
      <w:pPr>
        <w:spacing w:before="0" w:after="160" w:line="259" w:lineRule="auto"/>
        <w:jc w:val="left"/>
        <w:rPr>
          <w:noProof/>
          <w:kern w:val="0"/>
          <w:lang w:eastAsia="en-AU"/>
        </w:rPr>
      </w:pPr>
      <w:r>
        <w:rPr>
          <w:noProof/>
        </w:rPr>
        <w:br w:type="page"/>
      </w:r>
    </w:p>
    <w:p w14:paraId="30359CD8" w14:textId="7D615C7E" w:rsidR="00932D42" w:rsidRDefault="006C38E9">
      <w:pPr>
        <w:pStyle w:val="TableofFigures"/>
        <w:rPr>
          <w:rFonts w:asciiTheme="minorHAnsi" w:eastAsiaTheme="minorEastAsia" w:hAnsiTheme="minorHAnsi" w:cstheme="minorBidi"/>
          <w:noProof/>
          <w:color w:val="auto"/>
          <w:sz w:val="22"/>
          <w:szCs w:val="22"/>
        </w:rPr>
      </w:pPr>
      <w:hyperlink w:anchor="_Toc69387747" w:history="1">
        <w:r w:rsidR="00932D42" w:rsidRPr="00631268">
          <w:rPr>
            <w:rStyle w:val="Hyperlink"/>
            <w:rFonts w:eastAsiaTheme="majorEastAsia"/>
            <w:noProof/>
          </w:rPr>
          <w:t>Table 18. Microinvertebrate Assemblage evaluation questions and answers. CEW = Commonwealth environmental water, eWater = environmental water. Hypotheses: H1a, H1b, H2a, H2b and H3. The mean [95% CI] and % attributable to CEW contributions for each water year are detailed for each evaluation question and each water year. The significance of the contribution was classified as none-negligible if the contribution was 0–9%, minor = 10–19%, moderate =20–29% and substantial = ≥30%.</w:t>
        </w:r>
        <w:r w:rsidR="00932D42">
          <w:rPr>
            <w:noProof/>
            <w:webHidden/>
          </w:rPr>
          <w:tab/>
        </w:r>
        <w:r w:rsidR="00932D42">
          <w:rPr>
            <w:noProof/>
            <w:webHidden/>
          </w:rPr>
          <w:fldChar w:fldCharType="begin"/>
        </w:r>
        <w:r w:rsidR="00932D42">
          <w:rPr>
            <w:noProof/>
            <w:webHidden/>
          </w:rPr>
          <w:instrText xml:space="preserve"> PAGEREF _Toc69387747 \h </w:instrText>
        </w:r>
        <w:r w:rsidR="00932D42">
          <w:rPr>
            <w:noProof/>
            <w:webHidden/>
          </w:rPr>
        </w:r>
        <w:r w:rsidR="00932D42">
          <w:rPr>
            <w:noProof/>
            <w:webHidden/>
          </w:rPr>
          <w:fldChar w:fldCharType="separate"/>
        </w:r>
        <w:r w:rsidR="00593FFB">
          <w:rPr>
            <w:noProof/>
            <w:webHidden/>
          </w:rPr>
          <w:t>101</w:t>
        </w:r>
        <w:r w:rsidR="00932D42">
          <w:rPr>
            <w:noProof/>
            <w:webHidden/>
          </w:rPr>
          <w:fldChar w:fldCharType="end"/>
        </w:r>
      </w:hyperlink>
    </w:p>
    <w:p w14:paraId="13CEDB78" w14:textId="09E804D9" w:rsidR="00932D42" w:rsidRDefault="006C38E9">
      <w:pPr>
        <w:pStyle w:val="TableofFigures"/>
        <w:rPr>
          <w:rFonts w:asciiTheme="minorHAnsi" w:eastAsiaTheme="minorEastAsia" w:hAnsiTheme="minorHAnsi" w:cstheme="minorBidi"/>
          <w:noProof/>
          <w:color w:val="auto"/>
          <w:sz w:val="22"/>
          <w:szCs w:val="22"/>
        </w:rPr>
      </w:pPr>
      <w:hyperlink w:anchor="_Toc69387748" w:history="1">
        <w:r w:rsidR="00932D42" w:rsidRPr="00631268">
          <w:rPr>
            <w:rStyle w:val="Hyperlink"/>
            <w:rFonts w:eastAsiaTheme="majorEastAsia"/>
            <w:noProof/>
          </w:rPr>
          <w:t>Table 19. Flow-cued Spawning Fish Recruitment evaluation questions and answers. YOY = young-of-year.</w:t>
        </w:r>
        <w:r w:rsidR="00932D42">
          <w:rPr>
            <w:noProof/>
            <w:webHidden/>
          </w:rPr>
          <w:tab/>
        </w:r>
        <w:r w:rsidR="00932D42">
          <w:rPr>
            <w:noProof/>
            <w:webHidden/>
          </w:rPr>
          <w:fldChar w:fldCharType="begin"/>
        </w:r>
        <w:r w:rsidR="00932D42">
          <w:rPr>
            <w:noProof/>
            <w:webHidden/>
          </w:rPr>
          <w:instrText xml:space="preserve"> PAGEREF _Toc69387748 \h </w:instrText>
        </w:r>
        <w:r w:rsidR="00932D42">
          <w:rPr>
            <w:noProof/>
            <w:webHidden/>
          </w:rPr>
        </w:r>
        <w:r w:rsidR="00932D42">
          <w:rPr>
            <w:noProof/>
            <w:webHidden/>
          </w:rPr>
          <w:fldChar w:fldCharType="separate"/>
        </w:r>
        <w:r w:rsidR="00593FFB">
          <w:rPr>
            <w:noProof/>
            <w:webHidden/>
          </w:rPr>
          <w:t>112</w:t>
        </w:r>
        <w:r w:rsidR="00932D42">
          <w:rPr>
            <w:noProof/>
            <w:webHidden/>
          </w:rPr>
          <w:fldChar w:fldCharType="end"/>
        </w:r>
      </w:hyperlink>
    </w:p>
    <w:p w14:paraId="01C64BA3" w14:textId="300F14F0" w:rsidR="00932D42" w:rsidRDefault="006C38E9">
      <w:pPr>
        <w:pStyle w:val="TableofFigures"/>
        <w:rPr>
          <w:rFonts w:asciiTheme="minorHAnsi" w:eastAsiaTheme="minorEastAsia" w:hAnsiTheme="minorHAnsi" w:cstheme="minorBidi"/>
          <w:noProof/>
          <w:color w:val="auto"/>
          <w:sz w:val="22"/>
          <w:szCs w:val="22"/>
        </w:rPr>
      </w:pPr>
      <w:hyperlink w:anchor="_Toc69387749" w:history="1">
        <w:r w:rsidR="00932D42" w:rsidRPr="00631268">
          <w:rPr>
            <w:rStyle w:val="Hyperlink"/>
            <w:rFonts w:eastAsiaTheme="majorEastAsia"/>
            <w:noProof/>
          </w:rPr>
          <w:t>Table 20. Sampling trips targeting Murray cod in the Lower Murray River during 2019-20.</w:t>
        </w:r>
        <w:r w:rsidR="00932D42">
          <w:rPr>
            <w:noProof/>
            <w:webHidden/>
          </w:rPr>
          <w:tab/>
        </w:r>
        <w:r w:rsidR="00932D42">
          <w:rPr>
            <w:noProof/>
            <w:webHidden/>
          </w:rPr>
          <w:fldChar w:fldCharType="begin"/>
        </w:r>
        <w:r w:rsidR="00932D42">
          <w:rPr>
            <w:noProof/>
            <w:webHidden/>
          </w:rPr>
          <w:instrText xml:space="preserve"> PAGEREF _Toc69387749 \h </w:instrText>
        </w:r>
        <w:r w:rsidR="00932D42">
          <w:rPr>
            <w:noProof/>
            <w:webHidden/>
          </w:rPr>
        </w:r>
        <w:r w:rsidR="00932D42">
          <w:rPr>
            <w:noProof/>
            <w:webHidden/>
          </w:rPr>
          <w:fldChar w:fldCharType="separate"/>
        </w:r>
        <w:r w:rsidR="00593FFB">
          <w:rPr>
            <w:noProof/>
            <w:webHidden/>
          </w:rPr>
          <w:t>116</w:t>
        </w:r>
        <w:r w:rsidR="00932D42">
          <w:rPr>
            <w:noProof/>
            <w:webHidden/>
          </w:rPr>
          <w:fldChar w:fldCharType="end"/>
        </w:r>
      </w:hyperlink>
    </w:p>
    <w:p w14:paraId="2F5052CE" w14:textId="4FEEEC78" w:rsidR="00932D42" w:rsidRDefault="006C38E9">
      <w:pPr>
        <w:pStyle w:val="TableofFigures"/>
        <w:rPr>
          <w:rFonts w:asciiTheme="minorHAnsi" w:eastAsiaTheme="minorEastAsia" w:hAnsiTheme="minorHAnsi" w:cstheme="minorBidi"/>
          <w:noProof/>
          <w:color w:val="auto"/>
          <w:sz w:val="22"/>
          <w:szCs w:val="22"/>
        </w:rPr>
      </w:pPr>
      <w:hyperlink w:anchor="_Toc69387750" w:history="1">
        <w:r w:rsidR="00932D42" w:rsidRPr="00631268">
          <w:rPr>
            <w:rStyle w:val="Hyperlink"/>
            <w:rFonts w:eastAsiaTheme="majorEastAsia"/>
            <w:noProof/>
          </w:rPr>
          <w:t>Table 21. Catch summary of Murray cod in the tailwater (&lt;15 km) below Lock 3 and 4 in 2019-20.</w:t>
        </w:r>
        <w:r w:rsidR="00932D42">
          <w:rPr>
            <w:noProof/>
            <w:webHidden/>
          </w:rPr>
          <w:tab/>
        </w:r>
        <w:r w:rsidR="00932D42">
          <w:rPr>
            <w:noProof/>
            <w:webHidden/>
          </w:rPr>
          <w:fldChar w:fldCharType="begin"/>
        </w:r>
        <w:r w:rsidR="00932D42">
          <w:rPr>
            <w:noProof/>
            <w:webHidden/>
          </w:rPr>
          <w:instrText xml:space="preserve"> PAGEREF _Toc69387750 \h </w:instrText>
        </w:r>
        <w:r w:rsidR="00932D42">
          <w:rPr>
            <w:noProof/>
            <w:webHidden/>
          </w:rPr>
        </w:r>
        <w:r w:rsidR="00932D42">
          <w:rPr>
            <w:noProof/>
            <w:webHidden/>
          </w:rPr>
          <w:fldChar w:fldCharType="separate"/>
        </w:r>
        <w:r w:rsidR="00593FFB">
          <w:rPr>
            <w:noProof/>
            <w:webHidden/>
          </w:rPr>
          <w:t>118</w:t>
        </w:r>
        <w:r w:rsidR="00932D42">
          <w:rPr>
            <w:noProof/>
            <w:webHidden/>
          </w:rPr>
          <w:fldChar w:fldCharType="end"/>
        </w:r>
      </w:hyperlink>
    </w:p>
    <w:p w14:paraId="37857138" w14:textId="659831BE" w:rsidR="00932D42" w:rsidRDefault="006C38E9">
      <w:pPr>
        <w:pStyle w:val="TableofFigures"/>
        <w:rPr>
          <w:rFonts w:asciiTheme="minorHAnsi" w:eastAsiaTheme="minorEastAsia" w:hAnsiTheme="minorHAnsi" w:cstheme="minorBidi"/>
          <w:noProof/>
          <w:color w:val="auto"/>
          <w:sz w:val="22"/>
          <w:szCs w:val="22"/>
        </w:rPr>
      </w:pPr>
      <w:hyperlink w:anchor="_Toc69387751" w:history="1">
        <w:r w:rsidR="00932D42" w:rsidRPr="00631268">
          <w:rPr>
            <w:rStyle w:val="Hyperlink"/>
            <w:rFonts w:eastAsiaTheme="majorEastAsia"/>
            <w:noProof/>
          </w:rPr>
          <w:t>Table 22. Murray Cod Recruitment evaluation questions and answers. CEW = Commonwealth environmental water, eWater = environmental water.</w:t>
        </w:r>
        <w:r w:rsidR="00932D42">
          <w:rPr>
            <w:noProof/>
            <w:webHidden/>
          </w:rPr>
          <w:tab/>
        </w:r>
        <w:r w:rsidR="00932D42">
          <w:rPr>
            <w:noProof/>
            <w:webHidden/>
          </w:rPr>
          <w:fldChar w:fldCharType="begin"/>
        </w:r>
        <w:r w:rsidR="00932D42">
          <w:rPr>
            <w:noProof/>
            <w:webHidden/>
          </w:rPr>
          <w:instrText xml:space="preserve"> PAGEREF _Toc69387751 \h </w:instrText>
        </w:r>
        <w:r w:rsidR="00932D42">
          <w:rPr>
            <w:noProof/>
            <w:webHidden/>
          </w:rPr>
        </w:r>
        <w:r w:rsidR="00932D42">
          <w:rPr>
            <w:noProof/>
            <w:webHidden/>
          </w:rPr>
          <w:fldChar w:fldCharType="separate"/>
        </w:r>
        <w:r w:rsidR="00593FFB">
          <w:rPr>
            <w:noProof/>
            <w:webHidden/>
          </w:rPr>
          <w:t>125</w:t>
        </w:r>
        <w:r w:rsidR="00932D42">
          <w:rPr>
            <w:noProof/>
            <w:webHidden/>
          </w:rPr>
          <w:fldChar w:fldCharType="end"/>
        </w:r>
      </w:hyperlink>
    </w:p>
    <w:p w14:paraId="15554DA9" w14:textId="04A5EB3F" w:rsidR="00932D42" w:rsidRDefault="006C38E9">
      <w:pPr>
        <w:pStyle w:val="TableofFigures"/>
        <w:rPr>
          <w:rFonts w:asciiTheme="minorHAnsi" w:eastAsiaTheme="minorEastAsia" w:hAnsiTheme="minorHAnsi" w:cstheme="minorBidi"/>
          <w:noProof/>
          <w:color w:val="auto"/>
          <w:sz w:val="22"/>
          <w:szCs w:val="22"/>
        </w:rPr>
      </w:pPr>
      <w:hyperlink w:anchor="_Toc69387752" w:history="1">
        <w:r w:rsidR="00932D42" w:rsidRPr="00631268">
          <w:rPr>
            <w:rStyle w:val="Hyperlink"/>
            <w:rFonts w:eastAsiaTheme="majorEastAsia"/>
            <w:noProof/>
          </w:rPr>
          <w:t>Table 23. Lamprey Migration evaluation question and answer. CEW = Commonwealth environmental water, eWater = environmental water.</w:t>
        </w:r>
        <w:r w:rsidR="00932D42">
          <w:rPr>
            <w:noProof/>
            <w:webHidden/>
          </w:rPr>
          <w:tab/>
        </w:r>
        <w:r w:rsidR="00932D42">
          <w:rPr>
            <w:noProof/>
            <w:webHidden/>
          </w:rPr>
          <w:fldChar w:fldCharType="begin"/>
        </w:r>
        <w:r w:rsidR="00932D42">
          <w:rPr>
            <w:noProof/>
            <w:webHidden/>
          </w:rPr>
          <w:instrText xml:space="preserve"> PAGEREF _Toc69387752 \h </w:instrText>
        </w:r>
        <w:r w:rsidR="00932D42">
          <w:rPr>
            <w:noProof/>
            <w:webHidden/>
          </w:rPr>
        </w:r>
        <w:r w:rsidR="00932D42">
          <w:rPr>
            <w:noProof/>
            <w:webHidden/>
          </w:rPr>
          <w:fldChar w:fldCharType="separate"/>
        </w:r>
        <w:r w:rsidR="00593FFB">
          <w:rPr>
            <w:noProof/>
            <w:webHidden/>
          </w:rPr>
          <w:t>145</w:t>
        </w:r>
        <w:r w:rsidR="00932D42">
          <w:rPr>
            <w:noProof/>
            <w:webHidden/>
          </w:rPr>
          <w:fldChar w:fldCharType="end"/>
        </w:r>
      </w:hyperlink>
    </w:p>
    <w:p w14:paraId="0490F77B" w14:textId="2C196923" w:rsidR="00932D42" w:rsidRDefault="006C38E9">
      <w:pPr>
        <w:pStyle w:val="TableofFigures"/>
        <w:rPr>
          <w:rFonts w:asciiTheme="minorHAnsi" w:eastAsiaTheme="minorEastAsia" w:hAnsiTheme="minorHAnsi" w:cstheme="minorBidi"/>
          <w:noProof/>
          <w:color w:val="auto"/>
          <w:sz w:val="22"/>
          <w:szCs w:val="22"/>
        </w:rPr>
      </w:pPr>
      <w:hyperlink w:anchor="_Toc69387753" w:history="1">
        <w:r w:rsidR="00932D42" w:rsidRPr="00631268">
          <w:rPr>
            <w:rStyle w:val="Hyperlink"/>
            <w:rFonts w:eastAsiaTheme="majorEastAsia"/>
            <w:noProof/>
          </w:rPr>
          <w:t xml:space="preserve">Table 24. CEWO evaluation questions by indicators for the Lower Murray, which includes the Lower Murray River (LMR) and the Coorong, Lower Lakes and Murray Mouth (CLLMM). Evaluation questions are sourced or adapted from Gawne </w:t>
        </w:r>
        <w:r w:rsidR="00932D42" w:rsidRPr="00631268">
          <w:rPr>
            <w:rStyle w:val="Hyperlink"/>
            <w:rFonts w:eastAsiaTheme="majorEastAsia"/>
            <w:i/>
            <w:noProof/>
          </w:rPr>
          <w:t>et al.</w:t>
        </w:r>
        <w:r w:rsidR="00932D42" w:rsidRPr="00631268">
          <w:rPr>
            <w:rStyle w:val="Hyperlink"/>
            <w:rFonts w:eastAsiaTheme="majorEastAsia"/>
            <w:noProof/>
          </w:rPr>
          <w:t xml:space="preserve"> (2014). Evaluation of CEW for hydraulic and matter transport questions is based on modelled data. CEW = Commonwealth environmental water. Refer to the evaluation in respective indicator sections (Section 2) for more detail. *Not all evaluation questions are presented here for this indicator.</w:t>
        </w:r>
        <w:r w:rsidR="00932D42">
          <w:rPr>
            <w:noProof/>
            <w:webHidden/>
          </w:rPr>
          <w:tab/>
        </w:r>
        <w:r w:rsidR="00932D42">
          <w:rPr>
            <w:noProof/>
            <w:webHidden/>
          </w:rPr>
          <w:fldChar w:fldCharType="begin"/>
        </w:r>
        <w:r w:rsidR="00932D42">
          <w:rPr>
            <w:noProof/>
            <w:webHidden/>
          </w:rPr>
          <w:instrText xml:space="preserve"> PAGEREF _Toc69387753 \h </w:instrText>
        </w:r>
        <w:r w:rsidR="00932D42">
          <w:rPr>
            <w:noProof/>
            <w:webHidden/>
          </w:rPr>
        </w:r>
        <w:r w:rsidR="00932D42">
          <w:rPr>
            <w:noProof/>
            <w:webHidden/>
          </w:rPr>
          <w:fldChar w:fldCharType="separate"/>
        </w:r>
        <w:r w:rsidR="00593FFB">
          <w:rPr>
            <w:noProof/>
            <w:webHidden/>
          </w:rPr>
          <w:t>150</w:t>
        </w:r>
        <w:r w:rsidR="00932D42">
          <w:rPr>
            <w:noProof/>
            <w:webHidden/>
          </w:rPr>
          <w:fldChar w:fldCharType="end"/>
        </w:r>
      </w:hyperlink>
    </w:p>
    <w:p w14:paraId="7C8A29B2" w14:textId="4872EE2B" w:rsidR="005B0AA3" w:rsidRDefault="005B0AA3" w:rsidP="005B0AA3">
      <w:pPr>
        <w:pStyle w:val="TableofFigures"/>
        <w:ind w:left="907" w:hanging="907"/>
        <w:rPr>
          <w:noProof/>
        </w:rPr>
      </w:pPr>
      <w:r w:rsidRPr="00C04A54">
        <w:rPr>
          <w:noProof/>
        </w:rPr>
        <w:fldChar w:fldCharType="end"/>
      </w:r>
    </w:p>
    <w:p w14:paraId="5B6E7C96" w14:textId="77777777" w:rsidR="005B0AA3" w:rsidRDefault="005B0AA3" w:rsidP="005B0AA3">
      <w:pPr>
        <w:spacing w:before="0" w:after="200"/>
        <w:jc w:val="left"/>
        <w:rPr>
          <w:noProof/>
          <w:kern w:val="0"/>
          <w:lang w:eastAsia="en-AU"/>
        </w:rPr>
      </w:pPr>
      <w:r>
        <w:rPr>
          <w:noProof/>
        </w:rPr>
        <w:br w:type="page"/>
      </w:r>
    </w:p>
    <w:p w14:paraId="38AE6820" w14:textId="77777777" w:rsidR="005B0AA3" w:rsidRPr="00A67C76" w:rsidRDefault="005B0AA3" w:rsidP="005B0AA3">
      <w:pPr>
        <w:pStyle w:val="Heading1"/>
        <w:numPr>
          <w:ilvl w:val="0"/>
          <w:numId w:val="0"/>
        </w:numPr>
        <w:ind w:left="851" w:hanging="851"/>
      </w:pPr>
      <w:bookmarkStart w:id="8" w:name="_Toc441838722"/>
      <w:bookmarkStart w:id="9" w:name="_Toc69309227"/>
      <w:r w:rsidRPr="00A67C76">
        <w:t>Acknowledgements</w:t>
      </w:r>
      <w:bookmarkEnd w:id="8"/>
      <w:bookmarkEnd w:id="9"/>
    </w:p>
    <w:p w14:paraId="15DD611B" w14:textId="1CFC7905" w:rsidR="005B0AA3" w:rsidRPr="003D263B" w:rsidRDefault="005B0AA3" w:rsidP="005B0AA3">
      <w:pPr>
        <w:pStyle w:val="ListBullet"/>
        <w:numPr>
          <w:ilvl w:val="0"/>
          <w:numId w:val="0"/>
        </w:numPr>
        <w:rPr>
          <w:bCs/>
        </w:rPr>
      </w:pPr>
      <w:r w:rsidRPr="003D263B">
        <w:t xml:space="preserve">This </w:t>
      </w:r>
      <w:r w:rsidR="00B250BE">
        <w:t xml:space="preserve">project </w:t>
      </w:r>
      <w:r w:rsidRPr="003D263B">
        <w:t xml:space="preserve">was funded by the Commonwealth Environmental Water Office (CEWO) </w:t>
      </w:r>
      <w:r w:rsidR="001B09A2">
        <w:t xml:space="preserve">from </w:t>
      </w:r>
      <w:r w:rsidRPr="003D263B">
        <w:t>201</w:t>
      </w:r>
      <w:r w:rsidR="00914358">
        <w:t>9</w:t>
      </w:r>
      <w:r w:rsidR="001B09A2">
        <w:t>–20</w:t>
      </w:r>
      <w:r w:rsidR="00914358">
        <w:t>22</w:t>
      </w:r>
      <w:r w:rsidRPr="003D263B">
        <w:t xml:space="preserve"> with in</w:t>
      </w:r>
      <w:r w:rsidR="00333722">
        <w:t>-</w:t>
      </w:r>
      <w:r w:rsidRPr="003D263B">
        <w:t xml:space="preserve">kind contributions from </w:t>
      </w:r>
      <w:r w:rsidR="001B09A2">
        <w:t xml:space="preserve">the </w:t>
      </w:r>
      <w:r w:rsidRPr="003D263B">
        <w:rPr>
          <w:bCs/>
        </w:rPr>
        <w:t>South Australian Research and Development Institute (SARDI</w:t>
      </w:r>
      <w:r w:rsidRPr="00591806">
        <w:rPr>
          <w:bCs/>
        </w:rPr>
        <w:t>)</w:t>
      </w:r>
      <w:r w:rsidR="001B09A2">
        <w:rPr>
          <w:bCs/>
        </w:rPr>
        <w:t xml:space="preserve"> </w:t>
      </w:r>
      <w:r w:rsidR="00914358">
        <w:rPr>
          <w:bCs/>
        </w:rPr>
        <w:t>and</w:t>
      </w:r>
      <w:r>
        <w:rPr>
          <w:bCs/>
        </w:rPr>
        <w:t xml:space="preserve"> </w:t>
      </w:r>
      <w:r w:rsidRPr="00591806">
        <w:rPr>
          <w:bCs/>
        </w:rPr>
        <w:t>South Australian Department for Environment and Water (DEW)</w:t>
      </w:r>
      <w:r>
        <w:rPr>
          <w:bCs/>
        </w:rPr>
        <w:t>.</w:t>
      </w:r>
      <w:r w:rsidRPr="00591806">
        <w:rPr>
          <w:bCs/>
        </w:rPr>
        <w:t xml:space="preserve"> </w:t>
      </w:r>
      <w:r w:rsidRPr="003D263B">
        <w:rPr>
          <w:bCs/>
        </w:rPr>
        <w:t>SARDI provided project leadership</w:t>
      </w:r>
      <w:r>
        <w:rPr>
          <w:bCs/>
        </w:rPr>
        <w:t>, undertook the fish</w:t>
      </w:r>
      <w:r w:rsidR="00C3442D">
        <w:rPr>
          <w:bCs/>
        </w:rPr>
        <w:t xml:space="preserve"> and vegetation</w:t>
      </w:r>
      <w:r>
        <w:rPr>
          <w:bCs/>
        </w:rPr>
        <w:t xml:space="preserve"> components of this </w:t>
      </w:r>
      <w:r w:rsidR="00B250BE">
        <w:rPr>
          <w:bCs/>
        </w:rPr>
        <w:t xml:space="preserve">study </w:t>
      </w:r>
      <w:r w:rsidRPr="003D263B">
        <w:rPr>
          <w:bCs/>
        </w:rPr>
        <w:t xml:space="preserve">and sub-contracted </w:t>
      </w:r>
      <w:r>
        <w:rPr>
          <w:bCs/>
        </w:rPr>
        <w:t>other</w:t>
      </w:r>
      <w:r w:rsidRPr="003D263B">
        <w:rPr>
          <w:bCs/>
        </w:rPr>
        <w:t xml:space="preserve"> components to the University of Adelaide (</w:t>
      </w:r>
      <w:proofErr w:type="spellStart"/>
      <w:r w:rsidRPr="003D263B">
        <w:rPr>
          <w:bCs/>
        </w:rPr>
        <w:t>UoA</w:t>
      </w:r>
      <w:proofErr w:type="spellEnd"/>
      <w:r w:rsidRPr="003D263B">
        <w:rPr>
          <w:bCs/>
        </w:rPr>
        <w:t>)</w:t>
      </w:r>
      <w:r>
        <w:rPr>
          <w:bCs/>
        </w:rPr>
        <w:t>,</w:t>
      </w:r>
      <w:r w:rsidRPr="003D263B">
        <w:rPr>
          <w:bCs/>
        </w:rPr>
        <w:t xml:space="preserve"> </w:t>
      </w:r>
      <w:r w:rsidR="001B09A2">
        <w:rPr>
          <w:bCs/>
        </w:rPr>
        <w:t xml:space="preserve">CSIRO, </w:t>
      </w:r>
      <w:r w:rsidRPr="003D263B">
        <w:rPr>
          <w:bCs/>
        </w:rPr>
        <w:t xml:space="preserve">The University of Western </w:t>
      </w:r>
      <w:proofErr w:type="gramStart"/>
      <w:r w:rsidRPr="003D263B">
        <w:rPr>
          <w:bCs/>
        </w:rPr>
        <w:t>Australia</w:t>
      </w:r>
      <w:proofErr w:type="gramEnd"/>
      <w:r w:rsidRPr="003D263B">
        <w:rPr>
          <w:bCs/>
        </w:rPr>
        <w:t xml:space="preserve"> and Australian Limnological Services (ALS) (Wetland Research and Management, WRM). SA Water</w:t>
      </w:r>
      <w:r>
        <w:rPr>
          <w:bCs/>
        </w:rPr>
        <w:t xml:space="preserve"> and</w:t>
      </w:r>
      <w:r w:rsidRPr="003D263B">
        <w:rPr>
          <w:bCs/>
        </w:rPr>
        <w:t xml:space="preserve"> </w:t>
      </w:r>
      <w:r>
        <w:rPr>
          <w:bCs/>
        </w:rPr>
        <w:t>DEW</w:t>
      </w:r>
      <w:r w:rsidRPr="003D263B">
        <w:rPr>
          <w:bCs/>
        </w:rPr>
        <w:t xml:space="preserve"> provided water quality data for the </w:t>
      </w:r>
      <w:r w:rsidR="00B250BE">
        <w:rPr>
          <w:bCs/>
        </w:rPr>
        <w:t>indicators of ‘</w:t>
      </w:r>
      <w:r w:rsidRPr="003D263B">
        <w:rPr>
          <w:bCs/>
        </w:rPr>
        <w:t>Matter Transport</w:t>
      </w:r>
      <w:r w:rsidR="00DE3CF4">
        <w:rPr>
          <w:bCs/>
        </w:rPr>
        <w:t xml:space="preserve"> and Coorong Habitat</w:t>
      </w:r>
      <w:r w:rsidR="00B250BE">
        <w:rPr>
          <w:bCs/>
        </w:rPr>
        <w:t>’</w:t>
      </w:r>
      <w:r w:rsidRPr="003D263B">
        <w:rPr>
          <w:bCs/>
        </w:rPr>
        <w:t xml:space="preserve"> </w:t>
      </w:r>
      <w:r w:rsidR="00600D79">
        <w:rPr>
          <w:bCs/>
        </w:rPr>
        <w:t xml:space="preserve">and </w:t>
      </w:r>
      <w:r w:rsidR="00B250BE">
        <w:rPr>
          <w:bCs/>
        </w:rPr>
        <w:t>‘</w:t>
      </w:r>
      <w:r w:rsidR="00600D79">
        <w:rPr>
          <w:bCs/>
        </w:rPr>
        <w:t>Stream Metabolism</w:t>
      </w:r>
      <w:r w:rsidR="00C3442D">
        <w:rPr>
          <w:bCs/>
        </w:rPr>
        <w:t xml:space="preserve"> and Water Quality</w:t>
      </w:r>
      <w:r w:rsidR="00B250BE">
        <w:rPr>
          <w:bCs/>
        </w:rPr>
        <w:t>’</w:t>
      </w:r>
      <w:r w:rsidRPr="003D263B">
        <w:rPr>
          <w:bCs/>
        </w:rPr>
        <w:t xml:space="preserve">. </w:t>
      </w:r>
    </w:p>
    <w:p w14:paraId="68E2F53D" w14:textId="06697872" w:rsidR="005B0AA3" w:rsidRPr="009D2807" w:rsidRDefault="005B0AA3" w:rsidP="005B0AA3">
      <w:pPr>
        <w:pStyle w:val="ListBullet"/>
        <w:numPr>
          <w:ilvl w:val="0"/>
          <w:numId w:val="0"/>
        </w:numPr>
        <w:rPr>
          <w:highlight w:val="yellow"/>
        </w:rPr>
      </w:pPr>
      <w:r>
        <w:t>T</w:t>
      </w:r>
      <w:r w:rsidRPr="003D263B">
        <w:t xml:space="preserve">hanks to </w:t>
      </w:r>
      <w:r>
        <w:t xml:space="preserve">numerous </w:t>
      </w:r>
      <w:r w:rsidRPr="003D263B">
        <w:t>SARDI</w:t>
      </w:r>
      <w:r>
        <w:t xml:space="preserve"> staff</w:t>
      </w:r>
      <w:r w:rsidRPr="003D263B">
        <w:t xml:space="preserve"> for providing technical assistance in the field or laboratory.</w:t>
      </w:r>
      <w:r w:rsidR="00285C97">
        <w:t xml:space="preserve"> </w:t>
      </w:r>
      <w:r w:rsidRPr="00E16DDF">
        <w:t xml:space="preserve">Dr Daniel McCullough and Mahdi </w:t>
      </w:r>
      <w:proofErr w:type="spellStart"/>
      <w:r w:rsidRPr="00E16DDF">
        <w:t>Montazeri</w:t>
      </w:r>
      <w:proofErr w:type="spellEnd"/>
      <w:r w:rsidRPr="00E16DDF">
        <w:t xml:space="preserve"> </w:t>
      </w:r>
      <w:r>
        <w:t>(</w:t>
      </w:r>
      <w:r w:rsidRPr="00E16DDF">
        <w:t>DEW</w:t>
      </w:r>
      <w:r>
        <w:t>) provided</w:t>
      </w:r>
      <w:r w:rsidRPr="00E16DDF">
        <w:t xml:space="preserve"> hydraulic model outputs that support the analysis undertaken for the </w:t>
      </w:r>
      <w:r w:rsidR="001522FE">
        <w:t>H</w:t>
      </w:r>
      <w:r w:rsidRPr="00E16DDF">
        <w:t>ydr</w:t>
      </w:r>
      <w:r w:rsidR="001522FE">
        <w:t>aulic</w:t>
      </w:r>
      <w:r w:rsidRPr="00E16DDF">
        <w:t xml:space="preserve"> </w:t>
      </w:r>
      <w:r w:rsidR="001522FE">
        <w:t>R</w:t>
      </w:r>
      <w:r w:rsidRPr="00E16DDF">
        <w:t>egime indicator.</w:t>
      </w:r>
      <w:r>
        <w:t xml:space="preserve"> </w:t>
      </w:r>
    </w:p>
    <w:p w14:paraId="65E71A59" w14:textId="379FDADF" w:rsidR="005B0AA3" w:rsidRPr="00C757C7" w:rsidRDefault="005B0AA3" w:rsidP="00AB7743">
      <w:pPr>
        <w:pStyle w:val="ListBullet"/>
        <w:numPr>
          <w:ilvl w:val="0"/>
          <w:numId w:val="0"/>
        </w:numPr>
        <w:sectPr w:rsidR="005B0AA3" w:rsidRPr="00C757C7" w:rsidSect="00D632F9">
          <w:footerReference w:type="default" r:id="rId36"/>
          <w:footnotePr>
            <w:numFmt w:val="lowerLetter"/>
          </w:footnotePr>
          <w:pgSz w:w="11900" w:h="16840" w:code="9"/>
          <w:pgMar w:top="1440" w:right="1440" w:bottom="1440" w:left="1440" w:header="709" w:footer="709" w:gutter="0"/>
          <w:pgNumType w:fmt="lowerRoman" w:start="1"/>
          <w:cols w:space="708"/>
          <w:docGrid w:linePitch="360"/>
        </w:sectPr>
      </w:pPr>
      <w:r w:rsidRPr="003D263B">
        <w:t xml:space="preserve">Thanks to </w:t>
      </w:r>
      <w:r w:rsidR="00DE3CF4" w:rsidRPr="00256F18">
        <w:t>Anthony Moore</w:t>
      </w:r>
      <w:r w:rsidR="00EC1F85">
        <w:t>,</w:t>
      </w:r>
      <w:r w:rsidRPr="00256F18">
        <w:t xml:space="preserve"> Michelle </w:t>
      </w:r>
      <w:proofErr w:type="gramStart"/>
      <w:r w:rsidRPr="00256F18">
        <w:t>Campbell</w:t>
      </w:r>
      <w:proofErr w:type="gramEnd"/>
      <w:r w:rsidRPr="00256F18">
        <w:t xml:space="preserve"> </w:t>
      </w:r>
      <w:r w:rsidR="00EC1F85">
        <w:t xml:space="preserve">and Lucy Carlile </w:t>
      </w:r>
      <w:r w:rsidRPr="00256F18">
        <w:t>(CE</w:t>
      </w:r>
      <w:r w:rsidRPr="006C4E7D">
        <w:t>WO)</w:t>
      </w:r>
      <w:r w:rsidR="00EC21B8" w:rsidRPr="006C4E7D">
        <w:t xml:space="preserve"> </w:t>
      </w:r>
      <w:r w:rsidRPr="006C4E7D">
        <w:t xml:space="preserve">for providing project management and support to the Lower Murray Selected Area. </w:t>
      </w:r>
      <w:r w:rsidR="004B31F2" w:rsidRPr="006C4E7D">
        <w:t>Shane Brooks (</w:t>
      </w:r>
      <w:proofErr w:type="spellStart"/>
      <w:r w:rsidR="004B31F2" w:rsidRPr="006C4E7D">
        <w:t>LitePC</w:t>
      </w:r>
      <w:proofErr w:type="spellEnd"/>
      <w:r w:rsidR="004B31F2" w:rsidRPr="006C4E7D">
        <w:t xml:space="preserve"> Technologies)</w:t>
      </w:r>
      <w:r w:rsidR="006C4E7D" w:rsidRPr="006C4E7D">
        <w:t xml:space="preserve"> and</w:t>
      </w:r>
      <w:r w:rsidR="004B31F2" w:rsidRPr="006C4E7D">
        <w:t xml:space="preserve"> </w:t>
      </w:r>
      <w:r w:rsidR="006C4E7D" w:rsidRPr="006C4E7D">
        <w:t xml:space="preserve">Julia </w:t>
      </w:r>
      <w:proofErr w:type="spellStart"/>
      <w:r w:rsidR="006C4E7D" w:rsidRPr="006C4E7D">
        <w:t>Mynott</w:t>
      </w:r>
      <w:proofErr w:type="spellEnd"/>
      <w:r w:rsidR="006C4E7D" w:rsidRPr="006C4E7D">
        <w:t xml:space="preserve"> (</w:t>
      </w:r>
      <w:proofErr w:type="spellStart"/>
      <w:r w:rsidR="006C4E7D" w:rsidRPr="006C4E7D">
        <w:t>LaTrobe</w:t>
      </w:r>
      <w:proofErr w:type="spellEnd"/>
      <w:r w:rsidR="006C4E7D" w:rsidRPr="006C4E7D">
        <w:t xml:space="preserve"> University)</w:t>
      </w:r>
      <w:r w:rsidR="00EC21B8" w:rsidRPr="006C4E7D">
        <w:t xml:space="preserve"> </w:t>
      </w:r>
      <w:r w:rsidRPr="006C4E7D">
        <w:t>provided</w:t>
      </w:r>
      <w:r w:rsidRPr="003D263B">
        <w:t xml:space="preserve"> </w:t>
      </w:r>
      <w:r>
        <w:t>Monitoring Data Management System (</w:t>
      </w:r>
      <w:r w:rsidRPr="003D263B">
        <w:t>MDMS</w:t>
      </w:r>
      <w:r>
        <w:t>)</w:t>
      </w:r>
      <w:r w:rsidRPr="003D263B">
        <w:t xml:space="preserve"> data upload support. Jim Foreman </w:t>
      </w:r>
      <w:r>
        <w:t xml:space="preserve">and Aftab Ahmad </w:t>
      </w:r>
      <w:r w:rsidRPr="003D263B">
        <w:t xml:space="preserve">(MDBA) </w:t>
      </w:r>
      <w:r>
        <w:t>provided</w:t>
      </w:r>
      <w:r w:rsidRPr="003D263B">
        <w:t xml:space="preserve"> detailed flow and environmental flow data. The </w:t>
      </w:r>
      <w:r w:rsidR="00A01FD1">
        <w:t>Lower Murray</w:t>
      </w:r>
      <w:r w:rsidR="00A01FD1" w:rsidRPr="003D263B">
        <w:t xml:space="preserve"> </w:t>
      </w:r>
      <w:r w:rsidRPr="003D263B">
        <w:t xml:space="preserve">Selected Area Working Group </w:t>
      </w:r>
      <w:r w:rsidRPr="003D263B">
        <w:rPr>
          <w:color w:val="auto"/>
          <w:kern w:val="0"/>
        </w:rPr>
        <w:t xml:space="preserve">provided a forum for the exchange of information and intelligence that supported the CEWO </w:t>
      </w:r>
      <w:r w:rsidR="00906BCD">
        <w:rPr>
          <w:color w:val="auto"/>
          <w:kern w:val="0"/>
        </w:rPr>
        <w:t>MER</w:t>
      </w:r>
      <w:r w:rsidRPr="003D263B">
        <w:rPr>
          <w:color w:val="auto"/>
          <w:kern w:val="0"/>
        </w:rPr>
        <w:t xml:space="preserve"> </w:t>
      </w:r>
      <w:r w:rsidR="00003DB2">
        <w:rPr>
          <w:color w:val="auto"/>
          <w:kern w:val="0"/>
        </w:rPr>
        <w:t>P</w:t>
      </w:r>
      <w:r w:rsidRPr="003D263B">
        <w:rPr>
          <w:color w:val="auto"/>
          <w:kern w:val="0"/>
        </w:rPr>
        <w:t xml:space="preserve">roject, through effective coordination of environmental watering, and monitoring and </w:t>
      </w:r>
      <w:r w:rsidRPr="00591806">
        <w:rPr>
          <w:color w:val="auto"/>
          <w:kern w:val="0"/>
        </w:rPr>
        <w:t>evaluation</w:t>
      </w:r>
      <w:r w:rsidR="00AB7743" w:rsidRPr="00641F2F">
        <w:rPr>
          <w:color w:val="auto"/>
          <w:kern w:val="0"/>
        </w:rPr>
        <w:t xml:space="preserve">. </w:t>
      </w:r>
      <w:r w:rsidR="00AB7743" w:rsidRPr="00AB7743">
        <w:rPr>
          <w:color w:val="auto"/>
          <w:kern w:val="0"/>
        </w:rPr>
        <w:t xml:space="preserve">The authors also thank the Lower Murray Selected Area Working Group including Anthony Moore, Michelle Campbell, Lucy Carlile (CEWO); Gill Whiting, </w:t>
      </w:r>
      <w:r w:rsidR="00EC1F85">
        <w:rPr>
          <w:color w:val="auto"/>
          <w:kern w:val="0"/>
        </w:rPr>
        <w:t>Patrick Ross-Magee, Bill Mathews,</w:t>
      </w:r>
      <w:r w:rsidR="00EC1F85" w:rsidRPr="00AB7743">
        <w:rPr>
          <w:color w:val="auto"/>
          <w:kern w:val="0"/>
        </w:rPr>
        <w:t xml:space="preserve"> </w:t>
      </w:r>
      <w:r w:rsidR="00AB7743" w:rsidRPr="00AB7743">
        <w:rPr>
          <w:color w:val="auto"/>
          <w:kern w:val="0"/>
        </w:rPr>
        <w:t>Damian Green</w:t>
      </w:r>
      <w:r w:rsidR="00EC1F85">
        <w:rPr>
          <w:color w:val="auto"/>
          <w:kern w:val="0"/>
        </w:rPr>
        <w:t xml:space="preserve"> </w:t>
      </w:r>
      <w:r w:rsidR="00AB7743" w:rsidRPr="00AB7743">
        <w:rPr>
          <w:color w:val="auto"/>
          <w:kern w:val="0"/>
        </w:rPr>
        <w:t>(MDBA); Tracey Steggles, Jan Whittle</w:t>
      </w:r>
      <w:r w:rsidR="00EC1F85">
        <w:rPr>
          <w:color w:val="auto"/>
          <w:kern w:val="0"/>
        </w:rPr>
        <w:t>,</w:t>
      </w:r>
      <w:r w:rsidR="00AB7743" w:rsidRPr="00AB7743">
        <w:rPr>
          <w:color w:val="auto"/>
          <w:kern w:val="0"/>
        </w:rPr>
        <w:t xml:space="preserve"> </w:t>
      </w:r>
      <w:r w:rsidR="00EC1F85">
        <w:rPr>
          <w:color w:val="auto"/>
          <w:kern w:val="0"/>
        </w:rPr>
        <w:t xml:space="preserve">Tony Herbert, </w:t>
      </w:r>
      <w:r w:rsidR="00AB7743" w:rsidRPr="00AB7743">
        <w:rPr>
          <w:color w:val="auto"/>
          <w:kern w:val="0"/>
        </w:rPr>
        <w:t>Nathan Creeper</w:t>
      </w:r>
      <w:r w:rsidR="00EC1F85">
        <w:rPr>
          <w:color w:val="auto"/>
          <w:kern w:val="0"/>
        </w:rPr>
        <w:t xml:space="preserve"> and Tom Stewart</w:t>
      </w:r>
      <w:r w:rsidR="00AB7743" w:rsidRPr="00AB7743">
        <w:rPr>
          <w:color w:val="auto"/>
          <w:kern w:val="0"/>
        </w:rPr>
        <w:t xml:space="preserve"> (DEW) for providing most welcome and constructive feedback on the draft report.</w:t>
      </w:r>
      <w:r w:rsidR="00AB7743" w:rsidRPr="00C757C7">
        <w:t xml:space="preserve"> </w:t>
      </w:r>
      <w:r w:rsidR="00EC1F85">
        <w:t xml:space="preserve"> </w:t>
      </w:r>
    </w:p>
    <w:p w14:paraId="6DEAA577" w14:textId="77777777" w:rsidR="005B0AA3" w:rsidRPr="00C757C7" w:rsidRDefault="005B0AA3" w:rsidP="005B0AA3">
      <w:pPr>
        <w:pStyle w:val="Heading1"/>
        <w:numPr>
          <w:ilvl w:val="0"/>
          <w:numId w:val="0"/>
        </w:numPr>
        <w:ind w:left="851" w:hanging="851"/>
      </w:pPr>
      <w:bookmarkStart w:id="10" w:name="_Toc441838723"/>
      <w:bookmarkStart w:id="11" w:name="_Toc69309228"/>
      <w:r w:rsidRPr="00C757C7">
        <w:t>Executive summary</w:t>
      </w:r>
      <w:bookmarkEnd w:id="10"/>
      <w:bookmarkEnd w:id="11"/>
    </w:p>
    <w:p w14:paraId="0CDE6600" w14:textId="7AD443A3" w:rsidR="00F64316" w:rsidRDefault="00F64316" w:rsidP="00F64316">
      <w:r>
        <w:t xml:space="preserve">From 2019-20 to 2021-22, the </w:t>
      </w:r>
      <w:r w:rsidRPr="00F30DB5">
        <w:t xml:space="preserve">Commonwealth Environmental Water Office (CEWO) </w:t>
      </w:r>
      <w:r>
        <w:t xml:space="preserve">Monitoring, Evaluation and Research (MER) Project </w:t>
      </w:r>
      <w:r w:rsidR="00AB7743">
        <w:t xml:space="preserve">will monitor and evaluate ecological </w:t>
      </w:r>
      <w:r>
        <w:t>outcomes of environmental water delivery in the Lower Murray, along with six other Selected Areas in the Murray–Darling Basin (MDB). This project</w:t>
      </w:r>
      <w:r w:rsidR="00A92E8D">
        <w:t>, with an integrated research component,</w:t>
      </w:r>
      <w:r>
        <w:t xml:space="preserve"> extends </w:t>
      </w:r>
      <w:r w:rsidR="00AB7743">
        <w:t xml:space="preserve">the monitoring activities of the </w:t>
      </w:r>
      <w:r>
        <w:t xml:space="preserve">Long-term Intervention Monitoring Project (2014-15 to 2018-19) and aims to demonstrate the ecological outcomes of Commonwealth environmental water delivery and support adaptive management. </w:t>
      </w:r>
    </w:p>
    <w:p w14:paraId="4AFBD209" w14:textId="24608A07" w:rsidR="00F64316" w:rsidRPr="00656B7B" w:rsidRDefault="00F64316" w:rsidP="00F64316">
      <w:r>
        <w:t xml:space="preserve">During 2019-20 (a </w:t>
      </w:r>
      <w:r w:rsidR="00A43B47">
        <w:t xml:space="preserve">hydrologically </w:t>
      </w:r>
      <w:r>
        <w:t xml:space="preserve">dry year), </w:t>
      </w:r>
      <w:r w:rsidR="00AE66E5">
        <w:t>~750 GL</w:t>
      </w:r>
      <w:r w:rsidR="00397DAE">
        <w:rPr>
          <w:rStyle w:val="FootnoteReference"/>
        </w:rPr>
        <w:footnoteReference w:id="2"/>
      </w:r>
      <w:r w:rsidR="00AE66E5">
        <w:t xml:space="preserve"> </w:t>
      </w:r>
      <w:r>
        <w:t xml:space="preserve">of Commonwealth environmental water was delivered to the </w:t>
      </w:r>
      <w:r w:rsidR="004E7C04">
        <w:t xml:space="preserve">main channel of the </w:t>
      </w:r>
      <w:r>
        <w:t xml:space="preserve">Lower Murray, in conjunction with other environmental flows (e.g. the Murray–Darling Basin Authority’s The Living Murray Initiative), coordinated through a series watering events across the southern MDB to achieve multi-site environmental outcomes. Environmental water </w:t>
      </w:r>
      <w:r w:rsidR="00AE66E5">
        <w:t xml:space="preserve">contributed to 39% of the </w:t>
      </w:r>
      <w:r>
        <w:t xml:space="preserve">total annual flow volume to the </w:t>
      </w:r>
      <w:r w:rsidR="00423A88">
        <w:t>Lower Murray River (LMR) (at South Australian border, QSA)</w:t>
      </w:r>
      <w:r>
        <w:t xml:space="preserve">, </w:t>
      </w:r>
      <w:r w:rsidR="00A43B47">
        <w:t xml:space="preserve">of </w:t>
      </w:r>
      <w:r w:rsidR="00AE66E5">
        <w:t>which 8</w:t>
      </w:r>
      <w:r w:rsidR="00D019B3">
        <w:t>1</w:t>
      </w:r>
      <w:r w:rsidR="00AE66E5">
        <w:t xml:space="preserve">% </w:t>
      </w:r>
      <w:r w:rsidR="00A43B47">
        <w:t>was</w:t>
      </w:r>
      <w:r w:rsidR="00423A88">
        <w:t xml:space="preserve"> </w:t>
      </w:r>
      <w:r>
        <w:t xml:space="preserve">Commonwealth environmental water. </w:t>
      </w:r>
      <w:r w:rsidR="00423A88">
        <w:t>E</w:t>
      </w:r>
      <w:r>
        <w:t xml:space="preserve">nvironmental water delivery largely consisted of return flows from upstream watering events (e.g. in the Murray and Goulburn rivers) and promoted winter (up to ~11,000 ML/d) and spring (up to ~15,600 ML/d) flow pulses in the LMR. </w:t>
      </w:r>
      <w:r w:rsidRPr="00487BD0">
        <w:t>Environmental water</w:t>
      </w:r>
      <w:r>
        <w:t xml:space="preserve"> was also delivered to the LMR via direct trades</w:t>
      </w:r>
      <w:r w:rsidRPr="00487BD0">
        <w:t xml:space="preserve"> from summer–late autumn</w:t>
      </w:r>
      <w:r>
        <w:t>, mainly to support continuous flows to the Lakes and Coorong.</w:t>
      </w:r>
      <w:r w:rsidRPr="00487BD0">
        <w:t xml:space="preserve"> Barrage flows in </w:t>
      </w:r>
      <w:r w:rsidRPr="00656B7B">
        <w:t xml:space="preserve">2019-20 were </w:t>
      </w:r>
      <w:r>
        <w:t xml:space="preserve">comprised of </w:t>
      </w:r>
      <w:r w:rsidRPr="00656B7B">
        <w:t>100% Commonwealth environmental water.</w:t>
      </w:r>
    </w:p>
    <w:p w14:paraId="7C7B0BED" w14:textId="39B57A69" w:rsidR="00F64316" w:rsidRPr="00656B7B" w:rsidRDefault="00F64316" w:rsidP="00F64316">
      <w:pPr>
        <w:rPr>
          <w:rFonts w:cstheme="minorHAnsi"/>
          <w:szCs w:val="24"/>
        </w:rPr>
      </w:pPr>
      <w:r w:rsidRPr="00656B7B">
        <w:t>Nine indicators were used to evaluate the ecological response to Commonwealth environmental water in the Lower Murray. Three indicators (</w:t>
      </w:r>
      <w:r w:rsidRPr="00656B7B">
        <w:rPr>
          <w:i/>
        </w:rPr>
        <w:t>Hydrology (channel)</w:t>
      </w:r>
      <w:r w:rsidRPr="00656B7B">
        <w:t xml:space="preserve">, </w:t>
      </w:r>
      <w:r w:rsidRPr="00656B7B">
        <w:rPr>
          <w:i/>
        </w:rPr>
        <w:t xml:space="preserve">Stream Metabolism and Water Quality </w:t>
      </w:r>
      <w:r w:rsidRPr="00656B7B">
        <w:t xml:space="preserve">and </w:t>
      </w:r>
      <w:r w:rsidRPr="00656B7B">
        <w:rPr>
          <w:i/>
        </w:rPr>
        <w:t>Fish (channel)</w:t>
      </w:r>
      <w:r w:rsidRPr="00656B7B">
        <w:t>) primarily aimed to evaluate Basin-scale objectives and outcomes, and in some instances, also local (Selected Area) objectives, following basin-wide standard protocols. Six indicators (</w:t>
      </w:r>
      <w:r w:rsidRPr="00656B7B">
        <w:rPr>
          <w:i/>
        </w:rPr>
        <w:t>Hydraulic Regime</w:t>
      </w:r>
      <w:r w:rsidRPr="00656B7B">
        <w:t xml:space="preserve">, </w:t>
      </w:r>
      <w:r w:rsidRPr="00656B7B">
        <w:rPr>
          <w:i/>
        </w:rPr>
        <w:t>Matter Transport and Coorong Habitat</w:t>
      </w:r>
      <w:r w:rsidRPr="00656B7B">
        <w:t xml:space="preserve">, </w:t>
      </w:r>
      <w:r w:rsidRPr="00656B7B">
        <w:rPr>
          <w:i/>
        </w:rPr>
        <w:t xml:space="preserve">Littoral Vegetation Diversity and Productivity, </w:t>
      </w:r>
      <w:proofErr w:type="spellStart"/>
      <w:r w:rsidRPr="00656B7B">
        <w:rPr>
          <w:i/>
        </w:rPr>
        <w:t>Microinvertebrate</w:t>
      </w:r>
      <w:proofErr w:type="spellEnd"/>
      <w:r w:rsidRPr="00656B7B">
        <w:rPr>
          <w:i/>
        </w:rPr>
        <w:t xml:space="preserve"> Assemblage,</w:t>
      </w:r>
      <w:r w:rsidRPr="00656B7B">
        <w:t xml:space="preserve"> </w:t>
      </w:r>
      <w:r w:rsidRPr="00656B7B">
        <w:rPr>
          <w:i/>
        </w:rPr>
        <w:t xml:space="preserve">Murray Cod Recruitment </w:t>
      </w:r>
      <w:r w:rsidRPr="00656B7B">
        <w:t xml:space="preserve">and </w:t>
      </w:r>
      <w:r w:rsidRPr="00656B7B">
        <w:rPr>
          <w:i/>
        </w:rPr>
        <w:t>Flow-cued Spawning Fish Recruitment</w:t>
      </w:r>
      <w:r w:rsidRPr="00656B7B">
        <w:t>) aimed to address local evaluation questions, using area</w:t>
      </w:r>
      <w:r>
        <w:t>-</w:t>
      </w:r>
      <w:r w:rsidRPr="00656B7B">
        <w:t xml:space="preserve">specific methods. Additional contingency monitoring </w:t>
      </w:r>
      <w:r>
        <w:t>of</w:t>
      </w:r>
      <w:r w:rsidRPr="00656B7B">
        <w:t xml:space="preserve"> lamprey migration was conducted during winter–summer 2019. </w:t>
      </w:r>
    </w:p>
    <w:p w14:paraId="518A601C" w14:textId="77777777" w:rsidR="006D257B" w:rsidRPr="00F30DB5" w:rsidRDefault="006D257B" w:rsidP="006D257B">
      <w:pPr>
        <w:rPr>
          <w:b/>
          <w:color w:val="44546A" w:themeColor="text2"/>
        </w:rPr>
      </w:pPr>
      <w:r w:rsidRPr="00F30DB5">
        <w:rPr>
          <w:b/>
          <w:color w:val="44546A" w:themeColor="text2"/>
        </w:rPr>
        <w:t xml:space="preserve">Key </w:t>
      </w:r>
      <w:r>
        <w:rPr>
          <w:b/>
          <w:color w:val="44546A" w:themeColor="text2"/>
        </w:rPr>
        <w:t xml:space="preserve">findings and </w:t>
      </w:r>
      <w:r w:rsidRPr="00F30DB5">
        <w:rPr>
          <w:b/>
          <w:color w:val="44546A" w:themeColor="text2"/>
        </w:rPr>
        <w:t>ecological outcomes</w:t>
      </w:r>
    </w:p>
    <w:p w14:paraId="50DBD721" w14:textId="77777777" w:rsidR="00F64316" w:rsidRDefault="00F64316" w:rsidP="00F64316">
      <w:pPr>
        <w:rPr>
          <w:rFonts w:eastAsiaTheme="majorEastAsia"/>
          <w:color w:val="auto"/>
          <w:szCs w:val="22"/>
        </w:rPr>
      </w:pPr>
      <w:r>
        <w:rPr>
          <w:rFonts w:eastAsiaTheme="majorEastAsia"/>
          <w:color w:val="auto"/>
          <w:szCs w:val="22"/>
        </w:rPr>
        <w:t>E</w:t>
      </w:r>
      <w:r w:rsidRPr="001A2F68">
        <w:rPr>
          <w:rFonts w:eastAsiaTheme="majorEastAsia"/>
          <w:color w:val="auto"/>
          <w:szCs w:val="22"/>
        </w:rPr>
        <w:t xml:space="preserve">nvironmental water delivery </w:t>
      </w:r>
      <w:r>
        <w:rPr>
          <w:rFonts w:eastAsiaTheme="majorEastAsia"/>
          <w:color w:val="auto"/>
          <w:szCs w:val="22"/>
        </w:rPr>
        <w:t xml:space="preserve">contributed to some ecological improvements </w:t>
      </w:r>
      <w:r w:rsidRPr="001A2F68">
        <w:rPr>
          <w:rFonts w:eastAsiaTheme="majorEastAsia"/>
          <w:color w:val="auto"/>
          <w:szCs w:val="22"/>
        </w:rPr>
        <w:t>in the L</w:t>
      </w:r>
      <w:r>
        <w:rPr>
          <w:rFonts w:eastAsiaTheme="majorEastAsia"/>
          <w:color w:val="auto"/>
          <w:szCs w:val="22"/>
        </w:rPr>
        <w:t>ower Murray</w:t>
      </w:r>
      <w:r w:rsidRPr="001A2F68">
        <w:rPr>
          <w:rFonts w:eastAsiaTheme="majorEastAsia"/>
          <w:color w:val="auto"/>
          <w:szCs w:val="22"/>
        </w:rPr>
        <w:t xml:space="preserve"> Selected Area</w:t>
      </w:r>
      <w:r>
        <w:rPr>
          <w:rFonts w:eastAsiaTheme="majorEastAsia"/>
          <w:color w:val="auto"/>
          <w:szCs w:val="22"/>
        </w:rPr>
        <w:t xml:space="preserve"> in 2019-20:</w:t>
      </w:r>
      <w:r w:rsidRPr="001A2F68">
        <w:rPr>
          <w:rFonts w:eastAsiaTheme="majorEastAsia"/>
          <w:color w:val="auto"/>
          <w:szCs w:val="22"/>
        </w:rPr>
        <w:t xml:space="preserve"> </w:t>
      </w:r>
    </w:p>
    <w:p w14:paraId="1CD8EA5A" w14:textId="52915750" w:rsidR="00F64316" w:rsidRDefault="00F64316" w:rsidP="00F64316">
      <w:pPr>
        <w:pStyle w:val="ListParagraph"/>
        <w:numPr>
          <w:ilvl w:val="0"/>
          <w:numId w:val="59"/>
        </w:numPr>
        <w:rPr>
          <w:rFonts w:eastAsiaTheme="majorEastAsia"/>
          <w:color w:val="auto"/>
          <w:szCs w:val="22"/>
        </w:rPr>
      </w:pPr>
      <w:r w:rsidRPr="001C7CC1">
        <w:rPr>
          <w:rFonts w:eastAsiaTheme="majorEastAsia"/>
          <w:b/>
          <w:bCs/>
          <w:color w:val="auto"/>
          <w:szCs w:val="22"/>
        </w:rPr>
        <w:t>Connectivity</w:t>
      </w:r>
      <w:r>
        <w:rPr>
          <w:rFonts w:eastAsiaTheme="majorEastAsia"/>
          <w:color w:val="auto"/>
          <w:szCs w:val="22"/>
        </w:rPr>
        <w:t xml:space="preserve">: Commonwealth environmental water </w:t>
      </w:r>
      <w:r w:rsidR="006C6A0D">
        <w:rPr>
          <w:rFonts w:eastAsiaTheme="majorEastAsia"/>
          <w:color w:val="auto"/>
          <w:szCs w:val="22"/>
        </w:rPr>
        <w:t xml:space="preserve">improved longitudinal hydrological connectivity via increasing </w:t>
      </w:r>
      <w:r w:rsidR="006C6A0D" w:rsidRPr="00FC25E9">
        <w:rPr>
          <w:rFonts w:eastAsiaTheme="majorEastAsia"/>
          <w:color w:val="auto"/>
          <w:szCs w:val="22"/>
        </w:rPr>
        <w:t xml:space="preserve">annual flow </w:t>
      </w:r>
      <w:r w:rsidR="006C6A0D">
        <w:rPr>
          <w:rFonts w:eastAsiaTheme="majorEastAsia"/>
          <w:color w:val="auto"/>
          <w:szCs w:val="22"/>
        </w:rPr>
        <w:t>by</w:t>
      </w:r>
      <w:r>
        <w:rPr>
          <w:rFonts w:eastAsiaTheme="majorEastAsia"/>
          <w:color w:val="auto"/>
          <w:szCs w:val="22"/>
        </w:rPr>
        <w:t xml:space="preserve"> 3</w:t>
      </w:r>
      <w:r w:rsidR="00347B71">
        <w:rPr>
          <w:rFonts w:eastAsiaTheme="majorEastAsia"/>
          <w:color w:val="auto"/>
          <w:szCs w:val="22"/>
        </w:rPr>
        <w:t>2</w:t>
      </w:r>
      <w:r>
        <w:rPr>
          <w:rFonts w:eastAsiaTheme="majorEastAsia"/>
          <w:color w:val="auto"/>
          <w:szCs w:val="22"/>
        </w:rPr>
        <w:t xml:space="preserve">% </w:t>
      </w:r>
      <w:r w:rsidRPr="00FC25E9">
        <w:rPr>
          <w:rFonts w:eastAsiaTheme="majorEastAsia"/>
          <w:color w:val="auto"/>
          <w:szCs w:val="22"/>
        </w:rPr>
        <w:t>in the LMR</w:t>
      </w:r>
      <w:r>
        <w:rPr>
          <w:rFonts w:eastAsiaTheme="majorEastAsia"/>
          <w:color w:val="auto"/>
          <w:szCs w:val="22"/>
        </w:rPr>
        <w:t xml:space="preserve">, </w:t>
      </w:r>
      <w:r w:rsidRPr="00FC25E9">
        <w:rPr>
          <w:rFonts w:eastAsiaTheme="majorEastAsia"/>
          <w:color w:val="auto"/>
          <w:szCs w:val="22"/>
        </w:rPr>
        <w:t>meet</w:t>
      </w:r>
      <w:r>
        <w:rPr>
          <w:rFonts w:eastAsiaTheme="majorEastAsia"/>
          <w:color w:val="auto"/>
          <w:szCs w:val="22"/>
        </w:rPr>
        <w:t>ing</w:t>
      </w:r>
      <w:r w:rsidRPr="00FC25E9">
        <w:rPr>
          <w:rFonts w:eastAsiaTheme="majorEastAsia"/>
          <w:color w:val="auto"/>
          <w:szCs w:val="22"/>
        </w:rPr>
        <w:t xml:space="preserve"> the Basin-wide environmental watering target of &gt;30% </w:t>
      </w:r>
      <w:r>
        <w:rPr>
          <w:rFonts w:eastAsiaTheme="majorEastAsia"/>
          <w:color w:val="auto"/>
          <w:szCs w:val="22"/>
        </w:rPr>
        <w:t xml:space="preserve">increase in flows in the Murray River (calculated at the SA border). </w:t>
      </w:r>
      <w:r w:rsidR="00670855">
        <w:rPr>
          <w:rFonts w:eastAsiaTheme="majorEastAsia"/>
          <w:color w:val="auto"/>
          <w:szCs w:val="22"/>
        </w:rPr>
        <w:t>Commonwealth e</w:t>
      </w:r>
      <w:r w:rsidR="005001AD">
        <w:rPr>
          <w:rFonts w:eastAsiaTheme="majorEastAsia"/>
          <w:color w:val="auto"/>
          <w:szCs w:val="22"/>
        </w:rPr>
        <w:t xml:space="preserve">nvironmental water contributed </w:t>
      </w:r>
      <w:r w:rsidR="005001AD" w:rsidRPr="0085412E">
        <w:rPr>
          <w:rFonts w:eastAsiaTheme="majorEastAsia"/>
          <w:color w:val="auto"/>
          <w:szCs w:val="22"/>
        </w:rPr>
        <w:t xml:space="preserve">to lateral connectivity </w:t>
      </w:r>
      <w:r w:rsidR="005001AD">
        <w:rPr>
          <w:rFonts w:eastAsiaTheme="majorEastAsia"/>
          <w:color w:val="auto"/>
          <w:szCs w:val="22"/>
        </w:rPr>
        <w:t>throughout the water year, increasing the maximum inundation area, occurring in October</w:t>
      </w:r>
      <w:r w:rsidR="00670855">
        <w:rPr>
          <w:rFonts w:eastAsiaTheme="majorEastAsia"/>
          <w:color w:val="auto"/>
          <w:szCs w:val="22"/>
        </w:rPr>
        <w:t xml:space="preserve"> 2019</w:t>
      </w:r>
      <w:r w:rsidR="005001AD">
        <w:rPr>
          <w:rFonts w:eastAsiaTheme="majorEastAsia"/>
          <w:color w:val="auto"/>
          <w:szCs w:val="22"/>
        </w:rPr>
        <w:t>, by 517</w:t>
      </w:r>
      <w:r w:rsidR="00670855">
        <w:rPr>
          <w:rFonts w:eastAsiaTheme="majorEastAsia"/>
          <w:color w:val="auto"/>
          <w:szCs w:val="22"/>
        </w:rPr>
        <w:t> </w:t>
      </w:r>
      <w:r w:rsidR="005001AD">
        <w:rPr>
          <w:rFonts w:eastAsiaTheme="majorEastAsia"/>
          <w:color w:val="auto"/>
          <w:szCs w:val="22"/>
        </w:rPr>
        <w:t>ha</w:t>
      </w:r>
      <w:r w:rsidR="005001AD" w:rsidRPr="0085412E">
        <w:rPr>
          <w:rFonts w:eastAsiaTheme="majorEastAsia"/>
          <w:color w:val="auto"/>
          <w:szCs w:val="22"/>
        </w:rPr>
        <w:t>.</w:t>
      </w:r>
    </w:p>
    <w:p w14:paraId="48A33E9C" w14:textId="48C40D4D" w:rsidR="00F64316" w:rsidRPr="000B45E8" w:rsidRDefault="00F64316" w:rsidP="00F64316">
      <w:pPr>
        <w:pStyle w:val="ListParagraph"/>
        <w:numPr>
          <w:ilvl w:val="0"/>
          <w:numId w:val="59"/>
        </w:numPr>
        <w:rPr>
          <w:rFonts w:eastAsiaTheme="majorEastAsia"/>
          <w:color w:val="auto"/>
          <w:szCs w:val="22"/>
        </w:rPr>
      </w:pPr>
      <w:r w:rsidRPr="001C7CC1">
        <w:rPr>
          <w:rFonts w:eastAsiaTheme="majorEastAsia"/>
          <w:b/>
          <w:bCs/>
          <w:color w:val="auto"/>
          <w:szCs w:val="22"/>
        </w:rPr>
        <w:t>Hydraulic diversity</w:t>
      </w:r>
      <w:r w:rsidRPr="000B45E8">
        <w:rPr>
          <w:rFonts w:eastAsiaTheme="majorEastAsia"/>
          <w:color w:val="auto"/>
          <w:szCs w:val="22"/>
        </w:rPr>
        <w:t xml:space="preserve">: </w:t>
      </w:r>
      <w:r>
        <w:rPr>
          <w:rFonts w:eastAsiaTheme="majorEastAsia"/>
          <w:color w:val="auto"/>
          <w:szCs w:val="22"/>
        </w:rPr>
        <w:t>Commonwealth e</w:t>
      </w:r>
      <w:r w:rsidRPr="000B45E8">
        <w:rPr>
          <w:rFonts w:eastAsiaTheme="majorEastAsia"/>
          <w:color w:val="auto"/>
          <w:szCs w:val="22"/>
        </w:rPr>
        <w:t xml:space="preserve">nvironmental water increased the duration and extent of ‘flowing water’ </w:t>
      </w:r>
      <w:r>
        <w:rPr>
          <w:rFonts w:eastAsiaTheme="majorEastAsia"/>
          <w:color w:val="auto"/>
          <w:szCs w:val="22"/>
        </w:rPr>
        <w:t xml:space="preserve">(lotic) </w:t>
      </w:r>
      <w:r w:rsidRPr="000B45E8">
        <w:rPr>
          <w:rFonts w:eastAsiaTheme="majorEastAsia"/>
          <w:color w:val="auto"/>
          <w:szCs w:val="22"/>
        </w:rPr>
        <w:t>habitat</w:t>
      </w:r>
      <w:r>
        <w:rPr>
          <w:rFonts w:eastAsiaTheme="majorEastAsia"/>
          <w:color w:val="auto"/>
          <w:szCs w:val="22"/>
        </w:rPr>
        <w:t xml:space="preserve">, </w:t>
      </w:r>
      <w:r w:rsidRPr="000B45E8">
        <w:rPr>
          <w:szCs w:val="21"/>
          <w:lang w:eastAsia="en-AU"/>
        </w:rPr>
        <w:t xml:space="preserve">with an extra 34 km (10%) of </w:t>
      </w:r>
      <w:r>
        <w:rPr>
          <w:szCs w:val="21"/>
          <w:lang w:eastAsia="en-AU"/>
        </w:rPr>
        <w:t>the LMR characterised by mean water</w:t>
      </w:r>
      <w:r w:rsidRPr="000B45E8">
        <w:rPr>
          <w:szCs w:val="21"/>
          <w:lang w:eastAsia="en-AU"/>
        </w:rPr>
        <w:t xml:space="preserve"> </w:t>
      </w:r>
      <w:r w:rsidRPr="000B45E8">
        <w:rPr>
          <w:rFonts w:eastAsiaTheme="majorEastAsia"/>
          <w:color w:val="auto"/>
          <w:szCs w:val="22"/>
        </w:rPr>
        <w:t>velocities &gt;0.3 m/s</w:t>
      </w:r>
      <w:r w:rsidRPr="000B45E8">
        <w:rPr>
          <w:szCs w:val="21"/>
          <w:lang w:eastAsia="en-AU"/>
        </w:rPr>
        <w:t xml:space="preserve"> for at least 30 days.</w:t>
      </w:r>
      <w:r w:rsidRPr="000B45E8">
        <w:rPr>
          <w:szCs w:val="21"/>
        </w:rPr>
        <w:t xml:space="preserve"> </w:t>
      </w:r>
      <w:r w:rsidRPr="000B45E8">
        <w:rPr>
          <w:rFonts w:eastAsiaTheme="majorEastAsia"/>
          <w:color w:val="auto"/>
          <w:szCs w:val="22"/>
        </w:rPr>
        <w:t xml:space="preserve">This hydraulic </w:t>
      </w:r>
      <w:r w:rsidR="006D51BA" w:rsidRPr="000B45E8">
        <w:rPr>
          <w:rFonts w:eastAsiaTheme="majorEastAsia"/>
          <w:color w:val="auto"/>
          <w:szCs w:val="22"/>
        </w:rPr>
        <w:t xml:space="preserve">variability </w:t>
      </w:r>
      <w:r w:rsidR="00A62E58">
        <w:rPr>
          <w:rFonts w:eastAsiaTheme="majorEastAsia"/>
          <w:color w:val="auto"/>
          <w:szCs w:val="22"/>
        </w:rPr>
        <w:t>may have</w:t>
      </w:r>
      <w:r w:rsidR="006D51BA" w:rsidRPr="000B45E8">
        <w:rPr>
          <w:rFonts w:eastAsiaTheme="majorEastAsia"/>
          <w:color w:val="auto"/>
          <w:szCs w:val="22"/>
        </w:rPr>
        <w:t xml:space="preserve"> benefited native animals </w:t>
      </w:r>
      <w:r w:rsidR="00A62E58">
        <w:rPr>
          <w:rFonts w:eastAsiaTheme="majorEastAsia"/>
          <w:color w:val="auto"/>
          <w:szCs w:val="22"/>
        </w:rPr>
        <w:t xml:space="preserve">(e.g. Murray cod) </w:t>
      </w:r>
      <w:r w:rsidR="006D51BA" w:rsidRPr="000B45E8">
        <w:rPr>
          <w:rFonts w:eastAsiaTheme="majorEastAsia"/>
          <w:color w:val="auto"/>
          <w:szCs w:val="22"/>
        </w:rPr>
        <w:t xml:space="preserve">adapted to </w:t>
      </w:r>
      <w:r w:rsidR="006D51BA">
        <w:rPr>
          <w:rFonts w:eastAsiaTheme="majorEastAsia"/>
          <w:color w:val="auto"/>
          <w:szCs w:val="22"/>
        </w:rPr>
        <w:t>lotic</w:t>
      </w:r>
      <w:r w:rsidR="006D51BA" w:rsidRPr="000B45E8">
        <w:rPr>
          <w:rFonts w:eastAsiaTheme="majorEastAsia"/>
          <w:color w:val="auto"/>
          <w:szCs w:val="22"/>
        </w:rPr>
        <w:t xml:space="preserve"> riverine environment</w:t>
      </w:r>
      <w:r w:rsidR="006D51BA">
        <w:rPr>
          <w:rFonts w:eastAsiaTheme="majorEastAsia"/>
          <w:color w:val="auto"/>
          <w:szCs w:val="22"/>
        </w:rPr>
        <w:t>s</w:t>
      </w:r>
      <w:r w:rsidR="006D51BA" w:rsidRPr="000B45E8">
        <w:rPr>
          <w:rFonts w:eastAsiaTheme="majorEastAsia"/>
          <w:color w:val="auto"/>
          <w:szCs w:val="22"/>
        </w:rPr>
        <w:t xml:space="preserve">. </w:t>
      </w:r>
    </w:p>
    <w:p w14:paraId="39A5BE30" w14:textId="0FD26841" w:rsidR="00F64316" w:rsidRDefault="00F64316" w:rsidP="00F64316">
      <w:pPr>
        <w:pStyle w:val="ListParagraph"/>
        <w:numPr>
          <w:ilvl w:val="0"/>
          <w:numId w:val="59"/>
        </w:numPr>
        <w:rPr>
          <w:rFonts w:eastAsiaTheme="majorEastAsia"/>
          <w:color w:val="auto"/>
          <w:szCs w:val="22"/>
        </w:rPr>
      </w:pPr>
      <w:r w:rsidRPr="001C7CC1">
        <w:rPr>
          <w:rFonts w:eastAsiaTheme="majorEastAsia"/>
          <w:b/>
          <w:bCs/>
          <w:color w:val="auto"/>
          <w:szCs w:val="22"/>
        </w:rPr>
        <w:t>Water level variability</w:t>
      </w:r>
      <w:r>
        <w:rPr>
          <w:rFonts w:eastAsiaTheme="majorEastAsia"/>
          <w:color w:val="auto"/>
          <w:szCs w:val="22"/>
        </w:rPr>
        <w:t xml:space="preserve">: </w:t>
      </w:r>
      <w:r w:rsidR="004169F1" w:rsidRPr="000B45E8">
        <w:rPr>
          <w:rFonts w:eastAsiaTheme="majorEastAsia"/>
          <w:color w:val="auto"/>
          <w:szCs w:val="22"/>
        </w:rPr>
        <w:t xml:space="preserve">Environmental flows, in combination with weir pool </w:t>
      </w:r>
      <w:r w:rsidR="004169F1">
        <w:rPr>
          <w:rFonts w:eastAsiaTheme="majorEastAsia"/>
          <w:color w:val="auto"/>
          <w:szCs w:val="22"/>
        </w:rPr>
        <w:t>manipulations</w:t>
      </w:r>
      <w:r w:rsidR="004169F1" w:rsidRPr="000B45E8">
        <w:rPr>
          <w:rFonts w:eastAsiaTheme="majorEastAsia"/>
          <w:color w:val="auto"/>
          <w:szCs w:val="22"/>
        </w:rPr>
        <w:t xml:space="preserve">, increased water level </w:t>
      </w:r>
      <w:r w:rsidR="004169F1" w:rsidRPr="00791084">
        <w:rPr>
          <w:rFonts w:eastAsiaTheme="majorEastAsia"/>
          <w:color w:val="auto"/>
          <w:szCs w:val="21"/>
        </w:rPr>
        <w:t xml:space="preserve">variability (interquartile range) increased by 0.13 m in the tailwaters </w:t>
      </w:r>
      <w:r w:rsidR="004169F1" w:rsidRPr="00791084">
        <w:rPr>
          <w:szCs w:val="21"/>
        </w:rPr>
        <w:t>(i.e. just downstream of each weir)</w:t>
      </w:r>
      <w:r w:rsidR="004169F1" w:rsidRPr="00791084">
        <w:rPr>
          <w:rFonts w:eastAsiaTheme="majorEastAsia"/>
          <w:color w:val="auto"/>
          <w:szCs w:val="21"/>
        </w:rPr>
        <w:t xml:space="preserve"> of the LMR.</w:t>
      </w:r>
    </w:p>
    <w:p w14:paraId="267E1746" w14:textId="72D4FE2C" w:rsidR="00F64316" w:rsidRDefault="00F64316" w:rsidP="00F64316">
      <w:pPr>
        <w:pStyle w:val="ListParagraph"/>
        <w:numPr>
          <w:ilvl w:val="0"/>
          <w:numId w:val="59"/>
        </w:numPr>
        <w:rPr>
          <w:rFonts w:eastAsiaTheme="majorEastAsia"/>
          <w:color w:val="auto"/>
          <w:szCs w:val="22"/>
        </w:rPr>
      </w:pPr>
      <w:r w:rsidRPr="001C7CC1">
        <w:rPr>
          <w:rFonts w:eastAsiaTheme="majorEastAsia"/>
          <w:b/>
          <w:bCs/>
          <w:color w:val="auto"/>
          <w:szCs w:val="22"/>
        </w:rPr>
        <w:t xml:space="preserve">Littoral </w:t>
      </w:r>
      <w:bookmarkStart w:id="12" w:name="_Hlk66263190"/>
      <w:bookmarkStart w:id="13" w:name="_Hlk64620524"/>
      <w:r w:rsidR="004A4058" w:rsidRPr="001C7CC1">
        <w:rPr>
          <w:rFonts w:eastAsiaTheme="majorEastAsia"/>
          <w:b/>
          <w:bCs/>
          <w:color w:val="auto"/>
          <w:szCs w:val="22"/>
        </w:rPr>
        <w:t>vegetation</w:t>
      </w:r>
      <w:r w:rsidR="004A4058">
        <w:rPr>
          <w:rFonts w:eastAsiaTheme="majorEastAsia"/>
          <w:color w:val="auto"/>
          <w:szCs w:val="22"/>
        </w:rPr>
        <w:t xml:space="preserve">: Native </w:t>
      </w:r>
      <w:bookmarkEnd w:id="12"/>
      <w:r w:rsidR="004A4058">
        <w:rPr>
          <w:rFonts w:eastAsiaTheme="majorEastAsia"/>
          <w:color w:val="auto"/>
          <w:szCs w:val="22"/>
        </w:rPr>
        <w:t xml:space="preserve">plant species </w:t>
      </w:r>
      <w:r w:rsidR="004A4058" w:rsidRPr="000B45E8">
        <w:rPr>
          <w:rFonts w:eastAsiaTheme="majorEastAsia"/>
          <w:color w:val="auto"/>
          <w:szCs w:val="22"/>
        </w:rPr>
        <w:t>diversity</w:t>
      </w:r>
      <w:r w:rsidR="004A4058">
        <w:rPr>
          <w:rFonts w:eastAsiaTheme="majorEastAsia"/>
          <w:color w:val="auto"/>
          <w:szCs w:val="22"/>
        </w:rPr>
        <w:t xml:space="preserve"> increased</w:t>
      </w:r>
      <w:r w:rsidR="004A4058" w:rsidRPr="000B45E8">
        <w:rPr>
          <w:rFonts w:eastAsiaTheme="majorEastAsia"/>
          <w:color w:val="auto"/>
          <w:szCs w:val="22"/>
        </w:rPr>
        <w:t xml:space="preserve"> </w:t>
      </w:r>
      <w:r w:rsidR="00572AD1">
        <w:rPr>
          <w:rFonts w:eastAsiaTheme="majorEastAsia"/>
          <w:color w:val="auto"/>
          <w:szCs w:val="22"/>
        </w:rPr>
        <w:t xml:space="preserve">(38–100%) </w:t>
      </w:r>
      <w:r w:rsidR="004A4058" w:rsidRPr="000B45E8">
        <w:rPr>
          <w:rFonts w:eastAsiaTheme="majorEastAsia"/>
          <w:color w:val="auto"/>
          <w:szCs w:val="22"/>
        </w:rPr>
        <w:t xml:space="preserve">at </w:t>
      </w:r>
      <w:r w:rsidRPr="000B45E8">
        <w:rPr>
          <w:rFonts w:eastAsiaTheme="majorEastAsia"/>
          <w:color w:val="auto"/>
          <w:szCs w:val="22"/>
        </w:rPr>
        <w:t>multiple spatial scales following the inundation of lit</w:t>
      </w:r>
      <w:r>
        <w:rPr>
          <w:rFonts w:eastAsiaTheme="majorEastAsia"/>
          <w:color w:val="auto"/>
          <w:szCs w:val="22"/>
        </w:rPr>
        <w:t xml:space="preserve">toral </w:t>
      </w:r>
      <w:r w:rsidRPr="000B45E8">
        <w:rPr>
          <w:rFonts w:eastAsiaTheme="majorEastAsia"/>
          <w:color w:val="auto"/>
          <w:szCs w:val="22"/>
        </w:rPr>
        <w:t>zones by spring flows</w:t>
      </w:r>
      <w:r>
        <w:rPr>
          <w:rFonts w:eastAsiaTheme="majorEastAsia"/>
          <w:color w:val="auto"/>
          <w:szCs w:val="22"/>
        </w:rPr>
        <w:t>, and river red</w:t>
      </w:r>
      <w:r w:rsidR="00192D9B">
        <w:rPr>
          <w:rFonts w:eastAsiaTheme="majorEastAsia"/>
          <w:color w:val="auto"/>
          <w:szCs w:val="22"/>
        </w:rPr>
        <w:t xml:space="preserve"> </w:t>
      </w:r>
      <w:r>
        <w:rPr>
          <w:rFonts w:eastAsiaTheme="majorEastAsia"/>
          <w:color w:val="auto"/>
          <w:szCs w:val="22"/>
        </w:rPr>
        <w:t>gum seedling ge</w:t>
      </w:r>
      <w:r w:rsidR="00A24989">
        <w:rPr>
          <w:rFonts w:eastAsiaTheme="majorEastAsia"/>
          <w:color w:val="auto"/>
          <w:szCs w:val="22"/>
        </w:rPr>
        <w:t>mination</w:t>
      </w:r>
      <w:r>
        <w:rPr>
          <w:rFonts w:eastAsiaTheme="majorEastAsia"/>
          <w:color w:val="auto"/>
          <w:szCs w:val="22"/>
        </w:rPr>
        <w:t xml:space="preserve"> was supported</w:t>
      </w:r>
      <w:r w:rsidRPr="000B45E8">
        <w:rPr>
          <w:rFonts w:eastAsiaTheme="majorEastAsia"/>
          <w:color w:val="auto"/>
          <w:szCs w:val="22"/>
        </w:rPr>
        <w:t xml:space="preserve"> in the LMR. </w:t>
      </w:r>
      <w:r>
        <w:rPr>
          <w:rFonts w:eastAsiaTheme="majorEastAsia"/>
          <w:color w:val="auto"/>
          <w:szCs w:val="22"/>
        </w:rPr>
        <w:t xml:space="preserve">Variable water levels also </w:t>
      </w:r>
      <w:r w:rsidRPr="000B45E8">
        <w:rPr>
          <w:rFonts w:eastAsiaTheme="majorEastAsia"/>
          <w:color w:val="auto"/>
          <w:szCs w:val="22"/>
        </w:rPr>
        <w:t>produced conditions suitable for the recruitment of specialised riparian species, therefore increasing plant functional diversity.</w:t>
      </w:r>
    </w:p>
    <w:bookmarkEnd w:id="13"/>
    <w:p w14:paraId="4E4F981E" w14:textId="2736F490" w:rsidR="00F64316" w:rsidRDefault="00F64316" w:rsidP="00F64316">
      <w:pPr>
        <w:pStyle w:val="ListParagraph"/>
        <w:numPr>
          <w:ilvl w:val="0"/>
          <w:numId w:val="59"/>
        </w:numPr>
        <w:rPr>
          <w:rFonts w:eastAsiaTheme="majorEastAsia"/>
          <w:color w:val="auto"/>
          <w:szCs w:val="22"/>
        </w:rPr>
      </w:pPr>
      <w:r w:rsidRPr="001C7CC1">
        <w:rPr>
          <w:rFonts w:eastAsiaTheme="majorEastAsia"/>
          <w:b/>
          <w:bCs/>
          <w:color w:val="auto"/>
          <w:szCs w:val="22"/>
        </w:rPr>
        <w:t>Water quality</w:t>
      </w:r>
      <w:r w:rsidR="004A4058">
        <w:rPr>
          <w:rFonts w:eastAsiaTheme="majorEastAsia"/>
          <w:color w:val="auto"/>
          <w:szCs w:val="22"/>
        </w:rPr>
        <w:t>: Commonwealth environmental water</w:t>
      </w:r>
      <w:r w:rsidR="004A4058" w:rsidRPr="00FC25E9">
        <w:rPr>
          <w:rFonts w:eastAsiaTheme="majorEastAsia"/>
          <w:color w:val="auto"/>
          <w:szCs w:val="22"/>
        </w:rPr>
        <w:t xml:space="preserve"> </w:t>
      </w:r>
      <w:r w:rsidR="004A4058">
        <w:rPr>
          <w:rFonts w:eastAsiaTheme="majorEastAsia"/>
          <w:color w:val="auto"/>
          <w:szCs w:val="22"/>
        </w:rPr>
        <w:t>i</w:t>
      </w:r>
      <w:r w:rsidR="004A4058" w:rsidRPr="00FC25E9">
        <w:rPr>
          <w:rFonts w:eastAsiaTheme="majorEastAsia"/>
          <w:color w:val="auto"/>
          <w:szCs w:val="22"/>
        </w:rPr>
        <w:t xml:space="preserve">ncreased water mixing (velocities &gt;~0.2 m/s) and oxygen exchange at the </w:t>
      </w:r>
      <w:r w:rsidR="004A4058">
        <w:rPr>
          <w:rFonts w:eastAsiaTheme="majorEastAsia"/>
          <w:color w:val="auto"/>
          <w:szCs w:val="22"/>
        </w:rPr>
        <w:t xml:space="preserve">water </w:t>
      </w:r>
      <w:r w:rsidR="004A4058" w:rsidRPr="00FC25E9">
        <w:rPr>
          <w:rFonts w:eastAsiaTheme="majorEastAsia"/>
          <w:color w:val="auto"/>
          <w:szCs w:val="22"/>
        </w:rPr>
        <w:t>surface</w:t>
      </w:r>
      <w:r w:rsidR="004A4058">
        <w:rPr>
          <w:rFonts w:eastAsiaTheme="majorEastAsia"/>
          <w:color w:val="auto"/>
          <w:szCs w:val="22"/>
        </w:rPr>
        <w:t>,</w:t>
      </w:r>
      <w:r w:rsidR="004A4058" w:rsidRPr="00FC25E9">
        <w:rPr>
          <w:rFonts w:eastAsiaTheme="majorEastAsia"/>
          <w:color w:val="auto"/>
          <w:szCs w:val="22"/>
        </w:rPr>
        <w:t xml:space="preserve"> reduc</w:t>
      </w:r>
      <w:r w:rsidR="004A4058">
        <w:rPr>
          <w:rFonts w:eastAsiaTheme="majorEastAsia"/>
          <w:color w:val="auto"/>
          <w:szCs w:val="22"/>
        </w:rPr>
        <w:t>ing</w:t>
      </w:r>
      <w:r w:rsidR="004A4058" w:rsidRPr="00FC25E9">
        <w:rPr>
          <w:rFonts w:eastAsiaTheme="majorEastAsia"/>
          <w:color w:val="auto"/>
          <w:szCs w:val="22"/>
        </w:rPr>
        <w:t xml:space="preserve"> the risk of low dissolved oxygen</w:t>
      </w:r>
      <w:r w:rsidR="004A4058" w:rsidRPr="00B11615">
        <w:rPr>
          <w:rFonts w:eastAsiaTheme="majorEastAsia"/>
          <w:color w:val="auto"/>
          <w:szCs w:val="22"/>
        </w:rPr>
        <w:t xml:space="preserve"> </w:t>
      </w:r>
      <w:r w:rsidR="004A4058">
        <w:rPr>
          <w:rFonts w:eastAsiaTheme="majorEastAsia"/>
          <w:color w:val="auto"/>
          <w:szCs w:val="22"/>
        </w:rPr>
        <w:t xml:space="preserve">across an extra 104km for 30 days. </w:t>
      </w:r>
      <w:r>
        <w:rPr>
          <w:rFonts w:eastAsiaTheme="majorEastAsia"/>
          <w:color w:val="auto"/>
          <w:szCs w:val="22"/>
        </w:rPr>
        <w:t xml:space="preserve">This was </w:t>
      </w:r>
      <w:r w:rsidRPr="00FC25E9">
        <w:rPr>
          <w:rFonts w:eastAsiaTheme="majorEastAsia"/>
          <w:color w:val="auto"/>
          <w:szCs w:val="22"/>
        </w:rPr>
        <w:t>particularly</w:t>
      </w:r>
      <w:r>
        <w:rPr>
          <w:rFonts w:eastAsiaTheme="majorEastAsia"/>
          <w:color w:val="auto"/>
          <w:szCs w:val="22"/>
        </w:rPr>
        <w:t xml:space="preserve"> the case</w:t>
      </w:r>
      <w:r w:rsidRPr="00FC25E9">
        <w:rPr>
          <w:rFonts w:eastAsiaTheme="majorEastAsia"/>
          <w:color w:val="auto"/>
          <w:szCs w:val="22"/>
        </w:rPr>
        <w:t xml:space="preserve"> during spring–summer – the period that corresponds with high</w:t>
      </w:r>
      <w:r>
        <w:rPr>
          <w:rFonts w:eastAsiaTheme="majorEastAsia"/>
          <w:color w:val="auto"/>
          <w:szCs w:val="22"/>
        </w:rPr>
        <w:t>est</w:t>
      </w:r>
      <w:r w:rsidRPr="00FC25E9">
        <w:rPr>
          <w:rFonts w:eastAsiaTheme="majorEastAsia"/>
          <w:color w:val="auto"/>
          <w:szCs w:val="22"/>
        </w:rPr>
        <w:t xml:space="preserve"> ecosystem respiration rates and the primary reproductive season of many species </w:t>
      </w:r>
      <w:r w:rsidRPr="002D1BE9">
        <w:rPr>
          <w:szCs w:val="21"/>
        </w:rPr>
        <w:t>that generally favour DO &gt;5 mg/L.</w:t>
      </w:r>
    </w:p>
    <w:p w14:paraId="7CE271E9" w14:textId="77777777" w:rsidR="006D51BA" w:rsidRDefault="006D51BA" w:rsidP="006D51BA">
      <w:pPr>
        <w:pStyle w:val="ListParagraph"/>
        <w:numPr>
          <w:ilvl w:val="0"/>
          <w:numId w:val="59"/>
        </w:numPr>
        <w:rPr>
          <w:rFonts w:eastAsiaTheme="majorEastAsia"/>
          <w:color w:val="auto"/>
          <w:szCs w:val="22"/>
        </w:rPr>
      </w:pPr>
      <w:bookmarkStart w:id="14" w:name="_Hlk66263358"/>
      <w:r w:rsidRPr="001C7CC1">
        <w:rPr>
          <w:rFonts w:eastAsiaTheme="majorEastAsia"/>
          <w:b/>
          <w:bCs/>
          <w:color w:val="auto"/>
          <w:szCs w:val="22"/>
        </w:rPr>
        <w:t>River productivity</w:t>
      </w:r>
      <w:r>
        <w:rPr>
          <w:rFonts w:eastAsiaTheme="majorEastAsia"/>
          <w:color w:val="auto"/>
          <w:szCs w:val="22"/>
        </w:rPr>
        <w:t xml:space="preserve">: Primary </w:t>
      </w:r>
      <w:r w:rsidRPr="00FC25E9">
        <w:rPr>
          <w:rFonts w:eastAsiaTheme="majorEastAsia"/>
          <w:color w:val="auto"/>
          <w:szCs w:val="22"/>
        </w:rPr>
        <w:t>production, which supports aquatic food webs (e.g. invertebrates and fish), increased slightly</w:t>
      </w:r>
      <w:r>
        <w:rPr>
          <w:rFonts w:eastAsiaTheme="majorEastAsia"/>
          <w:color w:val="auto"/>
          <w:szCs w:val="22"/>
        </w:rPr>
        <w:t xml:space="preserve"> (1%)</w:t>
      </w:r>
      <w:r w:rsidRPr="00FC25E9">
        <w:rPr>
          <w:rFonts w:eastAsiaTheme="majorEastAsia"/>
          <w:color w:val="auto"/>
          <w:szCs w:val="22"/>
        </w:rPr>
        <w:t xml:space="preserve"> </w:t>
      </w:r>
      <w:r w:rsidRPr="00E651A2">
        <w:rPr>
          <w:rFonts w:eastAsiaTheme="majorEastAsia"/>
          <w:color w:val="auto"/>
          <w:szCs w:val="22"/>
        </w:rPr>
        <w:t xml:space="preserve">in response to the physical changes generated by the addition of environmental water as the influence on channel volume was constrained </w:t>
      </w:r>
      <w:r>
        <w:rPr>
          <w:rFonts w:eastAsiaTheme="majorEastAsia"/>
          <w:color w:val="auto"/>
          <w:szCs w:val="22"/>
        </w:rPr>
        <w:t>by generally stable weir pool levels</w:t>
      </w:r>
      <w:r w:rsidRPr="00E651A2">
        <w:rPr>
          <w:rFonts w:eastAsiaTheme="majorEastAsia"/>
          <w:color w:val="auto"/>
          <w:szCs w:val="22"/>
        </w:rPr>
        <w:t xml:space="preserve"> </w:t>
      </w:r>
      <w:r w:rsidRPr="00FC25E9">
        <w:rPr>
          <w:rFonts w:eastAsiaTheme="majorEastAsia"/>
          <w:color w:val="auto"/>
          <w:szCs w:val="22"/>
        </w:rPr>
        <w:t xml:space="preserve">in the regulated LMR. </w:t>
      </w:r>
    </w:p>
    <w:bookmarkEnd w:id="14"/>
    <w:p w14:paraId="391C31FD" w14:textId="77777777" w:rsidR="004A4058" w:rsidRDefault="004A4058" w:rsidP="004A4058">
      <w:pPr>
        <w:pStyle w:val="ListParagraph"/>
        <w:numPr>
          <w:ilvl w:val="0"/>
          <w:numId w:val="59"/>
        </w:numPr>
        <w:rPr>
          <w:rFonts w:eastAsiaTheme="majorEastAsia"/>
          <w:color w:val="auto"/>
          <w:szCs w:val="22"/>
        </w:rPr>
      </w:pPr>
      <w:r w:rsidRPr="001C7CC1">
        <w:rPr>
          <w:rFonts w:eastAsiaTheme="majorEastAsia"/>
          <w:b/>
          <w:bCs/>
          <w:color w:val="auto"/>
          <w:szCs w:val="22"/>
        </w:rPr>
        <w:t>Matter transport</w:t>
      </w:r>
      <w:r>
        <w:rPr>
          <w:rFonts w:eastAsiaTheme="majorEastAsia"/>
          <w:color w:val="auto"/>
          <w:szCs w:val="22"/>
        </w:rPr>
        <w:t>: Environmental water moderately increased t</w:t>
      </w:r>
      <w:r w:rsidRPr="00FC25E9">
        <w:rPr>
          <w:rFonts w:eastAsiaTheme="majorEastAsia"/>
          <w:color w:val="auto"/>
          <w:szCs w:val="22"/>
        </w:rPr>
        <w:t>he transport of nutrients, which would likely have stimulated primary and secondary productivity in downstream ecosystems, providing potential benefits to food webs of the LMR, Lower Lakes, Coorong and Southern Ocean, adjacent to the Murray Mouth.</w:t>
      </w:r>
    </w:p>
    <w:p w14:paraId="09B68836" w14:textId="3A917B84" w:rsidR="004A4058" w:rsidRDefault="006D51BA" w:rsidP="004A4058">
      <w:pPr>
        <w:pStyle w:val="ListParagraph"/>
        <w:numPr>
          <w:ilvl w:val="0"/>
          <w:numId w:val="59"/>
        </w:numPr>
        <w:rPr>
          <w:rFonts w:eastAsiaTheme="majorEastAsia"/>
          <w:color w:val="auto"/>
          <w:szCs w:val="22"/>
        </w:rPr>
      </w:pPr>
      <w:proofErr w:type="spellStart"/>
      <w:r w:rsidRPr="001C7CC1">
        <w:rPr>
          <w:rFonts w:eastAsiaTheme="majorEastAsia"/>
          <w:b/>
          <w:bCs/>
          <w:color w:val="auto"/>
          <w:szCs w:val="22"/>
        </w:rPr>
        <w:t>Microinvertebrates</w:t>
      </w:r>
      <w:proofErr w:type="spellEnd"/>
      <w:r>
        <w:rPr>
          <w:rFonts w:eastAsiaTheme="majorEastAsia"/>
          <w:color w:val="auto"/>
          <w:szCs w:val="22"/>
        </w:rPr>
        <w:t xml:space="preserve">: Despite slight increases in primary production in the LMR main channel due to environmental water, the </w:t>
      </w:r>
      <w:r w:rsidRPr="00FC25E9">
        <w:rPr>
          <w:rFonts w:eastAsiaTheme="majorEastAsia"/>
          <w:color w:val="auto"/>
          <w:szCs w:val="22"/>
        </w:rPr>
        <w:t xml:space="preserve">diversity and density </w:t>
      </w:r>
      <w:r>
        <w:rPr>
          <w:rFonts w:eastAsiaTheme="majorEastAsia"/>
          <w:color w:val="auto"/>
          <w:szCs w:val="22"/>
        </w:rPr>
        <w:t xml:space="preserve">of </w:t>
      </w:r>
      <w:proofErr w:type="spellStart"/>
      <w:r>
        <w:rPr>
          <w:rFonts w:eastAsiaTheme="majorEastAsia"/>
          <w:color w:val="auto"/>
          <w:szCs w:val="22"/>
        </w:rPr>
        <w:t>microinvertebrates</w:t>
      </w:r>
      <w:proofErr w:type="spellEnd"/>
      <w:r>
        <w:rPr>
          <w:rFonts w:eastAsiaTheme="majorEastAsia"/>
          <w:color w:val="auto"/>
          <w:szCs w:val="22"/>
        </w:rPr>
        <w:t xml:space="preserve"> increased </w:t>
      </w:r>
      <w:r w:rsidRPr="00721167">
        <w:rPr>
          <w:rFonts w:eastAsiaTheme="majorEastAsia"/>
          <w:color w:val="auto"/>
          <w:szCs w:val="22"/>
        </w:rPr>
        <w:t>during spring–summer</w:t>
      </w:r>
      <w:r>
        <w:rPr>
          <w:rFonts w:eastAsiaTheme="majorEastAsia"/>
          <w:color w:val="auto"/>
          <w:szCs w:val="22"/>
        </w:rPr>
        <w:t xml:space="preserve"> by </w:t>
      </w:r>
      <w:r w:rsidR="004A4058">
        <w:rPr>
          <w:rFonts w:eastAsiaTheme="majorEastAsia"/>
          <w:color w:val="auto"/>
          <w:szCs w:val="22"/>
        </w:rPr>
        <w:t xml:space="preserve">11% and 23%, respectively, and </w:t>
      </w:r>
      <w:r w:rsidR="004A4058" w:rsidRPr="00721167">
        <w:rPr>
          <w:rFonts w:eastAsiaTheme="majorEastAsia"/>
          <w:color w:val="auto"/>
          <w:szCs w:val="22"/>
        </w:rPr>
        <w:t xml:space="preserve">the density of preferred prey species of large-bodied native fish larvae increased by 37% during spring 2019 </w:t>
      </w:r>
      <w:r w:rsidR="004A4058">
        <w:rPr>
          <w:rFonts w:eastAsiaTheme="majorEastAsia"/>
          <w:color w:val="auto"/>
          <w:szCs w:val="22"/>
        </w:rPr>
        <w:t xml:space="preserve">due to environmental water. </w:t>
      </w:r>
    </w:p>
    <w:p w14:paraId="79F9003F" w14:textId="5CDDE706" w:rsidR="00F64316" w:rsidRDefault="00F64316" w:rsidP="00F64316">
      <w:pPr>
        <w:pStyle w:val="ListParagraph"/>
        <w:numPr>
          <w:ilvl w:val="0"/>
          <w:numId w:val="59"/>
        </w:numPr>
        <w:rPr>
          <w:rFonts w:eastAsiaTheme="majorEastAsia"/>
          <w:color w:val="auto"/>
          <w:szCs w:val="22"/>
        </w:rPr>
      </w:pPr>
      <w:r w:rsidRPr="001C7CC1">
        <w:rPr>
          <w:rFonts w:eastAsiaTheme="majorEastAsia"/>
          <w:b/>
          <w:bCs/>
          <w:color w:val="auto"/>
          <w:szCs w:val="22"/>
        </w:rPr>
        <w:t>Murray cod recruitment</w:t>
      </w:r>
      <w:r>
        <w:rPr>
          <w:rFonts w:eastAsiaTheme="majorEastAsia"/>
          <w:color w:val="auto"/>
          <w:szCs w:val="22"/>
        </w:rPr>
        <w:t>: There was strong recruitment of Murray cod suggested by high abundance of young-of-year (YOY, age 0+). The</w:t>
      </w:r>
      <w:r w:rsidRPr="00861F49">
        <w:rPr>
          <w:rFonts w:eastAsiaTheme="majorEastAsia"/>
          <w:color w:val="auto"/>
          <w:szCs w:val="22"/>
        </w:rPr>
        <w:t xml:space="preserve"> increase</w:t>
      </w:r>
      <w:r>
        <w:rPr>
          <w:rFonts w:eastAsiaTheme="majorEastAsia"/>
          <w:color w:val="auto"/>
          <w:szCs w:val="22"/>
        </w:rPr>
        <w:t>d</w:t>
      </w:r>
      <w:r w:rsidRPr="00861F49">
        <w:rPr>
          <w:rFonts w:eastAsiaTheme="majorEastAsia"/>
          <w:color w:val="auto"/>
          <w:szCs w:val="22"/>
        </w:rPr>
        <w:t xml:space="preserve"> extent of favourable (lotic) habitat </w:t>
      </w:r>
      <w:r>
        <w:rPr>
          <w:rFonts w:eastAsiaTheme="majorEastAsia"/>
          <w:color w:val="auto"/>
          <w:szCs w:val="22"/>
        </w:rPr>
        <w:t xml:space="preserve">by the spring flow pulse </w:t>
      </w:r>
      <w:r w:rsidRPr="00861F49">
        <w:rPr>
          <w:rFonts w:eastAsiaTheme="majorEastAsia"/>
          <w:color w:val="auto"/>
          <w:szCs w:val="22"/>
        </w:rPr>
        <w:t>during the spawning</w:t>
      </w:r>
      <w:r>
        <w:rPr>
          <w:rFonts w:eastAsiaTheme="majorEastAsia"/>
          <w:color w:val="auto"/>
          <w:szCs w:val="22"/>
        </w:rPr>
        <w:t>/</w:t>
      </w:r>
      <w:r w:rsidRPr="00861F49">
        <w:rPr>
          <w:rFonts w:eastAsiaTheme="majorEastAsia"/>
          <w:color w:val="auto"/>
          <w:szCs w:val="22"/>
        </w:rPr>
        <w:t>early larval period</w:t>
      </w:r>
      <w:r>
        <w:rPr>
          <w:rFonts w:eastAsiaTheme="majorEastAsia"/>
          <w:color w:val="auto"/>
          <w:szCs w:val="22"/>
        </w:rPr>
        <w:t>, and increased larval food resources,</w:t>
      </w:r>
      <w:r w:rsidRPr="00861F49">
        <w:rPr>
          <w:rFonts w:eastAsiaTheme="majorEastAsia"/>
          <w:color w:val="auto"/>
          <w:szCs w:val="22"/>
        </w:rPr>
        <w:t xml:space="preserve"> may have support</w:t>
      </w:r>
      <w:r w:rsidR="006D51BA">
        <w:rPr>
          <w:rFonts w:eastAsiaTheme="majorEastAsia"/>
          <w:color w:val="auto"/>
          <w:szCs w:val="22"/>
        </w:rPr>
        <w:t>ed</w:t>
      </w:r>
      <w:r w:rsidRPr="00861F49">
        <w:rPr>
          <w:rFonts w:eastAsiaTheme="majorEastAsia"/>
          <w:color w:val="auto"/>
          <w:szCs w:val="22"/>
        </w:rPr>
        <w:t xml:space="preserve"> spawning and recruitment</w:t>
      </w:r>
      <w:r>
        <w:rPr>
          <w:rFonts w:eastAsiaTheme="majorEastAsia"/>
          <w:color w:val="auto"/>
          <w:szCs w:val="22"/>
        </w:rPr>
        <w:t xml:space="preserve"> in this species</w:t>
      </w:r>
      <w:r w:rsidRPr="00861F49">
        <w:rPr>
          <w:rFonts w:eastAsiaTheme="majorEastAsia"/>
          <w:color w:val="auto"/>
          <w:szCs w:val="22"/>
        </w:rPr>
        <w:t>.</w:t>
      </w:r>
    </w:p>
    <w:p w14:paraId="608B7489" w14:textId="77777777" w:rsidR="00F64316" w:rsidRPr="00D02D3C" w:rsidRDefault="00F64316" w:rsidP="00F64316">
      <w:pPr>
        <w:pStyle w:val="ListParagraph"/>
        <w:numPr>
          <w:ilvl w:val="0"/>
          <w:numId w:val="59"/>
        </w:numPr>
        <w:rPr>
          <w:szCs w:val="21"/>
          <w:lang w:eastAsia="en-AU"/>
        </w:rPr>
      </w:pPr>
      <w:r w:rsidRPr="001C7CC1">
        <w:rPr>
          <w:rFonts w:eastAsiaTheme="majorEastAsia"/>
          <w:b/>
          <w:bCs/>
          <w:color w:val="auto"/>
          <w:szCs w:val="22"/>
        </w:rPr>
        <w:t>Barrage flows</w:t>
      </w:r>
      <w:r w:rsidRPr="00D02D3C">
        <w:rPr>
          <w:rFonts w:eastAsiaTheme="majorEastAsia"/>
          <w:color w:val="auto"/>
          <w:szCs w:val="22"/>
        </w:rPr>
        <w:t xml:space="preserve">: Continuous barrage flows (including for fishway operations) were maintained by Commonwealth environmental water (100%) in this dry year. </w:t>
      </w:r>
    </w:p>
    <w:p w14:paraId="61028B27" w14:textId="4F557A91" w:rsidR="00F64316" w:rsidRPr="00D02D3C" w:rsidRDefault="00F64316" w:rsidP="00F64316">
      <w:pPr>
        <w:pStyle w:val="ListParagraph"/>
        <w:numPr>
          <w:ilvl w:val="0"/>
          <w:numId w:val="59"/>
        </w:numPr>
        <w:rPr>
          <w:szCs w:val="21"/>
          <w:lang w:eastAsia="en-AU"/>
        </w:rPr>
      </w:pPr>
      <w:r w:rsidRPr="001C7CC1">
        <w:rPr>
          <w:rFonts w:eastAsiaTheme="majorEastAsia"/>
          <w:b/>
          <w:bCs/>
          <w:color w:val="auto"/>
          <w:szCs w:val="22"/>
        </w:rPr>
        <w:t>Lamprey migration</w:t>
      </w:r>
      <w:r>
        <w:rPr>
          <w:rFonts w:eastAsiaTheme="majorEastAsia"/>
          <w:color w:val="auto"/>
          <w:szCs w:val="22"/>
        </w:rPr>
        <w:t xml:space="preserve">: Barrage flows </w:t>
      </w:r>
      <w:r w:rsidRPr="00D02D3C">
        <w:rPr>
          <w:szCs w:val="21"/>
          <w:lang w:eastAsia="en-AU"/>
        </w:rPr>
        <w:t>facilitated connectivity between freshwater, estuarine and marine environments, and promoted lamprey migration. During winter–spring 2019, moderate–high abundances of pouched and short-headed lamprey</w:t>
      </w:r>
      <w:r w:rsidR="00195076">
        <w:rPr>
          <w:szCs w:val="21"/>
          <w:lang w:eastAsia="en-AU"/>
        </w:rPr>
        <w:t>, relative to previous years,</w:t>
      </w:r>
      <w:r w:rsidRPr="00D02D3C">
        <w:rPr>
          <w:szCs w:val="21"/>
          <w:lang w:eastAsia="en-AU"/>
        </w:rPr>
        <w:t xml:space="preserve"> were found passing the Murray barrages with migrations that continued for 100’s of kilometres upstream.</w:t>
      </w:r>
    </w:p>
    <w:p w14:paraId="39A139C6" w14:textId="4BB40774" w:rsidR="00F64316" w:rsidRDefault="00F64316" w:rsidP="00F64316">
      <w:pPr>
        <w:pStyle w:val="ListParagraph"/>
        <w:numPr>
          <w:ilvl w:val="0"/>
          <w:numId w:val="59"/>
        </w:numPr>
        <w:rPr>
          <w:rFonts w:eastAsiaTheme="majorEastAsia"/>
          <w:color w:val="auto"/>
          <w:szCs w:val="22"/>
        </w:rPr>
      </w:pPr>
      <w:r w:rsidRPr="001C7CC1">
        <w:rPr>
          <w:rFonts w:eastAsiaTheme="majorEastAsia"/>
          <w:b/>
          <w:bCs/>
          <w:color w:val="auto"/>
          <w:szCs w:val="22"/>
        </w:rPr>
        <w:t>Salt export and reducing import</w:t>
      </w:r>
      <w:r>
        <w:rPr>
          <w:rFonts w:eastAsiaTheme="majorEastAsia"/>
          <w:color w:val="auto"/>
          <w:szCs w:val="22"/>
        </w:rPr>
        <w:t>: Commonwealth environmental water</w:t>
      </w:r>
      <w:r w:rsidRPr="00FC25E9">
        <w:rPr>
          <w:rFonts w:eastAsiaTheme="majorEastAsia"/>
          <w:color w:val="auto"/>
          <w:szCs w:val="22"/>
        </w:rPr>
        <w:t xml:space="preserve"> substantially increased salt export out of the Basin</w:t>
      </w:r>
      <w:r>
        <w:rPr>
          <w:rFonts w:eastAsiaTheme="majorEastAsia"/>
          <w:color w:val="auto"/>
          <w:szCs w:val="22"/>
        </w:rPr>
        <w:t xml:space="preserve"> (modelled 624</w:t>
      </w:r>
      <w:r w:rsidR="00B164BA">
        <w:rPr>
          <w:rFonts w:eastAsiaTheme="majorEastAsia"/>
          <w:color w:val="auto"/>
          <w:szCs w:val="22"/>
        </w:rPr>
        <w:t>,000</w:t>
      </w:r>
      <w:r>
        <w:rPr>
          <w:rFonts w:eastAsiaTheme="majorEastAsia"/>
          <w:color w:val="auto"/>
          <w:szCs w:val="22"/>
        </w:rPr>
        <w:t xml:space="preserve"> tonnes in 2019-20)</w:t>
      </w:r>
      <w:r w:rsidRPr="00FC25E9">
        <w:rPr>
          <w:rFonts w:eastAsiaTheme="majorEastAsia"/>
          <w:color w:val="auto"/>
          <w:szCs w:val="22"/>
        </w:rPr>
        <w:t>, reduced salt import into the Coorong</w:t>
      </w:r>
      <w:r>
        <w:rPr>
          <w:rFonts w:eastAsiaTheme="majorEastAsia"/>
          <w:color w:val="auto"/>
          <w:szCs w:val="22"/>
        </w:rPr>
        <w:t xml:space="preserve"> (2 million tonnes)</w:t>
      </w:r>
      <w:r w:rsidRPr="00FC25E9">
        <w:rPr>
          <w:rFonts w:eastAsiaTheme="majorEastAsia"/>
          <w:color w:val="auto"/>
          <w:szCs w:val="22"/>
        </w:rPr>
        <w:t xml:space="preserve">, and reduced salinity levels in the Coorong, </w:t>
      </w:r>
      <w:r>
        <w:rPr>
          <w:rFonts w:eastAsiaTheme="majorEastAsia"/>
          <w:color w:val="auto"/>
          <w:szCs w:val="22"/>
        </w:rPr>
        <w:t xml:space="preserve">which was considered to be crucial for maintaining ecosystem health and species diversity. </w:t>
      </w:r>
    </w:p>
    <w:p w14:paraId="79323C44" w14:textId="77777777" w:rsidR="00F64316" w:rsidRDefault="00F64316" w:rsidP="00F64316">
      <w:pPr>
        <w:pStyle w:val="ListParagraph"/>
        <w:numPr>
          <w:ilvl w:val="0"/>
          <w:numId w:val="59"/>
        </w:numPr>
        <w:rPr>
          <w:rFonts w:eastAsiaTheme="majorEastAsia"/>
          <w:color w:val="auto"/>
          <w:szCs w:val="22"/>
        </w:rPr>
      </w:pPr>
      <w:proofErr w:type="spellStart"/>
      <w:r w:rsidRPr="001C7CC1">
        <w:rPr>
          <w:rFonts w:eastAsiaTheme="majorEastAsia"/>
          <w:b/>
          <w:bCs/>
          <w:i/>
          <w:iCs/>
          <w:color w:val="auto"/>
          <w:szCs w:val="22"/>
        </w:rPr>
        <w:t>Ruppia</w:t>
      </w:r>
      <w:proofErr w:type="spellEnd"/>
      <w:r w:rsidRPr="001C7CC1">
        <w:rPr>
          <w:rFonts w:eastAsiaTheme="majorEastAsia"/>
          <w:b/>
          <w:bCs/>
          <w:color w:val="auto"/>
          <w:szCs w:val="22"/>
        </w:rPr>
        <w:t xml:space="preserve"> and fish habitats</w:t>
      </w:r>
      <w:r>
        <w:rPr>
          <w:rFonts w:eastAsiaTheme="majorEastAsia"/>
          <w:color w:val="auto"/>
          <w:szCs w:val="22"/>
        </w:rPr>
        <w:t xml:space="preserve">: Environmental water substantially increased favourable fish habitat </w:t>
      </w:r>
      <w:r w:rsidRPr="008D64E2">
        <w:rPr>
          <w:rFonts w:eastAsiaTheme="majorEastAsia"/>
          <w:color w:val="auto"/>
          <w:szCs w:val="22"/>
        </w:rPr>
        <w:t>for estuarine species</w:t>
      </w:r>
      <w:r>
        <w:rPr>
          <w:rFonts w:eastAsiaTheme="majorEastAsia"/>
          <w:color w:val="auto"/>
          <w:szCs w:val="22"/>
        </w:rPr>
        <w:t xml:space="preserve"> (</w:t>
      </w:r>
      <w:proofErr w:type="gramStart"/>
      <w:r>
        <w:rPr>
          <w:rFonts w:eastAsiaTheme="majorEastAsia"/>
          <w:color w:val="auto"/>
          <w:szCs w:val="22"/>
        </w:rPr>
        <w:t>e.g.</w:t>
      </w:r>
      <w:proofErr w:type="gramEnd"/>
      <w:r>
        <w:rPr>
          <w:rFonts w:eastAsiaTheme="majorEastAsia"/>
          <w:color w:val="auto"/>
          <w:szCs w:val="22"/>
        </w:rPr>
        <w:t xml:space="preserve"> </w:t>
      </w:r>
      <w:r w:rsidRPr="008D64E2">
        <w:rPr>
          <w:rFonts w:eastAsiaTheme="majorEastAsia"/>
          <w:color w:val="auto"/>
          <w:szCs w:val="22"/>
        </w:rPr>
        <w:t>40% increase in the area of suitable habitat for mulloway in 2019-20 due to environmental water deliver</w:t>
      </w:r>
      <w:r>
        <w:rPr>
          <w:rFonts w:eastAsiaTheme="majorEastAsia"/>
          <w:color w:val="auto"/>
          <w:szCs w:val="22"/>
        </w:rPr>
        <w:t xml:space="preserve">ies </w:t>
      </w:r>
      <w:r w:rsidRPr="008D64E2">
        <w:rPr>
          <w:rFonts w:eastAsiaTheme="majorEastAsia"/>
          <w:color w:val="auto"/>
          <w:szCs w:val="22"/>
        </w:rPr>
        <w:t>from 2017-18 to 2019-20</w:t>
      </w:r>
      <w:r>
        <w:rPr>
          <w:rFonts w:eastAsiaTheme="majorEastAsia"/>
          <w:color w:val="auto"/>
          <w:szCs w:val="22"/>
        </w:rPr>
        <w:t>)</w:t>
      </w:r>
      <w:r w:rsidRPr="008D64E2">
        <w:rPr>
          <w:rFonts w:eastAsiaTheme="majorEastAsia"/>
          <w:color w:val="auto"/>
          <w:szCs w:val="22"/>
        </w:rPr>
        <w:t>. Over the three years, environmental flows also</w:t>
      </w:r>
      <w:r>
        <w:rPr>
          <w:rFonts w:eastAsiaTheme="majorEastAsia"/>
          <w:color w:val="auto"/>
          <w:szCs w:val="22"/>
        </w:rPr>
        <w:t xml:space="preserve"> </w:t>
      </w:r>
      <w:r w:rsidRPr="008D64E2">
        <w:rPr>
          <w:rFonts w:eastAsiaTheme="majorEastAsia"/>
          <w:color w:val="auto"/>
          <w:szCs w:val="22"/>
        </w:rPr>
        <w:t xml:space="preserve">led to some improvements in habitat suitability for </w:t>
      </w:r>
      <w:proofErr w:type="spellStart"/>
      <w:r w:rsidRPr="008D64E2">
        <w:rPr>
          <w:rFonts w:eastAsiaTheme="majorEastAsia"/>
          <w:i/>
          <w:iCs/>
          <w:color w:val="auto"/>
          <w:szCs w:val="22"/>
        </w:rPr>
        <w:t>Ruppia</w:t>
      </w:r>
      <w:proofErr w:type="spellEnd"/>
      <w:r w:rsidRPr="008D64E2">
        <w:rPr>
          <w:rFonts w:eastAsiaTheme="majorEastAsia"/>
          <w:color w:val="auto"/>
          <w:szCs w:val="22"/>
        </w:rPr>
        <w:t xml:space="preserve"> seed production and life-cycle completion in the southern Coorong.  </w:t>
      </w:r>
    </w:p>
    <w:p w14:paraId="173EE6A8" w14:textId="21ABE43B" w:rsidR="00F64316" w:rsidRDefault="00F64316" w:rsidP="00F64316">
      <w:pPr>
        <w:pStyle w:val="ListParagraph"/>
        <w:numPr>
          <w:ilvl w:val="0"/>
          <w:numId w:val="59"/>
        </w:numPr>
        <w:rPr>
          <w:szCs w:val="21"/>
          <w:lang w:eastAsia="en-AU"/>
        </w:rPr>
      </w:pPr>
      <w:r w:rsidRPr="001C7CC1">
        <w:rPr>
          <w:b/>
          <w:bCs/>
          <w:szCs w:val="21"/>
          <w:lang w:eastAsia="en-AU"/>
        </w:rPr>
        <w:t>Flow-cued spawning fish</w:t>
      </w:r>
      <w:r>
        <w:rPr>
          <w:szCs w:val="21"/>
          <w:lang w:eastAsia="en-AU"/>
        </w:rPr>
        <w:t>: N</w:t>
      </w:r>
      <w:r w:rsidRPr="00721167">
        <w:rPr>
          <w:szCs w:val="21"/>
          <w:lang w:eastAsia="en-AU"/>
        </w:rPr>
        <w:t>o YOY of golden perch were detected in the LMR</w:t>
      </w:r>
      <w:r>
        <w:rPr>
          <w:szCs w:val="21"/>
          <w:lang w:eastAsia="en-AU"/>
        </w:rPr>
        <w:t xml:space="preserve"> during autumn 2020</w:t>
      </w:r>
      <w:r w:rsidRPr="00721167">
        <w:rPr>
          <w:szCs w:val="21"/>
          <w:lang w:eastAsia="en-AU"/>
        </w:rPr>
        <w:t xml:space="preserve">, </w:t>
      </w:r>
      <w:r>
        <w:rPr>
          <w:szCs w:val="21"/>
          <w:lang w:eastAsia="en-AU"/>
        </w:rPr>
        <w:t>suggesting</w:t>
      </w:r>
      <w:r w:rsidRPr="00721167">
        <w:rPr>
          <w:szCs w:val="21"/>
          <w:lang w:eastAsia="en-AU"/>
        </w:rPr>
        <w:t xml:space="preserve"> localised recruitment failure and a lack of immigration from spatially distinct spawning </w:t>
      </w:r>
      <w:r w:rsidR="006D51BA" w:rsidRPr="00721167">
        <w:rPr>
          <w:szCs w:val="21"/>
          <w:lang w:eastAsia="en-AU"/>
        </w:rPr>
        <w:t xml:space="preserve">sources </w:t>
      </w:r>
      <w:r w:rsidR="006D51BA">
        <w:rPr>
          <w:szCs w:val="21"/>
          <w:lang w:eastAsia="en-AU"/>
        </w:rPr>
        <w:t xml:space="preserve">(e.g. </w:t>
      </w:r>
      <w:r w:rsidR="006D51BA" w:rsidRPr="00721167">
        <w:rPr>
          <w:szCs w:val="21"/>
          <w:lang w:eastAsia="en-AU"/>
        </w:rPr>
        <w:t>mid Murray</w:t>
      </w:r>
      <w:r w:rsidR="006D51BA">
        <w:rPr>
          <w:szCs w:val="21"/>
          <w:lang w:eastAsia="en-AU"/>
        </w:rPr>
        <w:t xml:space="preserve"> or Darling r</w:t>
      </w:r>
      <w:r w:rsidR="006D51BA" w:rsidRPr="00721167">
        <w:rPr>
          <w:szCs w:val="21"/>
          <w:lang w:eastAsia="en-AU"/>
        </w:rPr>
        <w:t>iver</w:t>
      </w:r>
      <w:r w:rsidR="006D51BA">
        <w:rPr>
          <w:szCs w:val="21"/>
          <w:lang w:eastAsia="en-AU"/>
        </w:rPr>
        <w:t>s)</w:t>
      </w:r>
      <w:r w:rsidR="006D51BA" w:rsidRPr="00721167">
        <w:rPr>
          <w:szCs w:val="21"/>
          <w:lang w:eastAsia="en-AU"/>
        </w:rPr>
        <w:t>.</w:t>
      </w:r>
    </w:p>
    <w:p w14:paraId="63236883" w14:textId="77777777" w:rsidR="00F64316" w:rsidRPr="00721167" w:rsidRDefault="00F64316" w:rsidP="00F64316">
      <w:pPr>
        <w:pStyle w:val="ListParagraph"/>
        <w:numPr>
          <w:ilvl w:val="0"/>
          <w:numId w:val="59"/>
        </w:numPr>
        <w:rPr>
          <w:szCs w:val="21"/>
          <w:lang w:eastAsia="en-AU"/>
        </w:rPr>
      </w:pPr>
      <w:r w:rsidRPr="001C7CC1">
        <w:rPr>
          <w:b/>
          <w:bCs/>
          <w:szCs w:val="21"/>
          <w:lang w:eastAsia="en-AU"/>
        </w:rPr>
        <w:t>Fish assemblage</w:t>
      </w:r>
      <w:r>
        <w:rPr>
          <w:szCs w:val="21"/>
          <w:lang w:eastAsia="en-AU"/>
        </w:rPr>
        <w:t xml:space="preserve">: </w:t>
      </w:r>
      <w:r w:rsidRPr="00721167">
        <w:rPr>
          <w:szCs w:val="21"/>
          <w:lang w:eastAsia="en-AU"/>
        </w:rPr>
        <w:t xml:space="preserve">With low in-channel flows (&lt;18,000 ML/d) </w:t>
      </w:r>
      <w:r>
        <w:rPr>
          <w:szCs w:val="21"/>
          <w:lang w:eastAsia="en-AU"/>
        </w:rPr>
        <w:t xml:space="preserve">in the LMR </w:t>
      </w:r>
      <w:r w:rsidRPr="00721167">
        <w:rPr>
          <w:szCs w:val="21"/>
          <w:lang w:eastAsia="en-AU"/>
        </w:rPr>
        <w:t xml:space="preserve">since </w:t>
      </w:r>
      <w:r>
        <w:rPr>
          <w:szCs w:val="21"/>
          <w:lang w:eastAsia="en-AU"/>
        </w:rPr>
        <w:t>the 2016-17 flood</w:t>
      </w:r>
      <w:r w:rsidRPr="00721167">
        <w:rPr>
          <w:szCs w:val="21"/>
          <w:lang w:eastAsia="en-AU"/>
        </w:rPr>
        <w:t>, the current (2020) fish assemblage in the main channel represents one typical of low flows, with high abundances of small-bodied species, and a lack of recruitment of native, large-bodied flow-cued spawners.</w:t>
      </w:r>
    </w:p>
    <w:p w14:paraId="606D4D3E" w14:textId="77777777" w:rsidR="00F64316" w:rsidRPr="00C757C7" w:rsidRDefault="00F64316" w:rsidP="00F64316">
      <w:pPr>
        <w:rPr>
          <w:b/>
          <w:color w:val="44546A" w:themeColor="text2"/>
        </w:rPr>
      </w:pPr>
      <w:r w:rsidRPr="000160B0">
        <w:rPr>
          <w:b/>
          <w:color w:val="44546A" w:themeColor="text2"/>
        </w:rPr>
        <w:t>Key learnings and management implications</w:t>
      </w:r>
    </w:p>
    <w:p w14:paraId="5C3933B1" w14:textId="3890EEA5" w:rsidR="00F64316" w:rsidRPr="0029627B" w:rsidRDefault="00F64316" w:rsidP="00F64316">
      <w:pPr>
        <w:pStyle w:val="ListParagraph"/>
        <w:numPr>
          <w:ilvl w:val="0"/>
          <w:numId w:val="58"/>
        </w:numPr>
        <w:rPr>
          <w:szCs w:val="21"/>
        </w:rPr>
      </w:pPr>
      <w:r>
        <w:rPr>
          <w:bCs/>
          <w:szCs w:val="21"/>
        </w:rPr>
        <w:t>In</w:t>
      </w:r>
      <w:r w:rsidRPr="0029627B">
        <w:rPr>
          <w:szCs w:val="21"/>
        </w:rPr>
        <w:t xml:space="preserve"> the highly regulated LMR</w:t>
      </w:r>
      <w:r>
        <w:rPr>
          <w:szCs w:val="21"/>
        </w:rPr>
        <w:t>, e</w:t>
      </w:r>
      <w:r w:rsidRPr="0029627B">
        <w:rPr>
          <w:szCs w:val="21"/>
        </w:rPr>
        <w:t xml:space="preserve">nvironmental water </w:t>
      </w:r>
      <w:r>
        <w:rPr>
          <w:szCs w:val="21"/>
        </w:rPr>
        <w:t xml:space="preserve">can be used </w:t>
      </w:r>
      <w:r w:rsidRPr="0029627B">
        <w:rPr>
          <w:szCs w:val="21"/>
        </w:rPr>
        <w:t xml:space="preserve">to </w:t>
      </w:r>
      <w:r>
        <w:rPr>
          <w:szCs w:val="21"/>
        </w:rPr>
        <w:t xml:space="preserve">help </w:t>
      </w:r>
      <w:r w:rsidRPr="0029627B">
        <w:rPr>
          <w:szCs w:val="21"/>
        </w:rPr>
        <w:t>reinstate key features of the natural hydrograph to support hydrodynamic and ecosystem restoration; for example, to re</w:t>
      </w:r>
      <w:r>
        <w:rPr>
          <w:szCs w:val="21"/>
        </w:rPr>
        <w:t>instate</w:t>
      </w:r>
      <w:r w:rsidRPr="0029627B">
        <w:rPr>
          <w:szCs w:val="21"/>
        </w:rPr>
        <w:t xml:space="preserve"> </w:t>
      </w:r>
      <w:r>
        <w:rPr>
          <w:szCs w:val="21"/>
        </w:rPr>
        <w:t xml:space="preserve">winter freshes </w:t>
      </w:r>
      <w:r w:rsidR="00001C35">
        <w:rPr>
          <w:szCs w:val="21"/>
        </w:rPr>
        <w:t xml:space="preserve">and </w:t>
      </w:r>
      <w:r w:rsidR="00001C35" w:rsidRPr="0029627B">
        <w:rPr>
          <w:szCs w:val="21"/>
        </w:rPr>
        <w:t xml:space="preserve">in-channel spring–early summer flow pulses </w:t>
      </w:r>
      <w:r w:rsidR="00150021">
        <w:rPr>
          <w:szCs w:val="21"/>
        </w:rPr>
        <w:t>&lt;</w:t>
      </w:r>
      <w:r w:rsidR="00001C35" w:rsidRPr="0029627B">
        <w:rPr>
          <w:szCs w:val="21"/>
        </w:rPr>
        <w:t xml:space="preserve">20,000 ML/d.  </w:t>
      </w:r>
    </w:p>
    <w:p w14:paraId="1980E3EC" w14:textId="1883B49B" w:rsidR="00F64316" w:rsidRPr="00DF5720" w:rsidRDefault="00076055" w:rsidP="00F64316">
      <w:pPr>
        <w:pStyle w:val="ListParagraph"/>
        <w:numPr>
          <w:ilvl w:val="0"/>
          <w:numId w:val="58"/>
        </w:numPr>
        <w:rPr>
          <w:szCs w:val="21"/>
        </w:rPr>
      </w:pPr>
      <w:r>
        <w:rPr>
          <w:szCs w:val="21"/>
        </w:rPr>
        <w:t xml:space="preserve">It is increasingly evident that </w:t>
      </w:r>
      <w:r w:rsidR="003423B8" w:rsidRPr="00DF5720">
        <w:rPr>
          <w:szCs w:val="21"/>
        </w:rPr>
        <w:t xml:space="preserve">reaching and sustaining flows &gt;20,000 ML/d in the LMR </w:t>
      </w:r>
      <w:r>
        <w:rPr>
          <w:szCs w:val="21"/>
        </w:rPr>
        <w:t>is challenging w</w:t>
      </w:r>
      <w:r w:rsidRPr="00DF5720">
        <w:rPr>
          <w:szCs w:val="21"/>
        </w:rPr>
        <w:t xml:space="preserve">ith existing volumes of environmental water and delivery constraints, </w:t>
      </w:r>
      <w:r>
        <w:rPr>
          <w:szCs w:val="21"/>
        </w:rPr>
        <w:t>even when</w:t>
      </w:r>
      <w:r w:rsidR="003423B8" w:rsidRPr="00DF5720">
        <w:rPr>
          <w:szCs w:val="21"/>
        </w:rPr>
        <w:t xml:space="preserve"> coordinating flow deliveries across the southern </w:t>
      </w:r>
      <w:r w:rsidR="003423B8">
        <w:rPr>
          <w:szCs w:val="21"/>
        </w:rPr>
        <w:t>MDB</w:t>
      </w:r>
      <w:r w:rsidR="003423B8" w:rsidRPr="00DF5720">
        <w:rPr>
          <w:szCs w:val="21"/>
        </w:rPr>
        <w:t xml:space="preserve">. </w:t>
      </w:r>
      <w:r>
        <w:rPr>
          <w:szCs w:val="21"/>
        </w:rPr>
        <w:t xml:space="preserve">This has not been achieved </w:t>
      </w:r>
      <w:r w:rsidRPr="00076055">
        <w:rPr>
          <w:szCs w:val="21"/>
        </w:rPr>
        <w:t xml:space="preserve">under regulated conditions during the past </w:t>
      </w:r>
      <w:r>
        <w:rPr>
          <w:szCs w:val="21"/>
        </w:rPr>
        <w:t>six</w:t>
      </w:r>
      <w:r w:rsidRPr="00076055">
        <w:rPr>
          <w:szCs w:val="21"/>
        </w:rPr>
        <w:t xml:space="preserve"> years</w:t>
      </w:r>
      <w:r>
        <w:rPr>
          <w:szCs w:val="21"/>
        </w:rPr>
        <w:t>.</w:t>
      </w:r>
      <w:r w:rsidRPr="00076055">
        <w:rPr>
          <w:szCs w:val="21"/>
        </w:rPr>
        <w:t xml:space="preserve"> </w:t>
      </w:r>
      <w:r w:rsidR="003423B8" w:rsidRPr="00DF5720">
        <w:rPr>
          <w:szCs w:val="21"/>
        </w:rPr>
        <w:t xml:space="preserve">Under </w:t>
      </w:r>
      <w:r w:rsidR="00F64316" w:rsidRPr="00DF5720">
        <w:rPr>
          <w:szCs w:val="21"/>
        </w:rPr>
        <w:t xml:space="preserve">wetter scenarios, flows &gt;20,000 ML/d may be achieved by delivering environmental water </w:t>
      </w:r>
      <w:r w:rsidR="00F64316">
        <w:rPr>
          <w:szCs w:val="21"/>
        </w:rPr>
        <w:t xml:space="preserve">in conjunction </w:t>
      </w:r>
      <w:r w:rsidR="00F64316" w:rsidRPr="00DF5720">
        <w:rPr>
          <w:szCs w:val="21"/>
        </w:rPr>
        <w:t xml:space="preserve">with unregulated flows. </w:t>
      </w:r>
    </w:p>
    <w:p w14:paraId="4978AC64" w14:textId="77777777" w:rsidR="00682C77" w:rsidRPr="00682C77" w:rsidRDefault="00F64316" w:rsidP="00F64316">
      <w:pPr>
        <w:pStyle w:val="ListParagraph"/>
        <w:numPr>
          <w:ilvl w:val="0"/>
          <w:numId w:val="58"/>
        </w:numPr>
        <w:rPr>
          <w:szCs w:val="21"/>
        </w:rPr>
      </w:pPr>
      <w:r>
        <w:rPr>
          <w:szCs w:val="21"/>
        </w:rPr>
        <w:t>I</w:t>
      </w:r>
      <w:r w:rsidRPr="0029627B">
        <w:rPr>
          <w:szCs w:val="21"/>
        </w:rPr>
        <w:t>n the LMR</w:t>
      </w:r>
      <w:r>
        <w:rPr>
          <w:szCs w:val="21"/>
        </w:rPr>
        <w:t>,</w:t>
      </w:r>
      <w:r w:rsidRPr="0029627B">
        <w:rPr>
          <w:szCs w:val="21"/>
        </w:rPr>
        <w:t xml:space="preserve"> </w:t>
      </w:r>
      <w:r>
        <w:rPr>
          <w:szCs w:val="21"/>
        </w:rPr>
        <w:t>i</w:t>
      </w:r>
      <w:r w:rsidRPr="0029627B">
        <w:rPr>
          <w:szCs w:val="21"/>
        </w:rPr>
        <w:t xml:space="preserve">ncreasing flows to 20,000–45,000 ML/d significantly improves hydraulic conditions (e.g. </w:t>
      </w:r>
      <w:r>
        <w:rPr>
          <w:szCs w:val="21"/>
        </w:rPr>
        <w:t xml:space="preserve">increased </w:t>
      </w:r>
      <w:r w:rsidRPr="0029627B">
        <w:rPr>
          <w:szCs w:val="21"/>
        </w:rPr>
        <w:t xml:space="preserve">velocity and </w:t>
      </w:r>
      <w:bookmarkStart w:id="15" w:name="_Hlk67391198"/>
      <w:r w:rsidR="00565E48" w:rsidRPr="0029627B">
        <w:rPr>
          <w:szCs w:val="21"/>
        </w:rPr>
        <w:t xml:space="preserve">water level). </w:t>
      </w:r>
      <w:bookmarkEnd w:id="15"/>
      <w:r w:rsidR="00E9021F">
        <w:rPr>
          <w:szCs w:val="21"/>
        </w:rPr>
        <w:t>Weir</w:t>
      </w:r>
      <w:r w:rsidR="00E9021F" w:rsidRPr="0029627B">
        <w:rPr>
          <w:szCs w:val="21"/>
        </w:rPr>
        <w:t xml:space="preserve"> </w:t>
      </w:r>
      <w:r w:rsidR="00565E48" w:rsidRPr="0029627B">
        <w:rPr>
          <w:szCs w:val="21"/>
        </w:rPr>
        <w:t>management</w:t>
      </w:r>
      <w:r w:rsidR="00565E48">
        <w:rPr>
          <w:szCs w:val="21"/>
        </w:rPr>
        <w:t xml:space="preserve">, </w:t>
      </w:r>
      <w:r>
        <w:rPr>
          <w:szCs w:val="21"/>
        </w:rPr>
        <w:t>particularly</w:t>
      </w:r>
      <w:r w:rsidRPr="0029627B">
        <w:rPr>
          <w:szCs w:val="21"/>
        </w:rPr>
        <w:t xml:space="preserve"> lo</w:t>
      </w:r>
      <w:r w:rsidRPr="0029627B">
        <w:rPr>
          <w:bCs/>
          <w:szCs w:val="21"/>
        </w:rPr>
        <w:t>wering</w:t>
      </w:r>
      <w:r>
        <w:rPr>
          <w:bCs/>
          <w:szCs w:val="21"/>
        </w:rPr>
        <w:t>,</w:t>
      </w:r>
      <w:r w:rsidRPr="0029627B">
        <w:rPr>
          <w:bCs/>
          <w:szCs w:val="21"/>
        </w:rPr>
        <w:t xml:space="preserve"> </w:t>
      </w:r>
      <w:r>
        <w:rPr>
          <w:bCs/>
          <w:szCs w:val="21"/>
        </w:rPr>
        <w:t>could</w:t>
      </w:r>
      <w:r w:rsidRPr="0029627B">
        <w:rPr>
          <w:bCs/>
          <w:szCs w:val="21"/>
        </w:rPr>
        <w:t xml:space="preserve"> also be considered to complement flows to achieve hydraulic re</w:t>
      </w:r>
      <w:r>
        <w:rPr>
          <w:bCs/>
          <w:szCs w:val="21"/>
        </w:rPr>
        <w:t>habilitation and promote lotic conditions</w:t>
      </w:r>
      <w:r w:rsidRPr="0029627B">
        <w:rPr>
          <w:bCs/>
          <w:szCs w:val="21"/>
        </w:rPr>
        <w:t xml:space="preserve">. To </w:t>
      </w:r>
      <w:r w:rsidRPr="008B6A0A">
        <w:rPr>
          <w:bCs/>
          <w:szCs w:val="21"/>
        </w:rPr>
        <w:t xml:space="preserve">inform flow management and </w:t>
      </w:r>
      <w:r w:rsidRPr="0029627B">
        <w:rPr>
          <w:bCs/>
          <w:szCs w:val="21"/>
        </w:rPr>
        <w:t xml:space="preserve">maximise ecological outcomes, however, we need to better understand the effect of specific </w:t>
      </w:r>
      <w:r>
        <w:rPr>
          <w:bCs/>
          <w:szCs w:val="21"/>
        </w:rPr>
        <w:t xml:space="preserve">aspects of </w:t>
      </w:r>
      <w:r w:rsidRPr="0029627B">
        <w:rPr>
          <w:bCs/>
          <w:szCs w:val="21"/>
        </w:rPr>
        <w:t>flow (</w:t>
      </w:r>
      <w:proofErr w:type="gramStart"/>
      <w:r w:rsidRPr="0029627B">
        <w:rPr>
          <w:bCs/>
          <w:szCs w:val="21"/>
        </w:rPr>
        <w:t>e.g.</w:t>
      </w:r>
      <w:proofErr w:type="gramEnd"/>
      <w:r w:rsidRPr="0029627B">
        <w:rPr>
          <w:bCs/>
          <w:szCs w:val="21"/>
        </w:rPr>
        <w:t xml:space="preserve"> timing, magnitude and duration) on ecological processes and </w:t>
      </w:r>
      <w:r>
        <w:rPr>
          <w:bCs/>
          <w:szCs w:val="21"/>
        </w:rPr>
        <w:t xml:space="preserve">the </w:t>
      </w:r>
      <w:r w:rsidRPr="0029627B">
        <w:rPr>
          <w:bCs/>
          <w:szCs w:val="21"/>
        </w:rPr>
        <w:t xml:space="preserve">hydraulic requirements of flow-dependant </w:t>
      </w:r>
      <w:r w:rsidR="00565E48" w:rsidRPr="0029627B">
        <w:rPr>
          <w:bCs/>
          <w:szCs w:val="21"/>
        </w:rPr>
        <w:t>species.</w:t>
      </w:r>
    </w:p>
    <w:p w14:paraId="00B48751" w14:textId="097C4780" w:rsidR="00F64316" w:rsidRPr="0029627B" w:rsidRDefault="00565E48" w:rsidP="00F64316">
      <w:pPr>
        <w:pStyle w:val="ListParagraph"/>
        <w:numPr>
          <w:ilvl w:val="0"/>
          <w:numId w:val="58"/>
        </w:numPr>
        <w:rPr>
          <w:szCs w:val="21"/>
        </w:rPr>
      </w:pPr>
      <w:r w:rsidRPr="0029627B">
        <w:rPr>
          <w:bCs/>
          <w:szCs w:val="21"/>
        </w:rPr>
        <w:t xml:space="preserve">Evidence from this and allied investigations suggest that </w:t>
      </w:r>
      <w:r>
        <w:rPr>
          <w:bCs/>
          <w:szCs w:val="21"/>
        </w:rPr>
        <w:t>under current constraints and weir operating regimes, flows</w:t>
      </w:r>
      <w:r w:rsidRPr="0029627B">
        <w:rPr>
          <w:bCs/>
          <w:szCs w:val="21"/>
        </w:rPr>
        <w:t xml:space="preserve"> &gt;20,000 ML/d are likely required to significantly influence golden perch spawning and recruitment in the LMR</w:t>
      </w:r>
      <w:r>
        <w:rPr>
          <w:bCs/>
          <w:szCs w:val="21"/>
        </w:rPr>
        <w:t>.</w:t>
      </w:r>
    </w:p>
    <w:p w14:paraId="28B7D2D8" w14:textId="371C97DE" w:rsidR="00F64316" w:rsidRPr="0029627B" w:rsidRDefault="003423B8" w:rsidP="00F64316">
      <w:pPr>
        <w:pStyle w:val="ListParagraph"/>
        <w:numPr>
          <w:ilvl w:val="0"/>
          <w:numId w:val="58"/>
        </w:numPr>
        <w:ind w:left="714" w:hanging="357"/>
        <w:rPr>
          <w:bCs/>
          <w:szCs w:val="21"/>
        </w:rPr>
      </w:pPr>
      <w:bookmarkStart w:id="16" w:name="_Hlk67497317"/>
      <w:r w:rsidRPr="0029627B">
        <w:rPr>
          <w:bCs/>
          <w:szCs w:val="21"/>
        </w:rPr>
        <w:t xml:space="preserve">Environmental water delivery that promotes </w:t>
      </w:r>
      <w:bookmarkEnd w:id="16"/>
      <w:r w:rsidRPr="0029627B">
        <w:rPr>
          <w:bCs/>
          <w:szCs w:val="21"/>
        </w:rPr>
        <w:t>longitudinal and lateral connectivity will enhance productivity in the LMR</w:t>
      </w:r>
      <w:r w:rsidR="00682C77">
        <w:rPr>
          <w:bCs/>
          <w:szCs w:val="21"/>
        </w:rPr>
        <w:t>. Lateral connectivity may</w:t>
      </w:r>
      <w:r w:rsidRPr="0029627B">
        <w:rPr>
          <w:bCs/>
          <w:szCs w:val="21"/>
        </w:rPr>
        <w:t xml:space="preserve"> </w:t>
      </w:r>
      <w:r w:rsidR="00F64316" w:rsidRPr="0029627B">
        <w:rPr>
          <w:bCs/>
          <w:szCs w:val="21"/>
        </w:rPr>
        <w:t xml:space="preserve">increase carbon and nutrient inputs </w:t>
      </w:r>
      <w:r w:rsidR="00682C77">
        <w:rPr>
          <w:bCs/>
          <w:szCs w:val="21"/>
        </w:rPr>
        <w:t>while</w:t>
      </w:r>
      <w:r w:rsidR="00F64316" w:rsidRPr="0029627B">
        <w:rPr>
          <w:bCs/>
          <w:szCs w:val="21"/>
        </w:rPr>
        <w:t xml:space="preserve"> </w:t>
      </w:r>
      <w:r w:rsidR="00682C77">
        <w:rPr>
          <w:bCs/>
          <w:szCs w:val="21"/>
        </w:rPr>
        <w:t xml:space="preserve">longitudinal connectivity will help </w:t>
      </w:r>
      <w:r w:rsidR="00F64316" w:rsidRPr="0029627B">
        <w:rPr>
          <w:bCs/>
          <w:szCs w:val="21"/>
        </w:rPr>
        <w:t>facilitate the transport and dispersal of</w:t>
      </w:r>
      <w:r w:rsidR="00682C77">
        <w:rPr>
          <w:bCs/>
          <w:szCs w:val="21"/>
        </w:rPr>
        <w:t xml:space="preserve"> matter and</w:t>
      </w:r>
      <w:r w:rsidR="00F64316" w:rsidRPr="0029627B">
        <w:rPr>
          <w:bCs/>
          <w:szCs w:val="21"/>
        </w:rPr>
        <w:t xml:space="preserve"> aquatic biota (e.g. </w:t>
      </w:r>
      <w:r w:rsidR="00F64316">
        <w:rPr>
          <w:bCs/>
          <w:szCs w:val="21"/>
        </w:rPr>
        <w:t xml:space="preserve">aquatic plant propagules, </w:t>
      </w:r>
      <w:proofErr w:type="spellStart"/>
      <w:r w:rsidR="00F64316" w:rsidRPr="0029627B">
        <w:rPr>
          <w:bCs/>
          <w:szCs w:val="21"/>
        </w:rPr>
        <w:t>microinvertebrates</w:t>
      </w:r>
      <w:proofErr w:type="spellEnd"/>
      <w:r w:rsidR="00F64316" w:rsidRPr="0029627B">
        <w:rPr>
          <w:bCs/>
          <w:szCs w:val="21"/>
        </w:rPr>
        <w:t xml:space="preserve">, fish larvae). </w:t>
      </w:r>
    </w:p>
    <w:p w14:paraId="2F206696" w14:textId="1A56F8A6" w:rsidR="00F64316" w:rsidRPr="0029627B" w:rsidRDefault="00F64316" w:rsidP="00F64316">
      <w:pPr>
        <w:pStyle w:val="ListParagraph"/>
        <w:numPr>
          <w:ilvl w:val="0"/>
          <w:numId w:val="58"/>
        </w:numPr>
        <w:ind w:left="714" w:hanging="357"/>
        <w:rPr>
          <w:bCs/>
          <w:szCs w:val="21"/>
        </w:rPr>
      </w:pPr>
      <w:r w:rsidRPr="00CA1594">
        <w:rPr>
          <w:bCs/>
          <w:szCs w:val="21"/>
        </w:rPr>
        <w:t xml:space="preserve">In the regulated LMR, </w:t>
      </w:r>
      <w:r>
        <w:rPr>
          <w:bCs/>
          <w:szCs w:val="21"/>
        </w:rPr>
        <w:t xml:space="preserve">the </w:t>
      </w:r>
      <w:r w:rsidRPr="00CA1594">
        <w:rPr>
          <w:bCs/>
          <w:szCs w:val="21"/>
        </w:rPr>
        <w:t xml:space="preserve">influence of environmental </w:t>
      </w:r>
      <w:r>
        <w:rPr>
          <w:bCs/>
          <w:szCs w:val="21"/>
        </w:rPr>
        <w:t>flows</w:t>
      </w:r>
      <w:r w:rsidRPr="00CA1594">
        <w:rPr>
          <w:bCs/>
          <w:szCs w:val="21"/>
        </w:rPr>
        <w:t xml:space="preserve"> on riverine production </w:t>
      </w:r>
      <w:r>
        <w:rPr>
          <w:bCs/>
          <w:szCs w:val="21"/>
        </w:rPr>
        <w:t xml:space="preserve">is largely </w:t>
      </w:r>
      <w:r w:rsidR="00227E2F">
        <w:rPr>
          <w:bCs/>
          <w:szCs w:val="21"/>
        </w:rPr>
        <w:t xml:space="preserve">restricted </w:t>
      </w:r>
      <w:r w:rsidRPr="00CA1594">
        <w:rPr>
          <w:bCs/>
          <w:szCs w:val="21"/>
        </w:rPr>
        <w:t xml:space="preserve">by </w:t>
      </w:r>
      <w:r>
        <w:rPr>
          <w:bCs/>
          <w:szCs w:val="21"/>
        </w:rPr>
        <w:t>stable</w:t>
      </w:r>
      <w:r w:rsidRPr="00CA1594">
        <w:rPr>
          <w:bCs/>
          <w:szCs w:val="21"/>
        </w:rPr>
        <w:t xml:space="preserve"> water levels</w:t>
      </w:r>
      <w:r>
        <w:rPr>
          <w:bCs/>
          <w:szCs w:val="21"/>
        </w:rPr>
        <w:t xml:space="preserve"> </w:t>
      </w:r>
      <w:r w:rsidR="00A41C13">
        <w:rPr>
          <w:bCs/>
          <w:szCs w:val="21"/>
        </w:rPr>
        <w:t>set</w:t>
      </w:r>
      <w:r w:rsidRPr="00CA1594">
        <w:rPr>
          <w:bCs/>
          <w:szCs w:val="21"/>
        </w:rPr>
        <w:t xml:space="preserve"> by weirs.</w:t>
      </w:r>
      <w:r>
        <w:rPr>
          <w:bCs/>
          <w:szCs w:val="21"/>
        </w:rPr>
        <w:t xml:space="preserve"> </w:t>
      </w:r>
      <w:r w:rsidRPr="0029627B">
        <w:rPr>
          <w:bCs/>
          <w:szCs w:val="21"/>
        </w:rPr>
        <w:t>To improve riverine productivity</w:t>
      </w:r>
      <w:r>
        <w:rPr>
          <w:bCs/>
          <w:szCs w:val="21"/>
        </w:rPr>
        <w:t>, water</w:t>
      </w:r>
      <w:r w:rsidRPr="0029627B">
        <w:rPr>
          <w:bCs/>
          <w:szCs w:val="21"/>
        </w:rPr>
        <w:t xml:space="preserve"> deliver</w:t>
      </w:r>
      <w:r>
        <w:rPr>
          <w:bCs/>
          <w:szCs w:val="21"/>
        </w:rPr>
        <w:t>ies</w:t>
      </w:r>
      <w:r w:rsidRPr="0029627B">
        <w:rPr>
          <w:bCs/>
          <w:szCs w:val="21"/>
        </w:rPr>
        <w:t xml:space="preserve"> in conjunction with more natural water level changes are </w:t>
      </w:r>
      <w:r w:rsidR="003423B8" w:rsidRPr="0029627B">
        <w:rPr>
          <w:bCs/>
          <w:szCs w:val="21"/>
        </w:rPr>
        <w:t>desirable</w:t>
      </w:r>
      <w:r w:rsidR="00565E48" w:rsidRPr="0029627B">
        <w:rPr>
          <w:bCs/>
          <w:szCs w:val="21"/>
        </w:rPr>
        <w:t xml:space="preserve">. </w:t>
      </w:r>
    </w:p>
    <w:p w14:paraId="090C5DBA" w14:textId="77777777" w:rsidR="00F64316" w:rsidRDefault="00F64316" w:rsidP="00F64316">
      <w:pPr>
        <w:pStyle w:val="ListParagraph"/>
        <w:numPr>
          <w:ilvl w:val="0"/>
          <w:numId w:val="58"/>
        </w:numPr>
        <w:ind w:left="714" w:hanging="357"/>
        <w:rPr>
          <w:szCs w:val="21"/>
        </w:rPr>
      </w:pPr>
      <w:r w:rsidRPr="0029627B">
        <w:rPr>
          <w:szCs w:val="21"/>
        </w:rPr>
        <w:t xml:space="preserve">Environmental flows are pivotal in maintaining barrage flows and end-of-system connectivity in the MDB, particularly during low flow periods, when there would otherwise be negligible water and matter exchange between the Lower Lakes and Coorong. </w:t>
      </w:r>
      <w:r>
        <w:rPr>
          <w:szCs w:val="21"/>
        </w:rPr>
        <w:t xml:space="preserve">This is critical for </w:t>
      </w:r>
      <w:r>
        <w:t>a functioning river system and supporting species’ life history processes (e.g. migration of diadromous fish).</w:t>
      </w:r>
    </w:p>
    <w:p w14:paraId="3A746081" w14:textId="77777777" w:rsidR="00F64316" w:rsidRPr="0029627B" w:rsidRDefault="00F64316" w:rsidP="00F64316">
      <w:pPr>
        <w:pStyle w:val="ListParagraph"/>
        <w:numPr>
          <w:ilvl w:val="0"/>
          <w:numId w:val="58"/>
        </w:numPr>
        <w:ind w:left="714" w:hanging="357"/>
        <w:rPr>
          <w:szCs w:val="21"/>
        </w:rPr>
      </w:pPr>
      <w:r w:rsidRPr="0029627B">
        <w:rPr>
          <w:szCs w:val="21"/>
        </w:rPr>
        <w:t xml:space="preserve">Barrage flows play a </w:t>
      </w:r>
      <w:r>
        <w:rPr>
          <w:szCs w:val="21"/>
        </w:rPr>
        <w:t>key</w:t>
      </w:r>
      <w:r w:rsidRPr="0029627B">
        <w:rPr>
          <w:szCs w:val="21"/>
        </w:rPr>
        <w:t xml:space="preserve"> role in salt export from and reducing salt import to the MDB, maintaining estuarine</w:t>
      </w:r>
      <w:r>
        <w:rPr>
          <w:szCs w:val="21"/>
        </w:rPr>
        <w:t xml:space="preserve"> habitat (e.g. for </w:t>
      </w:r>
      <w:proofErr w:type="spellStart"/>
      <w:r w:rsidRPr="00933FB5">
        <w:rPr>
          <w:i/>
          <w:iCs/>
          <w:szCs w:val="21"/>
        </w:rPr>
        <w:t>Ruppia</w:t>
      </w:r>
      <w:proofErr w:type="spellEnd"/>
      <w:r>
        <w:rPr>
          <w:szCs w:val="21"/>
        </w:rPr>
        <w:t xml:space="preserve"> and fish), ecosystem functions and biodiversity</w:t>
      </w:r>
      <w:r w:rsidRPr="0029627B">
        <w:rPr>
          <w:szCs w:val="21"/>
        </w:rPr>
        <w:t xml:space="preserve"> in the Coorong and reduc</w:t>
      </w:r>
      <w:r>
        <w:rPr>
          <w:szCs w:val="21"/>
        </w:rPr>
        <w:t>ing</w:t>
      </w:r>
      <w:r w:rsidRPr="0029627B">
        <w:rPr>
          <w:szCs w:val="21"/>
        </w:rPr>
        <w:t xml:space="preserve"> the risk of Murray Mouth closure. </w:t>
      </w:r>
    </w:p>
    <w:p w14:paraId="5D88D051" w14:textId="77777777" w:rsidR="003423B8" w:rsidRPr="0029627B" w:rsidRDefault="003423B8" w:rsidP="003423B8">
      <w:pPr>
        <w:pStyle w:val="ListParagraph"/>
        <w:numPr>
          <w:ilvl w:val="0"/>
          <w:numId w:val="58"/>
        </w:numPr>
        <w:rPr>
          <w:bCs/>
          <w:szCs w:val="21"/>
        </w:rPr>
      </w:pPr>
      <w:r w:rsidRPr="0029627B">
        <w:rPr>
          <w:bCs/>
          <w:szCs w:val="21"/>
        </w:rPr>
        <w:t xml:space="preserve">The timing of environmental flow delivery should continue to align with ecological objectives and consider biological processes and life history requirements (e.g. reproductive season of flow-dependent species in spring/summer, </w:t>
      </w:r>
      <w:r w:rsidRPr="0029627B">
        <w:rPr>
          <w:szCs w:val="21"/>
        </w:rPr>
        <w:t>spawning migration of diadromous fishes in winter/spring, or reducing salinities and maintaining water levels in the Coorong during summer/autumn</w:t>
      </w:r>
      <w:r w:rsidRPr="0029627B">
        <w:rPr>
          <w:bCs/>
          <w:szCs w:val="21"/>
        </w:rPr>
        <w:t xml:space="preserve">). </w:t>
      </w:r>
    </w:p>
    <w:p w14:paraId="2D774AC1" w14:textId="77777777" w:rsidR="00F64316" w:rsidRPr="0029627B" w:rsidRDefault="00F64316" w:rsidP="00F64316">
      <w:pPr>
        <w:pStyle w:val="ListParagraph"/>
        <w:numPr>
          <w:ilvl w:val="0"/>
          <w:numId w:val="58"/>
        </w:numPr>
        <w:rPr>
          <w:szCs w:val="21"/>
        </w:rPr>
      </w:pPr>
      <w:r w:rsidRPr="0029627B">
        <w:rPr>
          <w:szCs w:val="21"/>
        </w:rPr>
        <w:t>Flow management should consider the source of water (i.e. origin), when possible, which can influence water quality (e.g. turbidity, dissolved organic carbon, the amount and form of nutrients), ecological processes (e.g. primary/secondary productivity) and subsequent biological responses.</w:t>
      </w:r>
    </w:p>
    <w:p w14:paraId="547B9BF6" w14:textId="77777777" w:rsidR="00F64316" w:rsidRPr="0029627B" w:rsidRDefault="00F64316" w:rsidP="00F64316">
      <w:pPr>
        <w:pStyle w:val="ListParagraph"/>
        <w:numPr>
          <w:ilvl w:val="0"/>
          <w:numId w:val="58"/>
        </w:numPr>
        <w:rPr>
          <w:szCs w:val="21"/>
        </w:rPr>
      </w:pPr>
      <w:r w:rsidRPr="0029627B">
        <w:rPr>
          <w:rFonts w:cs="Arial"/>
          <w:szCs w:val="21"/>
        </w:rPr>
        <w:t>Furthermore, m</w:t>
      </w:r>
      <w:r w:rsidRPr="0029627B">
        <w:rPr>
          <w:szCs w:val="21"/>
        </w:rPr>
        <w:t xml:space="preserve">aintaining flow integrity from its source (e.g. Darling River, Murray upstream or major tributaries) to the end of the Murray River system is important to support broad-scale ecological processes and </w:t>
      </w:r>
      <w:r w:rsidRPr="0029627B">
        <w:rPr>
          <w:bCs/>
          <w:szCs w:val="21"/>
        </w:rPr>
        <w:t>outcomes (e.g. improved productivity, migration of diadromous species, enhanced spawning</w:t>
      </w:r>
      <w:r>
        <w:rPr>
          <w:bCs/>
          <w:szCs w:val="21"/>
        </w:rPr>
        <w:t>,</w:t>
      </w:r>
      <w:r w:rsidRPr="0029627B">
        <w:rPr>
          <w:bCs/>
          <w:szCs w:val="21"/>
        </w:rPr>
        <w:t xml:space="preserve"> larval fish dispers</w:t>
      </w:r>
      <w:r>
        <w:rPr>
          <w:bCs/>
          <w:szCs w:val="21"/>
        </w:rPr>
        <w:t>al</w:t>
      </w:r>
      <w:r w:rsidRPr="0029627B">
        <w:rPr>
          <w:bCs/>
          <w:szCs w:val="21"/>
        </w:rPr>
        <w:t xml:space="preserve"> and recruitment of flow-dependent species). </w:t>
      </w:r>
    </w:p>
    <w:p w14:paraId="251B2202" w14:textId="77777777" w:rsidR="00F64316" w:rsidRPr="0029627B" w:rsidRDefault="00F64316" w:rsidP="00F64316">
      <w:pPr>
        <w:rPr>
          <w:szCs w:val="21"/>
        </w:rPr>
      </w:pPr>
      <w:r w:rsidRPr="0029627B">
        <w:rPr>
          <w:szCs w:val="21"/>
        </w:rPr>
        <w:t>More specific management considerations are provided in Section</w:t>
      </w:r>
      <w:r>
        <w:rPr>
          <w:szCs w:val="21"/>
        </w:rPr>
        <w:t>s</w:t>
      </w:r>
      <w:r w:rsidRPr="0029627B">
        <w:rPr>
          <w:szCs w:val="21"/>
        </w:rPr>
        <w:t xml:space="preserve"> 2</w:t>
      </w:r>
      <w:r>
        <w:rPr>
          <w:szCs w:val="21"/>
        </w:rPr>
        <w:t xml:space="preserve"> and 3</w:t>
      </w:r>
      <w:r w:rsidRPr="0029627B">
        <w:rPr>
          <w:szCs w:val="21"/>
        </w:rPr>
        <w:t>, based on ecological outcomes and findings from indicators.</w:t>
      </w:r>
    </w:p>
    <w:p w14:paraId="10541499" w14:textId="395A1B73" w:rsidR="002E7BE8" w:rsidRPr="0029627B" w:rsidRDefault="002E7BE8" w:rsidP="006D257B">
      <w:pPr>
        <w:rPr>
          <w:szCs w:val="21"/>
        </w:rPr>
      </w:pPr>
    </w:p>
    <w:p w14:paraId="09531595" w14:textId="77777777" w:rsidR="00986C11" w:rsidRPr="0029627B" w:rsidRDefault="00986C11">
      <w:pPr>
        <w:spacing w:before="0" w:after="160" w:line="259" w:lineRule="auto"/>
        <w:jc w:val="left"/>
        <w:rPr>
          <w:szCs w:val="21"/>
        </w:rPr>
      </w:pPr>
      <w:r w:rsidRPr="0029627B">
        <w:rPr>
          <w:szCs w:val="21"/>
        </w:rPr>
        <w:br w:type="page"/>
      </w:r>
    </w:p>
    <w:p w14:paraId="14FCE93B" w14:textId="77777777" w:rsidR="00986C11" w:rsidRPr="00C757C7" w:rsidRDefault="00986C11" w:rsidP="00986C11">
      <w:pPr>
        <w:pStyle w:val="Heading1"/>
      </w:pPr>
      <w:bookmarkStart w:id="17" w:name="_Toc3558331"/>
      <w:bookmarkStart w:id="18" w:name="_Toc69309229"/>
      <w:bookmarkStart w:id="19" w:name="_Toc381776097"/>
      <w:bookmarkStart w:id="20" w:name="_Toc441838725"/>
      <w:bookmarkStart w:id="21" w:name="_Toc3558332"/>
      <w:r w:rsidRPr="00C757C7">
        <w:t>Introduction</w:t>
      </w:r>
      <w:bookmarkEnd w:id="17"/>
      <w:bookmarkEnd w:id="18"/>
    </w:p>
    <w:p w14:paraId="6E151718" w14:textId="00B9BEEF" w:rsidR="00FE1764" w:rsidRDefault="00FE2195" w:rsidP="00986C11">
      <w:pPr>
        <w:pStyle w:val="Heading2"/>
      </w:pPr>
      <w:bookmarkStart w:id="22" w:name="_Ref25308922"/>
      <w:bookmarkStart w:id="23" w:name="_Toc69309230"/>
      <w:r>
        <w:t>Flow regimes and riverine ecology</w:t>
      </w:r>
      <w:bookmarkEnd w:id="22"/>
      <w:bookmarkEnd w:id="23"/>
    </w:p>
    <w:p w14:paraId="0A470812" w14:textId="205A170A" w:rsidR="00FE1764" w:rsidRPr="00C72497" w:rsidRDefault="00AB3997" w:rsidP="00FE1764">
      <w:r w:rsidRPr="00C72497">
        <w:t xml:space="preserve">River regulation and flow modification have severely impacted riverine ecosystems throughout the world, including the Murray–Darling Basin (MDB) (Maheshwari </w:t>
      </w:r>
      <w:r w:rsidRPr="00C72497">
        <w:rPr>
          <w:i/>
        </w:rPr>
        <w:t>et al.</w:t>
      </w:r>
      <w:r w:rsidRPr="00C72497">
        <w:t xml:space="preserve"> 1995; Kingsford 2000</w:t>
      </w:r>
      <w:r w:rsidR="005920AE">
        <w:t xml:space="preserve">; Grill </w:t>
      </w:r>
      <w:r w:rsidR="005920AE" w:rsidRPr="00915155">
        <w:rPr>
          <w:i/>
          <w:iCs/>
        </w:rPr>
        <w:t>et al.</w:t>
      </w:r>
      <w:r w:rsidR="005920AE">
        <w:t xml:space="preserve"> 2019</w:t>
      </w:r>
      <w:r w:rsidRPr="00C72497">
        <w:t xml:space="preserve">). The southern MDB is highly regulated, where natural flow regimes have been substantially altered, leading to decreased hydrological (e.g. discharge) and hydraulic (e.g. water level and velocity) variability, and reduced floodplain inundation (Maheshwari </w:t>
      </w:r>
      <w:r w:rsidRPr="00C72497">
        <w:rPr>
          <w:i/>
        </w:rPr>
        <w:t>et al.</w:t>
      </w:r>
      <w:r w:rsidRPr="00C72497">
        <w:t xml:space="preserve"> 1995; Bice </w:t>
      </w:r>
      <w:r w:rsidRPr="00C72497">
        <w:rPr>
          <w:i/>
        </w:rPr>
        <w:t>et al.</w:t>
      </w:r>
      <w:r w:rsidRPr="00C72497">
        <w:t xml:space="preserve"> 2017).</w:t>
      </w:r>
      <w:r w:rsidR="008126EF" w:rsidRPr="00C72497">
        <w:t xml:space="preserve"> </w:t>
      </w:r>
      <w:bookmarkStart w:id="24" w:name="_Hlk64644717"/>
      <w:r w:rsidR="008126EF" w:rsidRPr="00C72497">
        <w:t xml:space="preserve">The Murray River downstream of the Darling River junction is modified </w:t>
      </w:r>
      <w:bookmarkEnd w:id="24"/>
      <w:r w:rsidR="008126EF" w:rsidRPr="00C72497">
        <w:t>by a series of low-level (&lt;3 m) weirs (</w:t>
      </w:r>
      <w:r w:rsidR="00C01115" w:rsidRPr="00C72497">
        <w:fldChar w:fldCharType="begin"/>
      </w:r>
      <w:r w:rsidR="00C01115" w:rsidRPr="00C72497">
        <w:instrText xml:space="preserve"> REF _Ref469926522 \h </w:instrText>
      </w:r>
      <w:r w:rsidR="00C72497">
        <w:instrText xml:space="preserve"> \* MERGEFORMAT </w:instrText>
      </w:r>
      <w:r w:rsidR="00C01115" w:rsidRPr="00C72497">
        <w:fldChar w:fldCharType="separate"/>
      </w:r>
      <w:r w:rsidR="00AD0721">
        <w:t xml:space="preserve">Figure </w:t>
      </w:r>
      <w:r w:rsidR="00AD0721">
        <w:rPr>
          <w:noProof/>
        </w:rPr>
        <w:t>1</w:t>
      </w:r>
      <w:r w:rsidR="00C01115" w:rsidRPr="00C72497">
        <w:fldChar w:fldCharType="end"/>
      </w:r>
      <w:r w:rsidR="008126EF" w:rsidRPr="00C72497">
        <w:t xml:space="preserve">), changing a connected flowing river to a series of weir pools (Walker 2006). The </w:t>
      </w:r>
      <w:r w:rsidR="002E5F65" w:rsidRPr="00C72497">
        <w:t>flow</w:t>
      </w:r>
      <w:r w:rsidR="008126EF" w:rsidRPr="00C72497">
        <w:t xml:space="preserve"> regime has been further exacerbated by upstream dive</w:t>
      </w:r>
      <w:r w:rsidR="008271EF" w:rsidRPr="00C72497">
        <w:t xml:space="preserve">rsions and increased extraction. </w:t>
      </w:r>
      <w:r w:rsidR="008126EF" w:rsidRPr="00C72497">
        <w:t xml:space="preserve">These have had profound impacts on riverine processes and ecosystems (Walker 1985; Walker and </w:t>
      </w:r>
      <w:proofErr w:type="spellStart"/>
      <w:r w:rsidR="008126EF" w:rsidRPr="00C72497">
        <w:t>Thoms</w:t>
      </w:r>
      <w:proofErr w:type="spellEnd"/>
      <w:r w:rsidR="008126EF" w:rsidRPr="00C72497">
        <w:t xml:space="preserve"> 1993; Wallace </w:t>
      </w:r>
      <w:r w:rsidR="008126EF" w:rsidRPr="00C72497">
        <w:rPr>
          <w:i/>
        </w:rPr>
        <w:t>et al.</w:t>
      </w:r>
      <w:r w:rsidR="008126EF" w:rsidRPr="00C72497">
        <w:t xml:space="preserve"> 2014).</w:t>
      </w:r>
    </w:p>
    <w:p w14:paraId="6CDA2A7A" w14:textId="38E39C6A" w:rsidR="00924AAE" w:rsidRPr="00C72497" w:rsidRDefault="00F64316" w:rsidP="00FE1764">
      <w:r>
        <w:t>F</w:t>
      </w:r>
      <w:r w:rsidRPr="00C72497">
        <w:t xml:space="preserve">low regimes play a critical role in </w:t>
      </w:r>
      <w:r>
        <w:t>determin</w:t>
      </w:r>
      <w:r w:rsidRPr="00C72497">
        <w:t xml:space="preserve">ing the </w:t>
      </w:r>
      <w:r w:rsidR="002E5F65" w:rsidRPr="00C72497">
        <w:t xml:space="preserve">distribution and abundance of </w:t>
      </w:r>
      <w:r w:rsidR="00985E52" w:rsidRPr="00C72497">
        <w:t xml:space="preserve">native </w:t>
      </w:r>
      <w:r w:rsidR="002E5F65" w:rsidRPr="00C72497">
        <w:t>aquatic biota</w:t>
      </w:r>
      <w:r w:rsidR="002170C9">
        <w:t xml:space="preserve"> (Koehn </w:t>
      </w:r>
      <w:r w:rsidR="002170C9" w:rsidRPr="00543FFB">
        <w:rPr>
          <w:i/>
          <w:iCs/>
        </w:rPr>
        <w:t>et al.</w:t>
      </w:r>
      <w:r w:rsidR="002170C9">
        <w:t xml:space="preserve"> 2020</w:t>
      </w:r>
      <w:r w:rsidR="00543FFB">
        <w:t xml:space="preserve">a; </w:t>
      </w:r>
      <w:r w:rsidR="00E36347">
        <w:t>2020</w:t>
      </w:r>
      <w:r w:rsidR="00543FFB">
        <w:t>b</w:t>
      </w:r>
      <w:r w:rsidR="002170C9">
        <w:t>)</w:t>
      </w:r>
      <w:r w:rsidR="002E5F65" w:rsidRPr="00C72497">
        <w:t xml:space="preserve">, and the ecological integrity of floodplain rivers (Junk </w:t>
      </w:r>
      <w:r w:rsidR="002E5F65" w:rsidRPr="00C72497">
        <w:rPr>
          <w:i/>
        </w:rPr>
        <w:t>et al.</w:t>
      </w:r>
      <w:r w:rsidR="002E5F65" w:rsidRPr="00C72497">
        <w:t xml:space="preserve"> 1989; </w:t>
      </w:r>
      <w:proofErr w:type="spellStart"/>
      <w:r w:rsidR="002E5F65" w:rsidRPr="00C72497">
        <w:t>Poff</w:t>
      </w:r>
      <w:proofErr w:type="spellEnd"/>
      <w:r w:rsidR="002E5F65" w:rsidRPr="00C72497">
        <w:t xml:space="preserve"> </w:t>
      </w:r>
      <w:r w:rsidR="002E5F65" w:rsidRPr="00C72497">
        <w:rPr>
          <w:i/>
        </w:rPr>
        <w:t>et al.</w:t>
      </w:r>
      <w:r w:rsidR="002E5F65" w:rsidRPr="00C72497">
        <w:t xml:space="preserve"> 1997; </w:t>
      </w:r>
      <w:r w:rsidR="001E24F9" w:rsidRPr="00C72497">
        <w:t>Bunn and</w:t>
      </w:r>
      <w:r w:rsidR="001D74F2" w:rsidRPr="00C72497">
        <w:t xml:space="preserve"> Arthington 2002</w:t>
      </w:r>
      <w:r w:rsidR="002E5F65" w:rsidRPr="00C72497">
        <w:t xml:space="preserve">). Lotic (flowing water) </w:t>
      </w:r>
      <w:r w:rsidR="00565E48" w:rsidRPr="00C72497">
        <w:t>habitats</w:t>
      </w:r>
      <w:r w:rsidR="00565E48">
        <w:t>, characteristic of the Murray River before weir construction,</w:t>
      </w:r>
      <w:r w:rsidR="00565E48" w:rsidRPr="00C72497">
        <w:t xml:space="preserve"> are </w:t>
      </w:r>
      <w:r w:rsidR="00565E48">
        <w:t>integral to</w:t>
      </w:r>
      <w:r w:rsidR="00565E48" w:rsidRPr="00C72497">
        <w:t xml:space="preserve"> </w:t>
      </w:r>
      <w:r w:rsidR="00565E48">
        <w:t xml:space="preserve">the </w:t>
      </w:r>
      <w:r w:rsidR="00565E48" w:rsidRPr="00C72497">
        <w:t xml:space="preserve">ecological and life history processes </w:t>
      </w:r>
      <w:r w:rsidR="00565E48">
        <w:t>of</w:t>
      </w:r>
      <w:r w:rsidR="00565E48" w:rsidRPr="00C72497">
        <w:t xml:space="preserve"> many native biota that are adapted to flowing riverine environments. </w:t>
      </w:r>
      <w:r w:rsidR="00517FD6" w:rsidRPr="00C72497">
        <w:t xml:space="preserve">For example, they provide stimuli for </w:t>
      </w:r>
      <w:r w:rsidR="00517FD6">
        <w:t xml:space="preserve">the </w:t>
      </w:r>
      <w:r w:rsidR="00517FD6" w:rsidRPr="00C72497">
        <w:t>spawning of flow-cued species</w:t>
      </w:r>
      <w:r w:rsidR="00924AAE" w:rsidRPr="00C72497">
        <w:t xml:space="preserve"> (e.g. </w:t>
      </w:r>
      <w:r w:rsidR="00E36347">
        <w:t>silver perch</w:t>
      </w:r>
      <w:r w:rsidR="00A7193C">
        <w:t xml:space="preserve"> </w:t>
      </w:r>
      <w:proofErr w:type="spellStart"/>
      <w:r w:rsidR="00A7193C" w:rsidRPr="00A7193C">
        <w:rPr>
          <w:i/>
          <w:iCs/>
        </w:rPr>
        <w:t>Bidyanus</w:t>
      </w:r>
      <w:proofErr w:type="spellEnd"/>
      <w:r w:rsidR="00A7193C" w:rsidRPr="00A7193C">
        <w:rPr>
          <w:i/>
          <w:iCs/>
        </w:rPr>
        <w:t xml:space="preserve"> </w:t>
      </w:r>
      <w:proofErr w:type="spellStart"/>
      <w:r w:rsidR="00A7193C" w:rsidRPr="00A7193C">
        <w:rPr>
          <w:i/>
          <w:iCs/>
        </w:rPr>
        <w:t>bidyanus</w:t>
      </w:r>
      <w:proofErr w:type="spellEnd"/>
      <w:r w:rsidR="00565E48" w:rsidRPr="00C72497">
        <w:t>) (</w:t>
      </w:r>
      <w:r w:rsidR="00E36347">
        <w:t xml:space="preserve">Tonkin </w:t>
      </w:r>
      <w:r w:rsidR="00E36347" w:rsidRPr="00E36347">
        <w:rPr>
          <w:i/>
          <w:iCs/>
        </w:rPr>
        <w:t>et al.</w:t>
      </w:r>
      <w:r w:rsidR="00E36347">
        <w:t xml:space="preserve"> 2019</w:t>
      </w:r>
      <w:r w:rsidR="00565E48" w:rsidRPr="00C72497">
        <w:t xml:space="preserve">), </w:t>
      </w:r>
      <w:r w:rsidR="00924AAE" w:rsidRPr="00C72497">
        <w:t>facilitate downstream drift and transportation of plankton, macroinvertebrates and fish larvae, and provide diverse hydraulic habitats that are suitable for a range of species (e.g. Murray cod</w:t>
      </w:r>
      <w:r w:rsidR="001E24F9" w:rsidRPr="00C72497">
        <w:t xml:space="preserve">, </w:t>
      </w:r>
      <w:proofErr w:type="spellStart"/>
      <w:r w:rsidR="001E24F9" w:rsidRPr="00C72497">
        <w:rPr>
          <w:i/>
        </w:rPr>
        <w:t>Maccullochella</w:t>
      </w:r>
      <w:proofErr w:type="spellEnd"/>
      <w:r w:rsidR="001E24F9" w:rsidRPr="00C72497">
        <w:rPr>
          <w:i/>
        </w:rPr>
        <w:t xml:space="preserve"> </w:t>
      </w:r>
      <w:proofErr w:type="spellStart"/>
      <w:r w:rsidR="001E24F9" w:rsidRPr="00C72497">
        <w:rPr>
          <w:i/>
        </w:rPr>
        <w:t>peelii</w:t>
      </w:r>
      <w:proofErr w:type="spellEnd"/>
      <w:r w:rsidR="00C834F8" w:rsidRPr="00C72497">
        <w:t xml:space="preserve"> and</w:t>
      </w:r>
      <w:r w:rsidR="00BF33CC" w:rsidRPr="00C72497">
        <w:rPr>
          <w:lang w:val="en-US"/>
        </w:rPr>
        <w:t xml:space="preserve"> Murray crayfish</w:t>
      </w:r>
      <w:r w:rsidR="00003D93" w:rsidRPr="00C72497">
        <w:rPr>
          <w:lang w:val="en-US"/>
        </w:rPr>
        <w:t>,</w:t>
      </w:r>
      <w:r w:rsidR="00BF33CC" w:rsidRPr="00C72497">
        <w:rPr>
          <w:lang w:val="en-US"/>
        </w:rPr>
        <w:t xml:space="preserve"> </w:t>
      </w:r>
      <w:proofErr w:type="spellStart"/>
      <w:r w:rsidR="00BF33CC" w:rsidRPr="00C72497">
        <w:rPr>
          <w:i/>
          <w:lang w:val="en-US"/>
        </w:rPr>
        <w:t>Euastacus</w:t>
      </w:r>
      <w:proofErr w:type="spellEnd"/>
      <w:r w:rsidR="00BF33CC" w:rsidRPr="00C72497">
        <w:rPr>
          <w:i/>
          <w:lang w:val="en-US"/>
        </w:rPr>
        <w:t xml:space="preserve"> </w:t>
      </w:r>
      <w:proofErr w:type="spellStart"/>
      <w:r w:rsidR="00BF33CC" w:rsidRPr="00C72497">
        <w:rPr>
          <w:i/>
          <w:lang w:val="en-US"/>
        </w:rPr>
        <w:t>armatus</w:t>
      </w:r>
      <w:proofErr w:type="spellEnd"/>
      <w:r w:rsidR="00003D93" w:rsidRPr="00C72497">
        <w:rPr>
          <w:lang w:val="en-US"/>
        </w:rPr>
        <w:t>)</w:t>
      </w:r>
      <w:r w:rsidR="00924AAE" w:rsidRPr="00C72497">
        <w:t xml:space="preserve"> (</w:t>
      </w:r>
      <w:proofErr w:type="spellStart"/>
      <w:r w:rsidR="00C834F8" w:rsidRPr="00C72497">
        <w:t>Mallen</w:t>
      </w:r>
      <w:proofErr w:type="spellEnd"/>
      <w:r w:rsidR="00C834F8" w:rsidRPr="00C72497">
        <w:t xml:space="preserve">-Cooper and </w:t>
      </w:r>
      <w:proofErr w:type="spellStart"/>
      <w:r w:rsidR="00354670" w:rsidRPr="00C72497">
        <w:t>Zampatti</w:t>
      </w:r>
      <w:proofErr w:type="spellEnd"/>
      <w:r w:rsidR="00354670" w:rsidRPr="00C72497">
        <w:t xml:space="preserve"> </w:t>
      </w:r>
      <w:r w:rsidR="00924AAE" w:rsidRPr="00C72497">
        <w:t>201</w:t>
      </w:r>
      <w:r w:rsidR="00C834F8" w:rsidRPr="00C72497">
        <w:t>8</w:t>
      </w:r>
      <w:r w:rsidR="00924AAE" w:rsidRPr="00C72497">
        <w:t xml:space="preserve">). </w:t>
      </w:r>
      <w:r w:rsidR="00493D35" w:rsidRPr="00C72497">
        <w:t>Increased variability in water levels improve lateral connectivity and</w:t>
      </w:r>
      <w:r w:rsidR="00F31343" w:rsidRPr="00C72497">
        <w:t xml:space="preserve"> increase</w:t>
      </w:r>
      <w:r w:rsidR="00493D35" w:rsidRPr="00C72497">
        <w:t xml:space="preserve"> transport of material from off-channel habitats</w:t>
      </w:r>
      <w:r w:rsidR="001E24F9" w:rsidRPr="00C72497">
        <w:t xml:space="preserve"> to enhance </w:t>
      </w:r>
      <w:r w:rsidR="00003D93" w:rsidRPr="00C72497">
        <w:t xml:space="preserve">productivity and support </w:t>
      </w:r>
      <w:r w:rsidR="001E24F9" w:rsidRPr="00C72497">
        <w:t>food webs (</w:t>
      </w:r>
      <w:r w:rsidR="00985E52" w:rsidRPr="00C72497">
        <w:t xml:space="preserve">Baldwin </w:t>
      </w:r>
      <w:r w:rsidR="00985E52" w:rsidRPr="00C72497">
        <w:rPr>
          <w:i/>
        </w:rPr>
        <w:t>et al.</w:t>
      </w:r>
      <w:r w:rsidR="00985E52" w:rsidRPr="00C72497">
        <w:t xml:space="preserve"> 2016</w:t>
      </w:r>
      <w:r w:rsidR="001E24F9" w:rsidRPr="00C72497">
        <w:t>)</w:t>
      </w:r>
      <w:r w:rsidR="00493D35" w:rsidRPr="00C72497">
        <w:t>, benefit fringing and floodplain vegetation (</w:t>
      </w:r>
      <w:r w:rsidR="00301B07" w:rsidRPr="00C72497">
        <w:t xml:space="preserve">e.g. </w:t>
      </w:r>
      <w:r w:rsidR="00985E52" w:rsidRPr="00C72497">
        <w:t xml:space="preserve">Cooling </w:t>
      </w:r>
      <w:r w:rsidR="00985E52" w:rsidRPr="00C72497">
        <w:rPr>
          <w:i/>
        </w:rPr>
        <w:t>et al.</w:t>
      </w:r>
      <w:r w:rsidR="00985E52" w:rsidRPr="00C72497">
        <w:t xml:space="preserve"> 2010</w:t>
      </w:r>
      <w:r w:rsidR="00493D35" w:rsidRPr="00C72497">
        <w:t>)</w:t>
      </w:r>
      <w:r w:rsidR="001E24F9" w:rsidRPr="00C72497">
        <w:t>, and assist</w:t>
      </w:r>
      <w:r w:rsidR="00924AAE" w:rsidRPr="00C72497">
        <w:t xml:space="preserve"> in the regular “re-setting” of biofil</w:t>
      </w:r>
      <w:r w:rsidR="002E5F65" w:rsidRPr="00C72497">
        <w:t>ms (Steinman and McIntire 1990), which</w:t>
      </w:r>
      <w:r w:rsidR="00924AAE" w:rsidRPr="00C72497">
        <w:t xml:space="preserve"> a</w:t>
      </w:r>
      <w:r w:rsidR="002E5F65" w:rsidRPr="00C72497">
        <w:t>re</w:t>
      </w:r>
      <w:r w:rsidR="00924AAE" w:rsidRPr="00C72497">
        <w:t xml:space="preserve"> key </w:t>
      </w:r>
      <w:r w:rsidR="002E5F65" w:rsidRPr="00C72497">
        <w:t>component</w:t>
      </w:r>
      <w:r w:rsidR="003060EC" w:rsidRPr="00C72497">
        <w:t>s</w:t>
      </w:r>
      <w:r w:rsidR="002E5F65" w:rsidRPr="00C72497">
        <w:t xml:space="preserve"> of riverine food webs.</w:t>
      </w:r>
    </w:p>
    <w:p w14:paraId="2F297AAE" w14:textId="2A0C3677" w:rsidR="00AB3997" w:rsidRDefault="00565E48" w:rsidP="00FE1764">
      <w:r>
        <w:t>In the MDB, e</w:t>
      </w:r>
      <w:r w:rsidRPr="00C72497">
        <w:t>nvironmental flows have been used to re-establish key features of the natural flow regime (MDBA</w:t>
      </w:r>
      <w:r>
        <w:t xml:space="preserve"> 2012</w:t>
      </w:r>
      <w:r w:rsidR="00AB3997" w:rsidRPr="00C72497">
        <w:t xml:space="preserve">; Koehn </w:t>
      </w:r>
      <w:r w:rsidR="00AB3997" w:rsidRPr="00C72497">
        <w:rPr>
          <w:i/>
        </w:rPr>
        <w:t>et al.</w:t>
      </w:r>
      <w:r w:rsidR="00AB3997" w:rsidRPr="00C72497">
        <w:t xml:space="preserve"> 2014; Webb </w:t>
      </w:r>
      <w:r w:rsidR="00AB3997" w:rsidRPr="00C72497">
        <w:rPr>
          <w:i/>
        </w:rPr>
        <w:t>et al.</w:t>
      </w:r>
      <w:r w:rsidR="00AB3997" w:rsidRPr="00C72497">
        <w:t xml:space="preserve"> 2017). </w:t>
      </w:r>
      <w:r w:rsidR="001624D8">
        <w:t>In South Australia, t</w:t>
      </w:r>
      <w:r w:rsidR="00AB3997" w:rsidRPr="00C72497">
        <w:t xml:space="preserve">he main channel of the </w:t>
      </w:r>
      <w:r w:rsidR="001624D8">
        <w:t xml:space="preserve">Lower </w:t>
      </w:r>
      <w:r w:rsidR="00AB3997" w:rsidRPr="00C72497">
        <w:t>Murray River</w:t>
      </w:r>
      <w:r w:rsidR="001624D8">
        <w:t xml:space="preserve"> (LMR)</w:t>
      </w:r>
      <w:r w:rsidR="0056123D" w:rsidRPr="00C72497">
        <w:t xml:space="preserve"> represents a significant ecological asset to be targeted for environmental watering (MDBC 2006</w:t>
      </w:r>
      <w:r w:rsidR="00E954E0" w:rsidRPr="00C72497">
        <w:t>; DEWNR 2015</w:t>
      </w:r>
      <w:r w:rsidR="0056123D" w:rsidRPr="00C72497">
        <w:t>)</w:t>
      </w:r>
      <w:r w:rsidR="00AB3997" w:rsidRPr="00C72497">
        <w:t xml:space="preserve">. </w:t>
      </w:r>
      <w:r w:rsidR="00AB71EA" w:rsidRPr="00C72497">
        <w:t>To achieve the greatest ecological benefits from available environmental water, it is important to u</w:t>
      </w:r>
      <w:r w:rsidR="00AB3997" w:rsidRPr="00C72497">
        <w:t>nderstand biological and ecological responses to flow regimes</w:t>
      </w:r>
      <w:r w:rsidR="00FE2195" w:rsidRPr="00C72497">
        <w:t>. This</w:t>
      </w:r>
      <w:r w:rsidR="00AB3997" w:rsidRPr="00C72497">
        <w:t xml:space="preserve"> provides critical knowledge to underpin environmental flow management</w:t>
      </w:r>
      <w:r w:rsidR="00AB71EA" w:rsidRPr="00C72497">
        <w:t xml:space="preserve"> in the LMR.</w:t>
      </w:r>
      <w:r w:rsidR="00AB3997" w:rsidRPr="00AB3997">
        <w:t xml:space="preserve"> </w:t>
      </w:r>
    </w:p>
    <w:p w14:paraId="40C89415" w14:textId="5FA7F716" w:rsidR="00986C11" w:rsidRPr="00C757C7" w:rsidRDefault="00AB3997" w:rsidP="00986C11">
      <w:pPr>
        <w:pStyle w:val="Heading2"/>
      </w:pPr>
      <w:bookmarkStart w:id="25" w:name="_Toc69309231"/>
      <w:bookmarkEnd w:id="19"/>
      <w:bookmarkEnd w:id="20"/>
      <w:bookmarkEnd w:id="21"/>
      <w:r>
        <w:t xml:space="preserve">CEWO </w:t>
      </w:r>
      <w:r w:rsidR="00FE2195">
        <w:t>Monitoring</w:t>
      </w:r>
      <w:r w:rsidR="00352806">
        <w:t>, Evaluation and Research</w:t>
      </w:r>
      <w:r w:rsidR="00FE1764">
        <w:t xml:space="preserve"> Project</w:t>
      </w:r>
      <w:bookmarkEnd w:id="25"/>
    </w:p>
    <w:p w14:paraId="69E5BD9F" w14:textId="71FDB01B" w:rsidR="00986C11" w:rsidRDefault="006873BB" w:rsidP="00986C11">
      <w:r>
        <w:t xml:space="preserve">From </w:t>
      </w:r>
      <w:r w:rsidRPr="001C55E6">
        <w:t>2014-15</w:t>
      </w:r>
      <w:r w:rsidR="00482768">
        <w:t xml:space="preserve"> to </w:t>
      </w:r>
      <w:r w:rsidRPr="001C55E6">
        <w:t>2018-19</w:t>
      </w:r>
      <w:r>
        <w:t xml:space="preserve">, </w:t>
      </w:r>
      <w:r w:rsidR="00986C11">
        <w:t>the five-year Commonwealth Environmental Water Office</w:t>
      </w:r>
      <w:r w:rsidR="00B057F4">
        <w:t xml:space="preserve"> (CEWO)</w:t>
      </w:r>
      <w:r w:rsidR="00986C11">
        <w:t xml:space="preserve"> Long-Term Intervention Monitoring (LTIM) </w:t>
      </w:r>
      <w:r w:rsidR="00B057F4">
        <w:t>P</w:t>
      </w:r>
      <w:r w:rsidR="00986C11">
        <w:t xml:space="preserve">roject was </w:t>
      </w:r>
      <w:r>
        <w:t xml:space="preserve">conducted </w:t>
      </w:r>
      <w:r w:rsidR="00986C11">
        <w:t xml:space="preserve">to monitor and evaluate ecological outcomes of Commonwealth environmental water delivery in the </w:t>
      </w:r>
      <w:r w:rsidR="00432774">
        <w:t>MDB</w:t>
      </w:r>
      <w:r w:rsidR="00986C11">
        <w:t xml:space="preserve">. The project was implemented across seven Selected Areas throughout the MDB, including the </w:t>
      </w:r>
      <w:r w:rsidR="006C282C">
        <w:t>Lower Murray</w:t>
      </w:r>
      <w:r w:rsidR="00986C11">
        <w:t xml:space="preserve">, to </w:t>
      </w:r>
      <w:r w:rsidR="004F7B70">
        <w:t xml:space="preserve">assess and </w:t>
      </w:r>
      <w:r w:rsidR="002E7BE8">
        <w:t xml:space="preserve">evaluate both </w:t>
      </w:r>
      <w:r w:rsidR="00986C11">
        <w:t xml:space="preserve">Basin-scale </w:t>
      </w:r>
      <w:r w:rsidR="002E7BE8">
        <w:t xml:space="preserve">and </w:t>
      </w:r>
      <w:r w:rsidR="00986C11">
        <w:t xml:space="preserve">Selected Area (local) </w:t>
      </w:r>
      <w:r w:rsidR="002E7BE8">
        <w:t>responses to environmental flows</w:t>
      </w:r>
      <w:r w:rsidR="00986C11">
        <w:t xml:space="preserve">. The </w:t>
      </w:r>
      <w:r w:rsidR="008830FF">
        <w:t xml:space="preserve">overall aim of this project was </w:t>
      </w:r>
      <w:r w:rsidR="00986C11">
        <w:t>to demonstrate the ecological outcomes of Commonwealth environmental water delivery and support adaptive management.</w:t>
      </w:r>
      <w:r w:rsidR="00352806">
        <w:t xml:space="preserve"> </w:t>
      </w:r>
      <w:r w:rsidR="00352806" w:rsidRPr="00352806">
        <w:t>The current CEWO Monitoring, Evaluation and Research (MER) Project extend</w:t>
      </w:r>
      <w:r w:rsidR="00352806">
        <w:t>s</w:t>
      </w:r>
      <w:r w:rsidR="00352806" w:rsidRPr="00352806">
        <w:t xml:space="preserve"> the LTIM </w:t>
      </w:r>
      <w:r w:rsidR="00352806">
        <w:t>P</w:t>
      </w:r>
      <w:r w:rsidR="00352806" w:rsidRPr="00352806">
        <w:t xml:space="preserve">roject activities to June 2022. </w:t>
      </w:r>
    </w:p>
    <w:p w14:paraId="2DA86E5B" w14:textId="4D03B45A" w:rsidR="00986C11" w:rsidRDefault="00F64316" w:rsidP="00986C11">
      <w:r>
        <w:t xml:space="preserve">In the Lower Murray, the CEWO MER Project (2019-20 to 2021-22) focuses on the main river channel </w:t>
      </w:r>
      <w:r w:rsidRPr="00E91802">
        <w:t xml:space="preserve">between the </w:t>
      </w:r>
      <w:r>
        <w:t>South Australian</w:t>
      </w:r>
      <w:r w:rsidRPr="00E91802">
        <w:t xml:space="preserve"> border and Wellington</w:t>
      </w:r>
      <w:r>
        <w:t xml:space="preserve"> (LMR), with one </w:t>
      </w:r>
      <w:r w:rsidR="00227E2F">
        <w:t xml:space="preserve">indicator </w:t>
      </w:r>
      <w:r>
        <w:t>(</w:t>
      </w:r>
      <w:proofErr w:type="gramStart"/>
      <w:r>
        <w:t>i.e.</w:t>
      </w:r>
      <w:proofErr w:type="gramEnd"/>
      <w:r>
        <w:t xml:space="preserve"> Matter Transport and Coorong Habitat) </w:t>
      </w:r>
      <w:r w:rsidR="00986C11">
        <w:t xml:space="preserve">extending to the Lower Lakes and Coorong </w:t>
      </w:r>
      <w:r w:rsidR="00986C11" w:rsidRPr="00C757C7">
        <w:t>(</w:t>
      </w:r>
      <w:r w:rsidR="00986C11">
        <w:fldChar w:fldCharType="begin"/>
      </w:r>
      <w:r w:rsidR="00986C11">
        <w:instrText xml:space="preserve"> REF _Ref469926522 \h </w:instrText>
      </w:r>
      <w:r w:rsidR="00986C11">
        <w:fldChar w:fldCharType="separate"/>
      </w:r>
      <w:r w:rsidR="00AD0721">
        <w:t xml:space="preserve">Figure </w:t>
      </w:r>
      <w:r w:rsidR="00AD0721">
        <w:rPr>
          <w:noProof/>
        </w:rPr>
        <w:t>1</w:t>
      </w:r>
      <w:r w:rsidR="00986C11">
        <w:fldChar w:fldCharType="end"/>
      </w:r>
      <w:r w:rsidR="00986C11" w:rsidRPr="00C757C7">
        <w:t>)</w:t>
      </w:r>
      <w:r w:rsidR="00986C11">
        <w:t xml:space="preserve">. </w:t>
      </w:r>
      <w:r w:rsidR="00856103">
        <w:t xml:space="preserve">The riverine monitoring sites </w:t>
      </w:r>
      <w:r w:rsidR="00986C11">
        <w:t xml:space="preserve">(for indicators) </w:t>
      </w:r>
      <w:r w:rsidR="008830FF">
        <w:t xml:space="preserve">cover </w:t>
      </w:r>
      <w:r w:rsidR="00986C11">
        <w:t>three</w:t>
      </w:r>
      <w:r w:rsidR="00986C11" w:rsidRPr="00C757C7">
        <w:t xml:space="preserve"> geomorphic </w:t>
      </w:r>
      <w:r w:rsidR="00986C11">
        <w:t xml:space="preserve">zones (floodplain, </w:t>
      </w:r>
      <w:proofErr w:type="gramStart"/>
      <w:r w:rsidR="00986C11">
        <w:t>gorge</w:t>
      </w:r>
      <w:proofErr w:type="gramEnd"/>
      <w:r w:rsidR="00986C11">
        <w:t xml:space="preserve"> and swamplands) (</w:t>
      </w:r>
      <w:r w:rsidR="00986C11">
        <w:fldChar w:fldCharType="begin"/>
      </w:r>
      <w:r w:rsidR="00986C11">
        <w:instrText xml:space="preserve"> REF _Ref469926522 \h </w:instrText>
      </w:r>
      <w:r w:rsidR="00986C11">
        <w:fldChar w:fldCharType="separate"/>
      </w:r>
      <w:r w:rsidR="00AD0721">
        <w:t xml:space="preserve">Figure </w:t>
      </w:r>
      <w:r w:rsidR="00AD0721">
        <w:rPr>
          <w:noProof/>
        </w:rPr>
        <w:t>1</w:t>
      </w:r>
      <w:r w:rsidR="00986C11">
        <w:fldChar w:fldCharType="end"/>
      </w:r>
      <w:r w:rsidR="00986C11">
        <w:t>)</w:t>
      </w:r>
      <w:r w:rsidR="00986C11" w:rsidRPr="002C78BC">
        <w:t xml:space="preserve">. </w:t>
      </w:r>
    </w:p>
    <w:p w14:paraId="56771967" w14:textId="6A1B4EC9" w:rsidR="00534FCD" w:rsidRPr="00130926" w:rsidRDefault="005F4115" w:rsidP="00986C11">
      <w:pPr>
        <w:rPr>
          <w:rFonts w:cstheme="minorHAnsi"/>
          <w:szCs w:val="24"/>
        </w:rPr>
      </w:pPr>
      <w:r>
        <w:t xml:space="preserve">A total of </w:t>
      </w:r>
      <w:r w:rsidR="00352806">
        <w:t xml:space="preserve">nine </w:t>
      </w:r>
      <w:r w:rsidR="00534FCD">
        <w:t xml:space="preserve">indicators were </w:t>
      </w:r>
      <w:r>
        <w:t>established</w:t>
      </w:r>
      <w:r w:rsidR="00534FCD">
        <w:t xml:space="preserve"> to assess ecological responses to environmental water delivery in the </w:t>
      </w:r>
      <w:r w:rsidR="006C282C">
        <w:t>Lower Murray</w:t>
      </w:r>
      <w:r w:rsidR="00534FCD">
        <w:t>. Three indicators (</w:t>
      </w:r>
      <w:r w:rsidR="00534FCD" w:rsidRPr="00B417DC">
        <w:rPr>
          <w:b/>
          <w:i/>
        </w:rPr>
        <w:t>Hydrology (channel)</w:t>
      </w:r>
      <w:r w:rsidR="00130926">
        <w:rPr>
          <w:rStyle w:val="FootnoteReference"/>
          <w:b/>
          <w:i/>
        </w:rPr>
        <w:footnoteReference w:id="3"/>
      </w:r>
      <w:r w:rsidR="00534FCD">
        <w:t xml:space="preserve">, </w:t>
      </w:r>
      <w:r w:rsidR="00534FCD" w:rsidRPr="00B417DC">
        <w:rPr>
          <w:b/>
          <w:i/>
        </w:rPr>
        <w:t>Stream Metabolism</w:t>
      </w:r>
      <w:r w:rsidR="00352806">
        <w:rPr>
          <w:b/>
          <w:i/>
        </w:rPr>
        <w:t xml:space="preserve"> and Water Quality</w:t>
      </w:r>
      <w:r w:rsidR="00534FCD" w:rsidRPr="00B417DC">
        <w:rPr>
          <w:b/>
          <w:i/>
        </w:rPr>
        <w:t xml:space="preserve"> </w:t>
      </w:r>
      <w:r w:rsidR="00534FCD">
        <w:t xml:space="preserve">and </w:t>
      </w:r>
      <w:r w:rsidR="00534FCD" w:rsidRPr="00B417DC">
        <w:rPr>
          <w:b/>
          <w:i/>
        </w:rPr>
        <w:t>Fish (channel)</w:t>
      </w:r>
      <w:r w:rsidR="00534FCD">
        <w:t xml:space="preserve">) followed standard protocols to support quantitative Basin-wide and Selected Area evaluation, where applicable (Hale </w:t>
      </w:r>
      <w:r w:rsidR="00534FCD" w:rsidRPr="00B73F5A">
        <w:rPr>
          <w:i/>
        </w:rPr>
        <w:t>et al.</w:t>
      </w:r>
      <w:r w:rsidR="00534FCD">
        <w:t xml:space="preserve"> 2014). </w:t>
      </w:r>
      <w:r w:rsidR="00A51D6D">
        <w:t>Six</w:t>
      </w:r>
      <w:r w:rsidR="00534FCD">
        <w:t xml:space="preserve"> indicators (</w:t>
      </w:r>
      <w:r w:rsidR="00534FCD" w:rsidRPr="00B417DC">
        <w:rPr>
          <w:b/>
          <w:i/>
        </w:rPr>
        <w:t>Hydr</w:t>
      </w:r>
      <w:r w:rsidR="006873BB">
        <w:rPr>
          <w:b/>
          <w:i/>
        </w:rPr>
        <w:t>aulic</w:t>
      </w:r>
      <w:r w:rsidR="00534FCD" w:rsidRPr="00B417DC">
        <w:rPr>
          <w:b/>
          <w:i/>
        </w:rPr>
        <w:t xml:space="preserve"> Regime</w:t>
      </w:r>
      <w:r w:rsidR="00534FCD">
        <w:t xml:space="preserve">, </w:t>
      </w:r>
      <w:r w:rsidR="00534FCD" w:rsidRPr="00B417DC">
        <w:rPr>
          <w:b/>
          <w:i/>
        </w:rPr>
        <w:t>Matter Transport</w:t>
      </w:r>
      <w:r w:rsidR="00352806">
        <w:rPr>
          <w:b/>
          <w:i/>
        </w:rPr>
        <w:t xml:space="preserve"> and Coorong Habitat</w:t>
      </w:r>
      <w:r w:rsidR="00534FCD">
        <w:t xml:space="preserve">, </w:t>
      </w:r>
      <w:r w:rsidR="00A51D6D">
        <w:rPr>
          <w:b/>
          <w:i/>
        </w:rPr>
        <w:t xml:space="preserve">Littoral Vegetation Diversity and Productivity, </w:t>
      </w:r>
      <w:proofErr w:type="spellStart"/>
      <w:r w:rsidR="00534FCD" w:rsidRPr="00B417DC">
        <w:rPr>
          <w:b/>
          <w:i/>
        </w:rPr>
        <w:t>Microinvertebrate</w:t>
      </w:r>
      <w:proofErr w:type="spellEnd"/>
      <w:r w:rsidR="00352806">
        <w:rPr>
          <w:b/>
          <w:i/>
        </w:rPr>
        <w:t xml:space="preserve"> Assemblage</w:t>
      </w:r>
      <w:r w:rsidR="006873BB">
        <w:rPr>
          <w:b/>
          <w:i/>
        </w:rPr>
        <w:t>,</w:t>
      </w:r>
      <w:r w:rsidR="00534FCD">
        <w:t xml:space="preserve"> </w:t>
      </w:r>
      <w:r w:rsidR="00A51D6D">
        <w:rPr>
          <w:b/>
          <w:i/>
        </w:rPr>
        <w:t xml:space="preserve">Murray Cod Recruitment </w:t>
      </w:r>
      <w:r w:rsidR="00534FCD">
        <w:t xml:space="preserve">and </w:t>
      </w:r>
      <w:r w:rsidR="00F46757" w:rsidRPr="00F46757">
        <w:rPr>
          <w:b/>
          <w:i/>
        </w:rPr>
        <w:t>Flow-cued Spawning Fish Recruitment</w:t>
      </w:r>
      <w:r w:rsidR="00534FCD">
        <w:t xml:space="preserve">) were developed to address </w:t>
      </w:r>
      <w:r w:rsidR="00F24595">
        <w:t xml:space="preserve">Selected Area-specific </w:t>
      </w:r>
      <w:r w:rsidR="00534FCD">
        <w:t xml:space="preserve">objectives and </w:t>
      </w:r>
      <w:r w:rsidR="00534FCD" w:rsidRPr="00C757C7">
        <w:t>test a series of</w:t>
      </w:r>
      <w:r w:rsidR="00534FCD">
        <w:t xml:space="preserve"> </w:t>
      </w:r>
      <w:r w:rsidR="00534FCD" w:rsidRPr="00C757C7">
        <w:t>hypotheses</w:t>
      </w:r>
      <w:r w:rsidR="00534FCD">
        <w:t xml:space="preserve"> with respect to biological/ecological response to environmental flows</w:t>
      </w:r>
      <w:r w:rsidR="00534FCD" w:rsidRPr="00374FAA">
        <w:t xml:space="preserve">. </w:t>
      </w:r>
      <w:r w:rsidR="00AC7B3D">
        <w:t>U</w:t>
      </w:r>
      <w:r w:rsidR="006D7405">
        <w:t>nder the MER Project, a</w:t>
      </w:r>
      <w:r w:rsidR="006D7405" w:rsidRPr="006D7405">
        <w:t>n integrated research project explore</w:t>
      </w:r>
      <w:r w:rsidR="00A45B90">
        <w:t>s</w:t>
      </w:r>
      <w:r w:rsidR="006D7405" w:rsidRPr="006D7405">
        <w:t xml:space="preserve"> the links between key indicators </w:t>
      </w:r>
      <w:r w:rsidR="00BF0B10">
        <w:t xml:space="preserve">to </w:t>
      </w:r>
      <w:r w:rsidR="006D7405" w:rsidRPr="006D7405">
        <w:t xml:space="preserve">improve our understanding of how flow influences the ecological processes that drive recruitment of key fish species (Murray cod). </w:t>
      </w:r>
      <w:r w:rsidR="00A45B90">
        <w:t>C</w:t>
      </w:r>
      <w:r w:rsidR="006D7405" w:rsidRPr="006D7405">
        <w:t xml:space="preserve">ontingency monitoring activities </w:t>
      </w:r>
      <w:r w:rsidR="00C13987">
        <w:t xml:space="preserve">(e.g. monitoring lamprey migration in 2019-20) </w:t>
      </w:r>
      <w:r w:rsidR="00E12095">
        <w:t xml:space="preserve">are </w:t>
      </w:r>
      <w:r w:rsidR="00A45B90">
        <w:t>also</w:t>
      </w:r>
      <w:r w:rsidR="006D7405" w:rsidRPr="006D7405">
        <w:t xml:space="preserve"> </w:t>
      </w:r>
      <w:r w:rsidR="008B54CA">
        <w:t xml:space="preserve">being </w:t>
      </w:r>
      <w:r w:rsidR="003423B8" w:rsidRPr="006D7405">
        <w:t>undertaken</w:t>
      </w:r>
      <w:r w:rsidR="003423B8">
        <w:t xml:space="preserve"> in response to opportunities as they arise</w:t>
      </w:r>
      <w:r w:rsidR="003423B8" w:rsidRPr="006D7405">
        <w:t xml:space="preserve"> </w:t>
      </w:r>
      <w:r w:rsidR="003423B8">
        <w:t xml:space="preserve">to support current monitoring and/or </w:t>
      </w:r>
      <w:r w:rsidR="003423B8" w:rsidRPr="006D7405">
        <w:t>to inform environmental water use planning and management.</w:t>
      </w:r>
    </w:p>
    <w:p w14:paraId="5F1A12EA" w14:textId="6E7FE87B" w:rsidR="00986C11" w:rsidRDefault="00580B5B" w:rsidP="00986C11">
      <w:pPr>
        <w:jc w:val="center"/>
      </w:pPr>
      <w:r>
        <w:rPr>
          <w:noProof/>
        </w:rPr>
        <w:drawing>
          <wp:inline distT="0" distB="0" distL="0" distR="0" wp14:anchorId="6E3C001A" wp14:editId="5653650E">
            <wp:extent cx="5496225" cy="5143500"/>
            <wp:effectExtent l="0" t="0" r="9525" b="0"/>
            <wp:docPr id="27" name="Picture 2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Map&#10;&#10;Description automatically generated"/>
                    <pic:cNvPicPr/>
                  </pic:nvPicPr>
                  <pic:blipFill rotWithShape="1">
                    <a:blip r:embed="rId37" cstate="email">
                      <a:extLst>
                        <a:ext uri="{28A0092B-C50C-407E-A947-70E740481C1C}">
                          <a14:useLocalDpi xmlns:a14="http://schemas.microsoft.com/office/drawing/2010/main"/>
                        </a:ext>
                      </a:extLst>
                    </a:blip>
                    <a:srcRect/>
                    <a:stretch/>
                  </pic:blipFill>
                  <pic:spPr bwMode="auto">
                    <a:xfrm>
                      <a:off x="0" y="0"/>
                      <a:ext cx="5511641" cy="5157927"/>
                    </a:xfrm>
                    <a:prstGeom prst="rect">
                      <a:avLst/>
                    </a:prstGeom>
                    <a:ln>
                      <a:noFill/>
                    </a:ln>
                    <a:extLst>
                      <a:ext uri="{53640926-AAD7-44D8-BBD7-CCE9431645EC}">
                        <a14:shadowObscured xmlns:a14="http://schemas.microsoft.com/office/drawing/2010/main"/>
                      </a:ext>
                    </a:extLst>
                  </pic:spPr>
                </pic:pic>
              </a:graphicData>
            </a:graphic>
          </wp:inline>
        </w:drawing>
      </w:r>
    </w:p>
    <w:p w14:paraId="06548E40" w14:textId="62A83FB8" w:rsidR="00986C11" w:rsidRDefault="00986C11" w:rsidP="00986C11">
      <w:pPr>
        <w:pStyle w:val="Caption"/>
      </w:pPr>
      <w:bookmarkStart w:id="26" w:name="_Ref469926522"/>
      <w:bookmarkStart w:id="27" w:name="_Toc3558352"/>
      <w:bookmarkStart w:id="28" w:name="_Toc69387665"/>
      <w:r>
        <w:t xml:space="preserve">Figure </w:t>
      </w:r>
      <w:r w:rsidR="009008C8">
        <w:rPr>
          <w:noProof/>
        </w:rPr>
        <w:fldChar w:fldCharType="begin"/>
      </w:r>
      <w:r w:rsidR="009008C8">
        <w:rPr>
          <w:noProof/>
        </w:rPr>
        <w:instrText xml:space="preserve"> SEQ Figure \* ARABIC </w:instrText>
      </w:r>
      <w:r w:rsidR="009008C8">
        <w:rPr>
          <w:noProof/>
        </w:rPr>
        <w:fldChar w:fldCharType="separate"/>
      </w:r>
      <w:r w:rsidR="00025EB2">
        <w:rPr>
          <w:noProof/>
        </w:rPr>
        <w:t>1</w:t>
      </w:r>
      <w:r w:rsidR="009008C8">
        <w:rPr>
          <w:noProof/>
        </w:rPr>
        <w:fldChar w:fldCharType="end"/>
      </w:r>
      <w:bookmarkEnd w:id="26"/>
      <w:r>
        <w:t xml:space="preserve">. </w:t>
      </w:r>
      <w:r w:rsidRPr="00F33316">
        <w:t xml:space="preserve">Map of the </w:t>
      </w:r>
      <w:r w:rsidR="006C282C">
        <w:t>Lower Murray</w:t>
      </w:r>
      <w:r w:rsidR="006C282C" w:rsidRPr="00F33316">
        <w:t xml:space="preserve"> </w:t>
      </w:r>
      <w:r w:rsidRPr="00F33316">
        <w:t xml:space="preserve">Selected Area showing the </w:t>
      </w:r>
      <w:r w:rsidR="00482768">
        <w:t xml:space="preserve">Lower Murray River </w:t>
      </w:r>
      <w:r w:rsidRPr="00F33316">
        <w:t xml:space="preserve">floodplain (blue), gorge (green) and swamplands (orange) geomorphic zones, and the Lower Lakes </w:t>
      </w:r>
      <w:r w:rsidR="00847B1A">
        <w:t xml:space="preserve">and </w:t>
      </w:r>
      <w:r w:rsidRPr="00F33316">
        <w:t xml:space="preserve">Coorong (yellow). </w:t>
      </w:r>
      <w:r w:rsidR="006928CA" w:rsidRPr="006928CA">
        <w:t>Sampling sites are indicated by coloured circles (field monitoring) and triangles (modelling)</w:t>
      </w:r>
      <w:r w:rsidR="006928CA">
        <w:t xml:space="preserve">. </w:t>
      </w:r>
      <w:r w:rsidR="00DD4808" w:rsidRPr="007172E1">
        <w:t>Larval fish sampling</w:t>
      </w:r>
      <w:r w:rsidR="00DD4808">
        <w:t xml:space="preserve"> for </w:t>
      </w:r>
      <w:r w:rsidRPr="00F33316">
        <w:t xml:space="preserve">Fish Spawning and Recruitment </w:t>
      </w:r>
      <w:r w:rsidR="00DD4808">
        <w:t xml:space="preserve">was </w:t>
      </w:r>
      <w:r w:rsidR="000F4EC0">
        <w:t>not undertaken in 2019-20</w:t>
      </w:r>
      <w:r w:rsidRPr="009D11B1">
        <w:t>.</w:t>
      </w:r>
      <w:bookmarkEnd w:id="27"/>
      <w:bookmarkEnd w:id="28"/>
    </w:p>
    <w:p w14:paraId="1A8DB931" w14:textId="4F59E7F2" w:rsidR="00986C11" w:rsidRDefault="00986C11" w:rsidP="008756F6">
      <w:pPr>
        <w:pStyle w:val="Heading2"/>
      </w:pPr>
      <w:bookmarkStart w:id="29" w:name="_Toc69309232"/>
      <w:r w:rsidRPr="00C92154">
        <w:t>Expected outcomes</w:t>
      </w:r>
      <w:r w:rsidR="008756F6">
        <w:t xml:space="preserve"> in the </w:t>
      </w:r>
      <w:r w:rsidR="006C282C">
        <w:t>Lower Murray</w:t>
      </w:r>
      <w:bookmarkEnd w:id="29"/>
    </w:p>
    <w:p w14:paraId="683C3000" w14:textId="4B7FCCF4" w:rsidR="0054677D" w:rsidRDefault="00A51D6D" w:rsidP="008A5B20">
      <w:r w:rsidRPr="00A51D6D">
        <w:t>For the period of the MER Project (2019</w:t>
      </w:r>
      <w:r w:rsidR="00182F08">
        <w:t>-</w:t>
      </w:r>
      <w:r w:rsidRPr="00A51D6D">
        <w:t>20 to 2021</w:t>
      </w:r>
      <w:r w:rsidR="00182F08">
        <w:t>-</w:t>
      </w:r>
      <w:r w:rsidRPr="00A51D6D">
        <w:t xml:space="preserve">22), it is expected that the majority of the Commonwealth environmental water deliveries to the Lower Murray </w:t>
      </w:r>
      <w:r w:rsidR="00517FD6" w:rsidRPr="00A51D6D">
        <w:t xml:space="preserve">will </w:t>
      </w:r>
      <w:r w:rsidR="00517FD6" w:rsidRPr="002C286B">
        <w:t xml:space="preserve">contribute </w:t>
      </w:r>
      <w:r w:rsidR="002C286B" w:rsidRPr="002C286B">
        <w:t>to</w:t>
      </w:r>
      <w:r w:rsidR="00F85100">
        <w:t xml:space="preserve"> base</w:t>
      </w:r>
      <w:r w:rsidR="000E012E">
        <w:t xml:space="preserve"> </w:t>
      </w:r>
      <w:r w:rsidR="00F85100">
        <w:t>flows and</w:t>
      </w:r>
      <w:r w:rsidR="002C286B" w:rsidRPr="002C286B">
        <w:t xml:space="preserve"> freshes</w:t>
      </w:r>
      <w:r w:rsidR="0054677D" w:rsidRPr="0054677D">
        <w:t xml:space="preserve"> in the </w:t>
      </w:r>
      <w:r w:rsidR="00553181">
        <w:t>LMR</w:t>
      </w:r>
      <w:r w:rsidR="0054677D" w:rsidRPr="0054677D">
        <w:t xml:space="preserve"> channel</w:t>
      </w:r>
      <w:r w:rsidR="00F24595">
        <w:t xml:space="preserve"> (</w:t>
      </w:r>
      <w:r w:rsidR="00F24595">
        <w:fldChar w:fldCharType="begin"/>
      </w:r>
      <w:r w:rsidR="00F24595">
        <w:instrText xml:space="preserve"> REF _Ref14098373 \h </w:instrText>
      </w:r>
      <w:r w:rsidR="00F24595">
        <w:fldChar w:fldCharType="separate"/>
      </w:r>
      <w:r w:rsidR="00AD0721">
        <w:t xml:space="preserve">Figure </w:t>
      </w:r>
      <w:r w:rsidR="00AD0721">
        <w:rPr>
          <w:noProof/>
        </w:rPr>
        <w:t>2</w:t>
      </w:r>
      <w:r w:rsidR="00F24595">
        <w:fldChar w:fldCharType="end"/>
      </w:r>
      <w:proofErr w:type="gramStart"/>
      <w:r w:rsidR="00F24595">
        <w:t>)</w:t>
      </w:r>
      <w:r w:rsidR="0054677D" w:rsidRPr="0054677D">
        <w:t>, and</w:t>
      </w:r>
      <w:proofErr w:type="gramEnd"/>
      <w:r w:rsidR="0054677D" w:rsidRPr="0054677D">
        <w:t xml:space="preserve"> </w:t>
      </w:r>
      <w:r w:rsidR="007C505A">
        <w:t>maintain river</w:t>
      </w:r>
      <w:r w:rsidR="0054677D" w:rsidRPr="0054677D">
        <w:t xml:space="preserve"> flows </w:t>
      </w:r>
      <w:r w:rsidR="007C505A">
        <w:t>to</w:t>
      </w:r>
      <w:r w:rsidR="00D21A8F">
        <w:t xml:space="preserve"> the Lower Lakes and </w:t>
      </w:r>
      <w:r w:rsidR="0054677D" w:rsidRPr="0054677D">
        <w:t>Coorong</w:t>
      </w:r>
      <w:r w:rsidR="002C286B" w:rsidRPr="002C286B">
        <w:t>.</w:t>
      </w:r>
      <w:r w:rsidR="005D6662" w:rsidRPr="005D6662">
        <w:t xml:space="preserve"> </w:t>
      </w:r>
      <w:r w:rsidR="0054677D" w:rsidRPr="0054677D">
        <w:t xml:space="preserve">These particular flows </w:t>
      </w:r>
      <w:r w:rsidR="007C505A">
        <w:t>aim</w:t>
      </w:r>
      <w:r w:rsidR="0054677D" w:rsidRPr="0054677D">
        <w:t xml:space="preserve"> to achieve a variety of </w:t>
      </w:r>
      <w:r w:rsidR="007C505A">
        <w:t xml:space="preserve">environmental </w:t>
      </w:r>
      <w:r w:rsidR="0054677D" w:rsidRPr="0054677D">
        <w:t>outcomes including those relating to fish, vegetation,</w:t>
      </w:r>
      <w:r w:rsidR="007C505A">
        <w:t xml:space="preserve"> birds, water quality and</w:t>
      </w:r>
      <w:r w:rsidR="0054677D" w:rsidRPr="0054677D">
        <w:t xml:space="preserve"> river </w:t>
      </w:r>
      <w:r w:rsidR="0054677D" w:rsidRPr="00553181">
        <w:t>function, Lower Lakes water levels</w:t>
      </w:r>
      <w:r w:rsidR="00D21A8F" w:rsidRPr="00553181">
        <w:t>,</w:t>
      </w:r>
      <w:r w:rsidR="0054677D" w:rsidRPr="00553181">
        <w:t xml:space="preserve"> salt export</w:t>
      </w:r>
      <w:r w:rsidR="00D21A8F" w:rsidRPr="00553181">
        <w:t xml:space="preserve"> and connectivity between freshwater, estuarine and marine environment</w:t>
      </w:r>
      <w:r w:rsidR="0071569C">
        <w:t>s</w:t>
      </w:r>
      <w:r w:rsidR="0054677D">
        <w:t xml:space="preserve"> (</w:t>
      </w:r>
      <w:r w:rsidR="008849C5">
        <w:t>Appendix A</w:t>
      </w:r>
      <w:r w:rsidR="0054677D" w:rsidRPr="0054677D">
        <w:t xml:space="preserve">), although </w:t>
      </w:r>
      <w:r w:rsidR="00114345">
        <w:t xml:space="preserve">only some </w:t>
      </w:r>
      <w:r w:rsidR="0054677D" w:rsidRPr="0054677D">
        <w:t xml:space="preserve">of these </w:t>
      </w:r>
      <w:r w:rsidR="007C505A">
        <w:t>are</w:t>
      </w:r>
      <w:r w:rsidR="0013251B">
        <w:t xml:space="preserve"> </w:t>
      </w:r>
      <w:r w:rsidR="0054677D" w:rsidRPr="0054677D">
        <w:t>monitored through this project.</w:t>
      </w:r>
    </w:p>
    <w:p w14:paraId="6A5EAC22" w14:textId="3774FC4A" w:rsidR="002C286B" w:rsidRDefault="00AF4543">
      <w:r w:rsidRPr="00AF4543">
        <w:rPr>
          <w:noProof/>
        </w:rPr>
        <w:drawing>
          <wp:inline distT="0" distB="0" distL="0" distR="0" wp14:anchorId="70C7B885" wp14:editId="5858B921">
            <wp:extent cx="5731510" cy="2473960"/>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5731510" cy="2473960"/>
                    </a:xfrm>
                    <a:prstGeom prst="rect">
                      <a:avLst/>
                    </a:prstGeom>
                    <a:noFill/>
                    <a:ln>
                      <a:noFill/>
                    </a:ln>
                  </pic:spPr>
                </pic:pic>
              </a:graphicData>
            </a:graphic>
          </wp:inline>
        </w:drawing>
      </w:r>
    </w:p>
    <w:p w14:paraId="38D66FBC" w14:textId="683F7EDD" w:rsidR="00503001" w:rsidRDefault="002C286B" w:rsidP="00F8184E">
      <w:pPr>
        <w:pStyle w:val="Captions"/>
      </w:pPr>
      <w:bookmarkStart w:id="30" w:name="_Ref14098373"/>
      <w:bookmarkStart w:id="31" w:name="_Toc69387666"/>
      <w:r>
        <w:t xml:space="preserve">Figure </w:t>
      </w:r>
      <w:r w:rsidR="00A465F5">
        <w:rPr>
          <w:noProof/>
        </w:rPr>
        <w:fldChar w:fldCharType="begin"/>
      </w:r>
      <w:r w:rsidR="00A465F5">
        <w:rPr>
          <w:noProof/>
        </w:rPr>
        <w:instrText xml:space="preserve"> SEQ Figure \* ARABIC </w:instrText>
      </w:r>
      <w:r w:rsidR="00A465F5">
        <w:rPr>
          <w:noProof/>
        </w:rPr>
        <w:fldChar w:fldCharType="separate"/>
      </w:r>
      <w:r w:rsidR="00025EB2">
        <w:rPr>
          <w:noProof/>
        </w:rPr>
        <w:t>2</w:t>
      </w:r>
      <w:r w:rsidR="00A465F5">
        <w:rPr>
          <w:noProof/>
        </w:rPr>
        <w:fldChar w:fldCharType="end"/>
      </w:r>
      <w:bookmarkEnd w:id="30"/>
      <w:r w:rsidR="007055C4">
        <w:t xml:space="preserve">. </w:t>
      </w:r>
      <w:r w:rsidR="007055C4" w:rsidRPr="002C286B">
        <w:t xml:space="preserve">The various flow types </w:t>
      </w:r>
      <w:r w:rsidR="007055C4">
        <w:t xml:space="preserve">of the Lower Murray River </w:t>
      </w:r>
      <w:r w:rsidR="007055C4" w:rsidRPr="002C286B">
        <w:t xml:space="preserve">as described </w:t>
      </w:r>
      <w:r w:rsidR="007055C4">
        <w:t xml:space="preserve">in </w:t>
      </w:r>
      <w:r w:rsidR="007055C4" w:rsidRPr="002C286B">
        <w:t>the Murray–Darling Basin Plan (</w:t>
      </w:r>
      <w:r w:rsidR="00DD241A">
        <w:t xml:space="preserve">MDBA </w:t>
      </w:r>
      <w:r w:rsidR="007055C4" w:rsidRPr="002C286B">
        <w:t>201</w:t>
      </w:r>
      <w:r w:rsidR="00DD241A">
        <w:t>1</w:t>
      </w:r>
      <w:r w:rsidR="007055C4" w:rsidRPr="002C286B">
        <w:t>).</w:t>
      </w:r>
      <w:r w:rsidR="00B26CD1">
        <w:t xml:space="preserve"> This diagram represents an </w:t>
      </w:r>
      <w:proofErr w:type="spellStart"/>
      <w:r w:rsidR="00B26CD1">
        <w:t>idealised</w:t>
      </w:r>
      <w:proofErr w:type="spellEnd"/>
      <w:r w:rsidR="00B26CD1">
        <w:t>, unconstrained river reach.</w:t>
      </w:r>
      <w:bookmarkEnd w:id="31"/>
    </w:p>
    <w:p w14:paraId="0114F888" w14:textId="604F2CCD" w:rsidR="003423B8" w:rsidRDefault="003423B8" w:rsidP="003423B8">
      <w:r>
        <w:t>In the Lower Murray, environmental water delivery that contributes to base flows and freshes increases stream velocity, mixing and dilution; increases variability in water levels; increases the inundated area of littoral zone of channels, low-lying wetlands and floodplains; and improves connectivity</w:t>
      </w:r>
      <w:r w:rsidRPr="00AA6B63">
        <w:t xml:space="preserve"> between freshwater, estuarine and marine environments</w:t>
      </w:r>
      <w:r>
        <w:t xml:space="preserve"> (Ye </w:t>
      </w:r>
      <w:r w:rsidRPr="003423B8">
        <w:rPr>
          <w:i/>
          <w:iCs/>
        </w:rPr>
        <w:t>et al.</w:t>
      </w:r>
      <w:r>
        <w:t xml:space="preserve"> 2020). These changes to hydrological/hydraulic conditions in the LMR are expected to lead to:</w:t>
      </w:r>
    </w:p>
    <w:p w14:paraId="0902115D" w14:textId="4AD7C201" w:rsidR="00D84F83" w:rsidRDefault="00D84F83" w:rsidP="007B56CE">
      <w:pPr>
        <w:pStyle w:val="ListParagraph"/>
        <w:numPr>
          <w:ilvl w:val="0"/>
          <w:numId w:val="4"/>
        </w:numPr>
      </w:pPr>
      <w:r>
        <w:t xml:space="preserve">Maintained dissolved oxygen and water quality due to increased mixing and </w:t>
      </w:r>
      <w:proofErr w:type="gramStart"/>
      <w:r>
        <w:t>discharge</w:t>
      </w:r>
      <w:r w:rsidR="005961D7">
        <w:t>;</w:t>
      </w:r>
      <w:proofErr w:type="gramEnd"/>
    </w:p>
    <w:p w14:paraId="2D5D80BC" w14:textId="523A7D6C" w:rsidR="00115809" w:rsidRDefault="00115809" w:rsidP="007B56CE">
      <w:pPr>
        <w:pStyle w:val="ListParagraph"/>
        <w:numPr>
          <w:ilvl w:val="0"/>
          <w:numId w:val="4"/>
        </w:numPr>
      </w:pPr>
      <w:r>
        <w:t xml:space="preserve">Increased productivity </w:t>
      </w:r>
      <w:r w:rsidR="00076584">
        <w:t xml:space="preserve">due to lateral </w:t>
      </w:r>
      <w:r>
        <w:t xml:space="preserve">transport of organic </w:t>
      </w:r>
      <w:proofErr w:type="gramStart"/>
      <w:r>
        <w:t>material</w:t>
      </w:r>
      <w:r w:rsidR="005961D7">
        <w:t>;</w:t>
      </w:r>
      <w:proofErr w:type="gramEnd"/>
    </w:p>
    <w:p w14:paraId="77208755" w14:textId="28EA8901" w:rsidR="00115809" w:rsidRDefault="00115809" w:rsidP="007B56CE">
      <w:pPr>
        <w:pStyle w:val="ListParagraph"/>
        <w:numPr>
          <w:ilvl w:val="0"/>
          <w:numId w:val="4"/>
        </w:numPr>
      </w:pPr>
      <w:r>
        <w:t xml:space="preserve">Increased transport of dissolved and particulate matter (salt and nutrients) downstream due to mobilisation and increased </w:t>
      </w:r>
      <w:proofErr w:type="gramStart"/>
      <w:r>
        <w:t>discharge</w:t>
      </w:r>
      <w:r w:rsidR="005961D7">
        <w:t>;</w:t>
      </w:r>
      <w:proofErr w:type="gramEnd"/>
    </w:p>
    <w:p w14:paraId="74348421" w14:textId="4896AD00" w:rsidR="004D4CA4" w:rsidRDefault="004D4CA4" w:rsidP="007B56CE">
      <w:pPr>
        <w:pStyle w:val="ListParagraph"/>
        <w:numPr>
          <w:ilvl w:val="0"/>
          <w:numId w:val="4"/>
        </w:numPr>
      </w:pPr>
      <w:r w:rsidRPr="004D4CA4">
        <w:t>Increased littoral understorey vegetation diversity, productivity and community resilience</w:t>
      </w:r>
      <w:r w:rsidR="00F46757">
        <w:t xml:space="preserve"> due to increased water </w:t>
      </w:r>
      <w:proofErr w:type="gramStart"/>
      <w:r w:rsidR="00F46757">
        <w:t>levels</w:t>
      </w:r>
      <w:r w:rsidR="005961D7">
        <w:t>;</w:t>
      </w:r>
      <w:proofErr w:type="gramEnd"/>
    </w:p>
    <w:p w14:paraId="35F4BC52" w14:textId="5777B755" w:rsidR="00115809" w:rsidRDefault="00115809" w:rsidP="007B56CE">
      <w:pPr>
        <w:pStyle w:val="ListParagraph"/>
        <w:numPr>
          <w:ilvl w:val="0"/>
          <w:numId w:val="4"/>
        </w:numPr>
      </w:pPr>
      <w:r>
        <w:t xml:space="preserve">Increased </w:t>
      </w:r>
      <w:proofErr w:type="spellStart"/>
      <w:r w:rsidR="004D4CA4">
        <w:t>microinvertebrates</w:t>
      </w:r>
      <w:proofErr w:type="spellEnd"/>
      <w:r w:rsidR="004D4CA4">
        <w:t xml:space="preserve"> </w:t>
      </w:r>
      <w:r w:rsidR="00DD4808">
        <w:t>(</w:t>
      </w:r>
      <w:r w:rsidR="004D4CA4">
        <w:t>and egg-bank</w:t>
      </w:r>
      <w:r w:rsidR="00DD4808">
        <w:t>)</w:t>
      </w:r>
      <w:r w:rsidR="004D4CA4">
        <w:t xml:space="preserve"> </w:t>
      </w:r>
      <w:r w:rsidR="00DD4808">
        <w:t>diversity and abundance d</w:t>
      </w:r>
      <w:r w:rsidR="00076584">
        <w:t xml:space="preserve">ue to </w:t>
      </w:r>
      <w:r w:rsidR="00144D9C">
        <w:t xml:space="preserve">increased inundated area </w:t>
      </w:r>
      <w:r w:rsidR="00794A20">
        <w:t xml:space="preserve">in littoral and off-channel habitats </w:t>
      </w:r>
      <w:r w:rsidR="00076584">
        <w:t xml:space="preserve">from increased water levels and </w:t>
      </w:r>
      <w:proofErr w:type="gramStart"/>
      <w:r w:rsidR="00076584">
        <w:t>discharge</w:t>
      </w:r>
      <w:r w:rsidR="005961D7">
        <w:t>;</w:t>
      </w:r>
      <w:proofErr w:type="gramEnd"/>
    </w:p>
    <w:p w14:paraId="08E953C2" w14:textId="26C12C05" w:rsidR="00115809" w:rsidRDefault="00115809" w:rsidP="007B56CE">
      <w:pPr>
        <w:pStyle w:val="ListParagraph"/>
        <w:numPr>
          <w:ilvl w:val="0"/>
          <w:numId w:val="4"/>
        </w:numPr>
      </w:pPr>
      <w:r>
        <w:t>Increased larval abundance of flow-</w:t>
      </w:r>
      <w:r w:rsidR="002D7509">
        <w:t>cued spawning</w:t>
      </w:r>
      <w:r>
        <w:t xml:space="preserve"> fish species </w:t>
      </w:r>
      <w:r w:rsidR="004D4CA4">
        <w:t>(golden perch</w:t>
      </w:r>
      <w:r w:rsidR="00144D9C">
        <w:t xml:space="preserve"> </w:t>
      </w:r>
      <w:proofErr w:type="spellStart"/>
      <w:r w:rsidR="00A7193C" w:rsidRPr="00A7193C">
        <w:rPr>
          <w:i/>
          <w:iCs/>
        </w:rPr>
        <w:t>Macqu</w:t>
      </w:r>
      <w:r w:rsidR="00A7193C">
        <w:rPr>
          <w:i/>
          <w:iCs/>
        </w:rPr>
        <w:t>a</w:t>
      </w:r>
      <w:r w:rsidR="00A7193C" w:rsidRPr="00A7193C">
        <w:rPr>
          <w:i/>
          <w:iCs/>
        </w:rPr>
        <w:t>ria</w:t>
      </w:r>
      <w:proofErr w:type="spellEnd"/>
      <w:r w:rsidR="00A7193C" w:rsidRPr="00A7193C">
        <w:rPr>
          <w:i/>
          <w:iCs/>
        </w:rPr>
        <w:t xml:space="preserve"> </w:t>
      </w:r>
      <w:proofErr w:type="spellStart"/>
      <w:r w:rsidR="00A7193C" w:rsidRPr="00A7193C">
        <w:rPr>
          <w:i/>
          <w:iCs/>
        </w:rPr>
        <w:t>ambigua</w:t>
      </w:r>
      <w:proofErr w:type="spellEnd"/>
      <w:r w:rsidR="00A7193C">
        <w:t xml:space="preserve"> </w:t>
      </w:r>
      <w:r w:rsidR="00144D9C">
        <w:t>and silver perch</w:t>
      </w:r>
      <w:r w:rsidR="004D4CA4">
        <w:t xml:space="preserve">) </w:t>
      </w:r>
      <w:r>
        <w:t xml:space="preserve">due to the provision of flow-cues for spawning and increased larval drift and </w:t>
      </w:r>
      <w:proofErr w:type="gramStart"/>
      <w:r>
        <w:t>dispersion</w:t>
      </w:r>
      <w:r w:rsidR="005961D7">
        <w:t>;</w:t>
      </w:r>
      <w:proofErr w:type="gramEnd"/>
    </w:p>
    <w:p w14:paraId="7A3EF544" w14:textId="5BC2841F" w:rsidR="00115809" w:rsidRDefault="00115809" w:rsidP="007B56CE">
      <w:pPr>
        <w:pStyle w:val="ListParagraph"/>
        <w:numPr>
          <w:ilvl w:val="0"/>
          <w:numId w:val="4"/>
        </w:numPr>
      </w:pPr>
      <w:r>
        <w:t xml:space="preserve">Increased recruitment of </w:t>
      </w:r>
      <w:r w:rsidR="002D7509">
        <w:t>flow-cued spawning</w:t>
      </w:r>
      <w:r>
        <w:t xml:space="preserve"> fish species due to increased spawning and larval drift, and enhanced survival rate due to increased </w:t>
      </w:r>
      <w:proofErr w:type="gramStart"/>
      <w:r>
        <w:t>productivity</w:t>
      </w:r>
      <w:r w:rsidR="005961D7">
        <w:t>;</w:t>
      </w:r>
      <w:proofErr w:type="gramEnd"/>
    </w:p>
    <w:p w14:paraId="5A56DEEF" w14:textId="50537DF7" w:rsidR="004D4CA4" w:rsidRDefault="004D4CA4" w:rsidP="007B56CE">
      <w:pPr>
        <w:pStyle w:val="ListParagraph"/>
        <w:numPr>
          <w:ilvl w:val="0"/>
          <w:numId w:val="4"/>
        </w:numPr>
      </w:pPr>
      <w:r w:rsidRPr="004D4CA4">
        <w:t>Improved recruitment and population resilience of main channel specialist fish species (Murray cod)</w:t>
      </w:r>
      <w:r>
        <w:t xml:space="preserve"> due to</w:t>
      </w:r>
      <w:r w:rsidR="00E376F1">
        <w:t xml:space="preserve"> increase in lotic habitat and </w:t>
      </w:r>
      <w:proofErr w:type="gramStart"/>
      <w:r w:rsidR="00F46757">
        <w:t>productivity</w:t>
      </w:r>
      <w:r w:rsidR="005961D7">
        <w:t>;</w:t>
      </w:r>
      <w:proofErr w:type="gramEnd"/>
    </w:p>
    <w:p w14:paraId="73361826" w14:textId="6C2E9663" w:rsidR="00500A4F" w:rsidRDefault="004D4CA4" w:rsidP="007B56CE">
      <w:pPr>
        <w:pStyle w:val="ListParagraph"/>
        <w:numPr>
          <w:ilvl w:val="0"/>
          <w:numId w:val="4"/>
        </w:numPr>
      </w:pPr>
      <w:r w:rsidRPr="004D4CA4">
        <w:t xml:space="preserve">Increased salt export out of the MDB; </w:t>
      </w:r>
      <w:r w:rsidR="00500A4F">
        <w:t>reduced salt import into the Coorong</w:t>
      </w:r>
      <w:r w:rsidR="005961D7">
        <w:t>,</w:t>
      </w:r>
      <w:r w:rsidR="00500A4F">
        <w:t xml:space="preserve"> </w:t>
      </w:r>
      <w:r w:rsidRPr="004D4CA4">
        <w:t>and reduced salinities</w:t>
      </w:r>
      <w:r w:rsidR="005961D7">
        <w:t>; and</w:t>
      </w:r>
    </w:p>
    <w:p w14:paraId="438E06B2" w14:textId="0D066ABC" w:rsidR="004D4CA4" w:rsidRDefault="00500A4F" w:rsidP="007B56CE">
      <w:pPr>
        <w:pStyle w:val="ListParagraph"/>
        <w:numPr>
          <w:ilvl w:val="0"/>
          <w:numId w:val="4"/>
        </w:numPr>
      </w:pPr>
      <w:r>
        <w:t>I</w:t>
      </w:r>
      <w:r w:rsidR="004D4CA4" w:rsidRPr="004D4CA4">
        <w:t xml:space="preserve">mproved fish habitats in the Coorong, </w:t>
      </w:r>
      <w:proofErr w:type="gramStart"/>
      <w:r w:rsidR="004D4CA4" w:rsidRPr="004D4CA4">
        <w:t>and</w:t>
      </w:r>
      <w:r>
        <w:t xml:space="preserve"> also</w:t>
      </w:r>
      <w:proofErr w:type="gramEnd"/>
      <w:r w:rsidR="004D4CA4" w:rsidRPr="004D4CA4">
        <w:t xml:space="preserve"> </w:t>
      </w:r>
      <w:proofErr w:type="spellStart"/>
      <w:r w:rsidR="004D4CA4" w:rsidRPr="004D4CA4">
        <w:rPr>
          <w:i/>
        </w:rPr>
        <w:t>Ruppia</w:t>
      </w:r>
      <w:proofErr w:type="spellEnd"/>
      <w:r w:rsidR="004D4CA4" w:rsidRPr="004D4CA4">
        <w:rPr>
          <w:i/>
        </w:rPr>
        <w:t xml:space="preserve"> tuberosa</w:t>
      </w:r>
      <w:r w:rsidR="004D4CA4" w:rsidRPr="004D4CA4">
        <w:t xml:space="preserve"> habitats at higher flow.</w:t>
      </w:r>
    </w:p>
    <w:p w14:paraId="040A1906" w14:textId="5DAC0C7F" w:rsidR="00503001" w:rsidRDefault="00503001" w:rsidP="00503001">
      <w:pPr>
        <w:rPr>
          <w:rFonts w:asciiTheme="minorHAnsi" w:hAnsiTheme="minorHAnsi"/>
        </w:rPr>
      </w:pPr>
      <w:r w:rsidRPr="00503001">
        <w:t>Over the long-term</w:t>
      </w:r>
      <w:r w:rsidR="00F65A33">
        <w:t xml:space="preserve"> (decades)</w:t>
      </w:r>
      <w:r w:rsidRPr="00503001">
        <w:t xml:space="preserve">, environmental water delivery </w:t>
      </w:r>
      <w:r w:rsidR="00E954E0">
        <w:t>i</w:t>
      </w:r>
      <w:r w:rsidRPr="00503001">
        <w:t>s expected to make a significant contribution to achieving eco</w:t>
      </w:r>
      <w:r w:rsidR="00994ED4">
        <w:t xml:space="preserve">system </w:t>
      </w:r>
      <w:r w:rsidRPr="00503001">
        <w:t xml:space="preserve">outcomes in the </w:t>
      </w:r>
      <w:r w:rsidR="00DE56E1">
        <w:t>Lower Murray</w:t>
      </w:r>
      <w:r w:rsidRPr="00503001">
        <w:t xml:space="preserve">, through restoring ecological processes and improving habitat for biota in the main channel and floodplain/wetlands. A consolidated view of the expected outcomes </w:t>
      </w:r>
      <w:r w:rsidR="005E2E99">
        <w:t xml:space="preserve">driven by flow </w:t>
      </w:r>
      <w:r w:rsidRPr="00503001">
        <w:t xml:space="preserve">for the </w:t>
      </w:r>
      <w:r w:rsidR="00DE56E1">
        <w:t>Lower Murray</w:t>
      </w:r>
      <w:r w:rsidR="00DE56E1" w:rsidRPr="00503001">
        <w:t xml:space="preserve"> </w:t>
      </w:r>
      <w:r w:rsidRPr="00503001">
        <w:t xml:space="preserve">is presented in </w:t>
      </w:r>
      <w:r w:rsidRPr="00503001">
        <w:fldChar w:fldCharType="begin"/>
      </w:r>
      <w:r w:rsidRPr="00503001">
        <w:instrText xml:space="preserve"> REF _Ref15999013 \h  \* MERGEFORMAT </w:instrText>
      </w:r>
      <w:r w:rsidRPr="00503001">
        <w:fldChar w:fldCharType="separate"/>
      </w:r>
      <w:r w:rsidR="00AD0721">
        <w:t xml:space="preserve">Figure </w:t>
      </w:r>
      <w:r w:rsidR="00AD0721">
        <w:rPr>
          <w:noProof/>
        </w:rPr>
        <w:t>3</w:t>
      </w:r>
      <w:r w:rsidRPr="00503001">
        <w:fldChar w:fldCharType="end"/>
      </w:r>
      <w:r w:rsidRPr="00503001">
        <w:t xml:space="preserve"> below, which includes core monitoring indicators of the </w:t>
      </w:r>
      <w:r w:rsidR="00DE56E1">
        <w:t>MER</w:t>
      </w:r>
      <w:r w:rsidRPr="00503001">
        <w:t xml:space="preserve"> Project</w:t>
      </w:r>
      <w:r w:rsidR="005F4769">
        <w:t xml:space="preserve">. The conceptual diagram </w:t>
      </w:r>
      <w:r w:rsidR="00353D1D">
        <w:t xml:space="preserve">demonstrates the inter-relationships between </w:t>
      </w:r>
      <w:r w:rsidR="005F4769">
        <w:t xml:space="preserve">the changes of </w:t>
      </w:r>
      <w:r w:rsidR="00353D1D">
        <w:t>hydrological</w:t>
      </w:r>
      <w:r w:rsidR="005F4769">
        <w:t xml:space="preserve">/hydraulic regime and </w:t>
      </w:r>
      <w:r w:rsidR="00353D1D">
        <w:t xml:space="preserve">riverine productivity (stream metabolism, </w:t>
      </w:r>
      <w:r w:rsidR="00412AC1">
        <w:t xml:space="preserve">vegetation, </w:t>
      </w:r>
      <w:proofErr w:type="spellStart"/>
      <w:r w:rsidR="00353D1D">
        <w:t>microinvertebrates</w:t>
      </w:r>
      <w:proofErr w:type="spellEnd"/>
      <w:r w:rsidR="00353D1D">
        <w:t>) and</w:t>
      </w:r>
      <w:r w:rsidR="005F4769">
        <w:t xml:space="preserve"> matter transport, and </w:t>
      </w:r>
      <w:r w:rsidR="00353D1D">
        <w:t>how these may influence</w:t>
      </w:r>
      <w:r w:rsidR="00412AC1">
        <w:t xml:space="preserve"> fish</w:t>
      </w:r>
      <w:r w:rsidR="00353D1D">
        <w:t xml:space="preserve"> spawning and recruitment </w:t>
      </w:r>
      <w:r w:rsidR="005F4769">
        <w:t xml:space="preserve">and the overall fish assemblage in the </w:t>
      </w:r>
      <w:r w:rsidR="00412AC1">
        <w:t>Lower Murray</w:t>
      </w:r>
      <w:r w:rsidRPr="00503001">
        <w:t>.</w:t>
      </w:r>
    </w:p>
    <w:p w14:paraId="0A2EB9FC" w14:textId="2782C059" w:rsidR="00A940FE" w:rsidRDefault="00A940FE" w:rsidP="00A940FE">
      <w:pPr>
        <w:jc w:val="center"/>
        <w:rPr>
          <w:kern w:val="0"/>
          <w:lang w:val="en-US"/>
        </w:rPr>
      </w:pPr>
      <w:bookmarkStart w:id="32" w:name="_Ref391538119"/>
      <w:r>
        <w:rPr>
          <w:kern w:val="0"/>
          <w:lang w:val="en-US"/>
        </w:rPr>
        <w:t xml:space="preserve">     </w:t>
      </w:r>
      <w:r w:rsidR="004D4CA4" w:rsidRPr="004D4CA4">
        <w:rPr>
          <w:noProof/>
          <w:lang w:eastAsia="en-AU"/>
        </w:rPr>
        <w:drawing>
          <wp:inline distT="0" distB="0" distL="0" distR="0" wp14:anchorId="233078F7" wp14:editId="5EC3082B">
            <wp:extent cx="3049006" cy="3828415"/>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3058401" cy="3840212"/>
                    </a:xfrm>
                    <a:prstGeom prst="rect">
                      <a:avLst/>
                    </a:prstGeom>
                    <a:noFill/>
                    <a:ln>
                      <a:noFill/>
                    </a:ln>
                  </pic:spPr>
                </pic:pic>
              </a:graphicData>
            </a:graphic>
          </wp:inline>
        </w:drawing>
      </w:r>
    </w:p>
    <w:p w14:paraId="0E596A44" w14:textId="6D4326C9" w:rsidR="00817AE3" w:rsidRPr="00817AE3" w:rsidRDefault="00A940FE" w:rsidP="00A940FE">
      <w:pPr>
        <w:pStyle w:val="Caption"/>
      </w:pPr>
      <w:bookmarkStart w:id="33" w:name="_Ref15999013"/>
      <w:bookmarkStart w:id="34" w:name="_Toc12630431"/>
      <w:bookmarkStart w:id="35" w:name="_Toc69387667"/>
      <w:bookmarkEnd w:id="32"/>
      <w:r>
        <w:t xml:space="preserve">Figure </w:t>
      </w:r>
      <w:r w:rsidR="009008C8">
        <w:rPr>
          <w:noProof/>
        </w:rPr>
        <w:fldChar w:fldCharType="begin"/>
      </w:r>
      <w:r w:rsidR="009008C8">
        <w:rPr>
          <w:noProof/>
        </w:rPr>
        <w:instrText xml:space="preserve"> SEQ Figure \* ARABIC </w:instrText>
      </w:r>
      <w:r w:rsidR="009008C8">
        <w:rPr>
          <w:noProof/>
        </w:rPr>
        <w:fldChar w:fldCharType="separate"/>
      </w:r>
      <w:r w:rsidR="00025EB2">
        <w:rPr>
          <w:noProof/>
        </w:rPr>
        <w:t>3</w:t>
      </w:r>
      <w:r w:rsidR="009008C8">
        <w:rPr>
          <w:noProof/>
        </w:rPr>
        <w:fldChar w:fldCharType="end"/>
      </w:r>
      <w:bookmarkEnd w:id="33"/>
      <w:r>
        <w:t xml:space="preserve">. </w:t>
      </w:r>
      <w:bookmarkEnd w:id="34"/>
      <w:r w:rsidRPr="00A940FE">
        <w:rPr>
          <w:rFonts w:eastAsiaTheme="minorEastAsia"/>
          <w:kern w:val="24"/>
          <w:lang w:val="en-US"/>
        </w:rPr>
        <w:t xml:space="preserve">Cause and effect diagram of flow for the main channel of the </w:t>
      </w:r>
      <w:r w:rsidR="00314F1A">
        <w:rPr>
          <w:rFonts w:eastAsiaTheme="minorEastAsia"/>
          <w:kern w:val="24"/>
          <w:lang w:val="en-US"/>
        </w:rPr>
        <w:t>Lower Murray</w:t>
      </w:r>
      <w:r w:rsidR="00314F1A" w:rsidRPr="00A940FE">
        <w:rPr>
          <w:rFonts w:eastAsiaTheme="minorEastAsia"/>
          <w:kern w:val="24"/>
          <w:lang w:val="en-US"/>
        </w:rPr>
        <w:t xml:space="preserve"> </w:t>
      </w:r>
      <w:r w:rsidRPr="00A940FE">
        <w:rPr>
          <w:rFonts w:eastAsiaTheme="minorEastAsia"/>
          <w:kern w:val="24"/>
          <w:lang w:val="en-US"/>
        </w:rPr>
        <w:t xml:space="preserve">with respect to the proposed indicators. Magnitude, </w:t>
      </w:r>
      <w:proofErr w:type="gramStart"/>
      <w:r w:rsidRPr="00A940FE">
        <w:rPr>
          <w:rFonts w:eastAsiaTheme="minorEastAsia"/>
          <w:kern w:val="24"/>
          <w:lang w:val="en-US"/>
        </w:rPr>
        <w:t>timing</w:t>
      </w:r>
      <w:proofErr w:type="gramEnd"/>
      <w:r w:rsidRPr="00A940FE">
        <w:rPr>
          <w:rFonts w:eastAsiaTheme="minorEastAsia"/>
          <w:kern w:val="24"/>
          <w:lang w:val="en-US"/>
        </w:rPr>
        <w:t xml:space="preserve"> and duration are factors of flow (in black).</w:t>
      </w:r>
      <w:r w:rsidR="003B7B0C">
        <w:rPr>
          <w:rFonts w:eastAsiaTheme="minorEastAsia"/>
          <w:kern w:val="24"/>
          <w:lang w:val="en-US"/>
        </w:rPr>
        <w:t xml:space="preserve"> </w:t>
      </w:r>
      <w:r w:rsidR="00C87E9E">
        <w:rPr>
          <w:rFonts w:eastAsiaTheme="minorEastAsia"/>
          <w:kern w:val="24"/>
          <w:lang w:val="en-US"/>
        </w:rPr>
        <w:t>Yellow</w:t>
      </w:r>
      <w:r w:rsidR="003B7B0C" w:rsidRPr="003B7B0C">
        <w:rPr>
          <w:rFonts w:eastAsiaTheme="minorEastAsia"/>
          <w:kern w:val="24"/>
          <w:lang w:val="en-US"/>
        </w:rPr>
        <w:t xml:space="preserve"> indicators followed standard protocols to support quantitative Basin-wide and Selected Ar</w:t>
      </w:r>
      <w:r w:rsidR="003B7B0C">
        <w:rPr>
          <w:rFonts w:eastAsiaTheme="minorEastAsia"/>
          <w:kern w:val="24"/>
          <w:lang w:val="en-US"/>
        </w:rPr>
        <w:t xml:space="preserve">ea evaluation, where applicable. </w:t>
      </w:r>
      <w:r w:rsidR="00C87E9E">
        <w:rPr>
          <w:rFonts w:eastAsiaTheme="minorEastAsia"/>
          <w:kern w:val="24"/>
          <w:lang w:val="en-US"/>
        </w:rPr>
        <w:t>Purple</w:t>
      </w:r>
      <w:r w:rsidR="003B7B0C" w:rsidRPr="003B7B0C">
        <w:rPr>
          <w:rFonts w:eastAsiaTheme="minorEastAsia"/>
          <w:kern w:val="24"/>
          <w:lang w:val="en-US"/>
        </w:rPr>
        <w:t xml:space="preserve"> indicators were developed to address objectives and test Selected Area-specific hypotheses with respect to biological/ecological response to environmental flows.</w:t>
      </w:r>
      <w:bookmarkEnd w:id="35"/>
    </w:p>
    <w:p w14:paraId="56067737" w14:textId="77777777" w:rsidR="00986C11" w:rsidRDefault="00986C11" w:rsidP="008756F6">
      <w:pPr>
        <w:pStyle w:val="Heading2"/>
      </w:pPr>
      <w:bookmarkStart w:id="36" w:name="_Ref25159400"/>
      <w:bookmarkStart w:id="37" w:name="_Ref25159866"/>
      <w:bookmarkStart w:id="38" w:name="_Ref25331850"/>
      <w:bookmarkStart w:id="39" w:name="_Ref25846459"/>
      <w:bookmarkStart w:id="40" w:name="_Ref30588609"/>
      <w:bookmarkStart w:id="41" w:name="_Toc69309233"/>
      <w:r>
        <w:t>Environmental water delivery</w:t>
      </w:r>
      <w:bookmarkEnd w:id="36"/>
      <w:bookmarkEnd w:id="37"/>
      <w:bookmarkEnd w:id="38"/>
      <w:bookmarkEnd w:id="39"/>
      <w:bookmarkEnd w:id="40"/>
      <w:bookmarkEnd w:id="41"/>
    </w:p>
    <w:p w14:paraId="00381542" w14:textId="368C4AEF" w:rsidR="002C286B" w:rsidRDefault="00FB5172" w:rsidP="002C286B">
      <w:r>
        <w:t>Since 2011-</w:t>
      </w:r>
      <w:r w:rsidRPr="00FB5172">
        <w:t>12</w:t>
      </w:r>
      <w:r w:rsidR="00822A0C">
        <w:t>,</w:t>
      </w:r>
      <w:r w:rsidR="002D23DD">
        <w:t xml:space="preserve"> </w:t>
      </w:r>
      <w:r w:rsidR="00822A0C">
        <w:t xml:space="preserve">environmental water has been delivered to the Lower Murray </w:t>
      </w:r>
      <w:r w:rsidR="002D23DD">
        <w:t>(</w:t>
      </w:r>
      <w:r w:rsidR="002D23DD">
        <w:fldChar w:fldCharType="begin"/>
      </w:r>
      <w:r w:rsidR="002D23DD">
        <w:instrText xml:space="preserve"> REF _Ref416335393 \h </w:instrText>
      </w:r>
      <w:r w:rsidR="002D23DD">
        <w:fldChar w:fldCharType="separate"/>
      </w:r>
      <w:r w:rsidR="00AD0721" w:rsidRPr="0007443D">
        <w:t xml:space="preserve">Figure </w:t>
      </w:r>
      <w:r w:rsidR="00AD0721">
        <w:rPr>
          <w:noProof/>
        </w:rPr>
        <w:t>4</w:t>
      </w:r>
      <w:r w:rsidR="002D23DD">
        <w:fldChar w:fldCharType="end"/>
      </w:r>
      <w:r w:rsidR="002D23DD">
        <w:t>)</w:t>
      </w:r>
      <w:r w:rsidRPr="00FB5172">
        <w:t xml:space="preserve">, </w:t>
      </w:r>
      <w:r w:rsidR="00DD344A" w:rsidRPr="00FB5172">
        <w:t xml:space="preserve">to </w:t>
      </w:r>
      <w:r w:rsidRPr="00FB5172">
        <w:t>restore ecological health (</w:t>
      </w:r>
      <w:hyperlink r:id="rId40" w:history="1">
        <w:r w:rsidR="00892AAB" w:rsidRPr="002C24A3">
          <w:rPr>
            <w:rStyle w:val="Hyperlink"/>
          </w:rPr>
          <w:t>www.environment.gov.au/water/cewo</w:t>
        </w:r>
      </w:hyperlink>
      <w:r w:rsidR="00892AAB">
        <w:t>)</w:t>
      </w:r>
      <w:r w:rsidRPr="00FB5172">
        <w:t xml:space="preserve">. </w:t>
      </w:r>
      <w:r w:rsidR="002C286B">
        <w:t>During the LTIM</w:t>
      </w:r>
      <w:r w:rsidR="003A7A72">
        <w:t xml:space="preserve"> and MER</w:t>
      </w:r>
      <w:r w:rsidR="002C286B">
        <w:t xml:space="preserve"> </w:t>
      </w:r>
      <w:r w:rsidR="003A7A72">
        <w:t>p</w:t>
      </w:r>
      <w:r w:rsidR="002C286B">
        <w:t>roject</w:t>
      </w:r>
      <w:r w:rsidR="003A7A72">
        <w:t>s</w:t>
      </w:r>
      <w:r w:rsidR="002C286B">
        <w:t xml:space="preserve"> (2014-15 to 2019</w:t>
      </w:r>
      <w:r w:rsidR="003A7A72">
        <w:t>-20</w:t>
      </w:r>
      <w:r w:rsidR="002C286B">
        <w:t xml:space="preserve">), </w:t>
      </w:r>
      <w:r w:rsidR="00676B77">
        <w:t>a</w:t>
      </w:r>
      <w:r w:rsidR="004066B3">
        <w:t xml:space="preserve">n average of </w:t>
      </w:r>
      <w:r w:rsidR="00594158">
        <w:t>~700</w:t>
      </w:r>
      <w:r w:rsidR="004066B3">
        <w:t> </w:t>
      </w:r>
      <w:r w:rsidR="009F092A" w:rsidRPr="004F3F0F">
        <w:t>GL</w:t>
      </w:r>
      <w:r w:rsidR="004066B3">
        <w:t>/year</w:t>
      </w:r>
      <w:r w:rsidR="009F092A" w:rsidRPr="004F3F0F">
        <w:t xml:space="preserve"> of</w:t>
      </w:r>
      <w:r w:rsidR="009F092A">
        <w:t xml:space="preserve"> </w:t>
      </w:r>
      <w:r w:rsidR="002C286B">
        <w:t xml:space="preserve">Commonwealth environmental water </w:t>
      </w:r>
      <w:r w:rsidR="003A7A72">
        <w:t>has been</w:t>
      </w:r>
      <w:r w:rsidR="002C286B">
        <w:t xml:space="preserve"> delivered to the L</w:t>
      </w:r>
      <w:r w:rsidR="00676B77">
        <w:t>MR</w:t>
      </w:r>
      <w:r w:rsidR="002C286B">
        <w:t xml:space="preserve">, in conjunction with other environmental flows (i.e. </w:t>
      </w:r>
      <w:r w:rsidR="00E90C66">
        <w:t xml:space="preserve">water from </w:t>
      </w:r>
      <w:r w:rsidR="002C286B">
        <w:t>The Living Murray (TLM) Initiative, Victorian Environmental Water Holder</w:t>
      </w:r>
      <w:r w:rsidR="00676B77">
        <w:t xml:space="preserve">, </w:t>
      </w:r>
      <w:r w:rsidR="00ED2CD6">
        <w:t>River Murray Increased Flows</w:t>
      </w:r>
      <w:r w:rsidR="005B06B4">
        <w:t xml:space="preserve">, and </w:t>
      </w:r>
      <w:r w:rsidR="005B06B4" w:rsidRPr="005B06B4">
        <w:t>New South Wales Department of Planning, Industry and Environment</w:t>
      </w:r>
      <w:r w:rsidR="00ED2CD6">
        <w:t>)</w:t>
      </w:r>
      <w:r w:rsidR="008C269D">
        <w:t xml:space="preserve"> (</w:t>
      </w:r>
      <w:r w:rsidR="002B1C0D">
        <w:fldChar w:fldCharType="begin"/>
      </w:r>
      <w:r w:rsidR="002B1C0D">
        <w:instrText xml:space="preserve"> REF _Ref50048539 \h </w:instrText>
      </w:r>
      <w:r w:rsidR="002B1C0D">
        <w:fldChar w:fldCharType="separate"/>
      </w:r>
      <w:r w:rsidR="006045CA">
        <w:t xml:space="preserve">Table </w:t>
      </w:r>
      <w:r w:rsidR="006045CA">
        <w:rPr>
          <w:noProof/>
        </w:rPr>
        <w:t>1</w:t>
      </w:r>
      <w:r w:rsidR="002B1C0D">
        <w:fldChar w:fldCharType="end"/>
      </w:r>
      <w:r w:rsidR="002B1C0D">
        <w:t xml:space="preserve">; </w:t>
      </w:r>
      <w:r w:rsidR="00AF54C8">
        <w:t xml:space="preserve">Ye </w:t>
      </w:r>
      <w:r w:rsidR="00AF54C8" w:rsidRPr="00E17CBE">
        <w:rPr>
          <w:i/>
        </w:rPr>
        <w:t>et al.</w:t>
      </w:r>
      <w:r w:rsidR="00AF54C8">
        <w:t xml:space="preserve"> 2020</w:t>
      </w:r>
      <w:r w:rsidR="008C269D">
        <w:t>)</w:t>
      </w:r>
      <w:r w:rsidR="003B08B0">
        <w:t>, with</w:t>
      </w:r>
      <w:r w:rsidR="004066B3">
        <w:t xml:space="preserve"> an average of</w:t>
      </w:r>
      <w:r w:rsidR="003B08B0">
        <w:t xml:space="preserve"> </w:t>
      </w:r>
      <w:r w:rsidR="004066B3">
        <w:t>602 </w:t>
      </w:r>
      <w:r w:rsidR="003B08B0">
        <w:t>GL</w:t>
      </w:r>
      <w:r w:rsidR="004066B3">
        <w:t>/year</w:t>
      </w:r>
      <w:r w:rsidR="003B08B0">
        <w:t xml:space="preserve"> of Commonwealth environmental water </w:t>
      </w:r>
      <w:r w:rsidR="00864240">
        <w:t>flowing</w:t>
      </w:r>
      <w:r w:rsidR="003B08B0">
        <w:t xml:space="preserve"> </w:t>
      </w:r>
      <w:r w:rsidR="006539CB">
        <w:t xml:space="preserve">through </w:t>
      </w:r>
      <w:r w:rsidR="003B08B0">
        <w:t xml:space="preserve">the barrages into the Coorong </w:t>
      </w:r>
      <w:r w:rsidR="00E23C17">
        <w:t>(</w:t>
      </w:r>
      <w:r w:rsidR="00E23C17">
        <w:fldChar w:fldCharType="begin"/>
      </w:r>
      <w:r w:rsidR="00E23C17">
        <w:instrText xml:space="preserve"> REF _Ref57211234 \h </w:instrText>
      </w:r>
      <w:r w:rsidR="00E23C17">
        <w:fldChar w:fldCharType="separate"/>
      </w:r>
      <w:r w:rsidR="006045CA" w:rsidRPr="00521E10">
        <w:t xml:space="preserve">Table </w:t>
      </w:r>
      <w:r w:rsidR="006045CA">
        <w:rPr>
          <w:noProof/>
        </w:rPr>
        <w:t>2</w:t>
      </w:r>
      <w:r w:rsidR="00E23C17">
        <w:fldChar w:fldCharType="end"/>
      </w:r>
      <w:r w:rsidR="00E23C17">
        <w:t>)</w:t>
      </w:r>
      <w:r w:rsidR="00A430AA">
        <w:t xml:space="preserve">. </w:t>
      </w:r>
      <w:r w:rsidR="003A7A72">
        <w:t>D</w:t>
      </w:r>
      <w:r w:rsidR="00ED2CD6">
        <w:t>eliveries</w:t>
      </w:r>
      <w:r w:rsidR="003A7A72">
        <w:t xml:space="preserve"> </w:t>
      </w:r>
      <w:r w:rsidR="00F92CF2">
        <w:t xml:space="preserve">to </w:t>
      </w:r>
      <w:r w:rsidR="003A7A72">
        <w:t>the LMR</w:t>
      </w:r>
      <w:r w:rsidR="002C286B">
        <w:t xml:space="preserve"> largely </w:t>
      </w:r>
      <w:r w:rsidR="00ED2CD6">
        <w:t xml:space="preserve">occurred </w:t>
      </w:r>
      <w:r w:rsidR="002C286B">
        <w:t>as return flows</w:t>
      </w:r>
      <w:r w:rsidR="00FA0F53">
        <w:t>, during winter and spring–early summer,</w:t>
      </w:r>
      <w:r w:rsidR="002C286B">
        <w:t xml:space="preserve"> through coordinated watering events across the southern connected Basin to achieve multi-site environmental outcomes. Direct orders of environmental water to the South Australian border also occurred for specific purposes, often during summer</w:t>
      </w:r>
      <w:r w:rsidR="00676B77">
        <w:sym w:font="Symbol" w:char="F02D"/>
      </w:r>
      <w:r w:rsidR="002C286B">
        <w:t xml:space="preserve">autumn, to provide flow for the Lakes and Coorong. </w:t>
      </w:r>
    </w:p>
    <w:p w14:paraId="11F90B7F" w14:textId="77777777" w:rsidR="00857106" w:rsidRDefault="00857106" w:rsidP="00857106">
      <w:pPr>
        <w:pStyle w:val="Caption"/>
      </w:pPr>
      <w:bookmarkStart w:id="42" w:name="_Ref15997729"/>
      <w:bookmarkStart w:id="43" w:name="_Ref27394892"/>
      <w:bookmarkStart w:id="44" w:name="_Ref34296992"/>
      <w:r w:rsidRPr="001056C6">
        <w:rPr>
          <w:noProof/>
          <w:lang w:eastAsia="en-AU"/>
        </w:rPr>
        <w:drawing>
          <wp:inline distT="0" distB="0" distL="0" distR="0" wp14:anchorId="5CF5C999" wp14:editId="1549058E">
            <wp:extent cx="5613991" cy="3265061"/>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cstate="email">
                      <a:extLst>
                        <a:ext uri="{28A0092B-C50C-407E-A947-70E740481C1C}">
                          <a14:useLocalDpi xmlns:a14="http://schemas.microsoft.com/office/drawing/2010/main"/>
                        </a:ext>
                      </a:extLst>
                    </a:blip>
                    <a:srcRect t="2539" r="2040" b="-1"/>
                    <a:stretch/>
                  </pic:blipFill>
                  <pic:spPr bwMode="auto">
                    <a:xfrm>
                      <a:off x="0" y="0"/>
                      <a:ext cx="5614613" cy="3265423"/>
                    </a:xfrm>
                    <a:prstGeom prst="rect">
                      <a:avLst/>
                    </a:prstGeom>
                    <a:noFill/>
                    <a:ln>
                      <a:noFill/>
                    </a:ln>
                    <a:extLst>
                      <a:ext uri="{53640926-AAD7-44D8-BBD7-CCE9431645EC}">
                        <a14:shadowObscured xmlns:a14="http://schemas.microsoft.com/office/drawing/2010/main"/>
                      </a:ext>
                    </a:extLst>
                  </pic:spPr>
                </pic:pic>
              </a:graphicData>
            </a:graphic>
          </wp:inline>
        </w:drawing>
      </w:r>
    </w:p>
    <w:p w14:paraId="1A3ACDCC" w14:textId="54B6F7B2" w:rsidR="00857106" w:rsidRDefault="00857106" w:rsidP="00F8184E">
      <w:pPr>
        <w:pStyle w:val="Captions"/>
      </w:pPr>
      <w:bookmarkStart w:id="45" w:name="_Ref416335393"/>
      <w:bookmarkStart w:id="46" w:name="_Toc442173724"/>
      <w:bookmarkStart w:id="47" w:name="_Toc3558353"/>
      <w:bookmarkStart w:id="48" w:name="_Toc69387668"/>
      <w:r w:rsidRPr="0007443D">
        <w:t xml:space="preserve">Figure </w:t>
      </w:r>
      <w:r>
        <w:rPr>
          <w:noProof/>
        </w:rPr>
        <w:fldChar w:fldCharType="begin"/>
      </w:r>
      <w:r>
        <w:rPr>
          <w:noProof/>
        </w:rPr>
        <w:instrText xml:space="preserve"> SEQ Figure \* ARABIC </w:instrText>
      </w:r>
      <w:r>
        <w:rPr>
          <w:noProof/>
        </w:rPr>
        <w:fldChar w:fldCharType="separate"/>
      </w:r>
      <w:r w:rsidR="00025EB2">
        <w:rPr>
          <w:noProof/>
        </w:rPr>
        <w:t>4</w:t>
      </w:r>
      <w:r>
        <w:rPr>
          <w:noProof/>
        </w:rPr>
        <w:fldChar w:fldCharType="end"/>
      </w:r>
      <w:bookmarkEnd w:id="45"/>
      <w:r w:rsidRPr="0007443D">
        <w:rPr>
          <w:noProof/>
        </w:rPr>
        <w:t>.</w:t>
      </w:r>
      <w:r w:rsidRPr="0007443D">
        <w:t xml:space="preserve"> </w:t>
      </w:r>
      <w:r w:rsidRPr="00952C29">
        <w:t xml:space="preserve">Daily flow (ML/d) in the </w:t>
      </w:r>
      <w:r w:rsidR="00B2342E">
        <w:t>Lower Murray River</w:t>
      </w:r>
      <w:r w:rsidR="008C22A9">
        <w:t xml:space="preserve"> (LMR)</w:t>
      </w:r>
      <w:r w:rsidR="00B2342E">
        <w:t xml:space="preserve"> </w:t>
      </w:r>
      <w:r w:rsidRPr="00952C29">
        <w:t>at the South Australian border (blue solid line) from January 1996 to July 20</w:t>
      </w:r>
      <w:r>
        <w:t>20</w:t>
      </w:r>
      <w:r w:rsidRPr="00952C29">
        <w:t>, compared to</w:t>
      </w:r>
      <w:r w:rsidRPr="0007443D">
        <w:t xml:space="preserve"> modelled flow under natural conditions (grey dashed line). Approximate </w:t>
      </w:r>
      <w:proofErr w:type="spellStart"/>
      <w:r w:rsidRPr="0007443D">
        <w:t>bankfull</w:t>
      </w:r>
      <w:proofErr w:type="spellEnd"/>
      <w:r w:rsidRPr="0007443D">
        <w:t xml:space="preserve"> flow in the main channel of the </w:t>
      </w:r>
      <w:bookmarkEnd w:id="46"/>
      <w:r w:rsidRPr="0007443D">
        <w:t>LMR is shown (black dashed line).</w:t>
      </w:r>
      <w:bookmarkEnd w:id="47"/>
      <w:bookmarkEnd w:id="48"/>
      <w:r w:rsidR="002B1C0D">
        <w:t xml:space="preserve"> </w:t>
      </w:r>
    </w:p>
    <w:p w14:paraId="26A6B019" w14:textId="77777777" w:rsidR="002B1C0D" w:rsidRPr="002B1C0D" w:rsidRDefault="002B1C0D" w:rsidP="002B1C0D">
      <w:pPr>
        <w:rPr>
          <w:lang w:val="en-US"/>
        </w:rPr>
      </w:pPr>
    </w:p>
    <w:p w14:paraId="05B226D0" w14:textId="48B25AFE" w:rsidR="00432774" w:rsidRDefault="00432774" w:rsidP="00F8184E">
      <w:pPr>
        <w:pStyle w:val="Captions"/>
      </w:pPr>
      <w:bookmarkStart w:id="49" w:name="_Ref50048539"/>
      <w:bookmarkStart w:id="50" w:name="_Toc69387730"/>
      <w:r>
        <w:t xml:space="preserve">Table </w:t>
      </w:r>
      <w:r w:rsidR="009008C8">
        <w:rPr>
          <w:noProof/>
        </w:rPr>
        <w:fldChar w:fldCharType="begin"/>
      </w:r>
      <w:r w:rsidR="009008C8">
        <w:rPr>
          <w:noProof/>
        </w:rPr>
        <w:instrText xml:space="preserve"> SEQ Table \* ARABIC </w:instrText>
      </w:r>
      <w:r w:rsidR="009008C8">
        <w:rPr>
          <w:noProof/>
        </w:rPr>
        <w:fldChar w:fldCharType="separate"/>
      </w:r>
      <w:r w:rsidR="00CE5EF5">
        <w:rPr>
          <w:noProof/>
        </w:rPr>
        <w:t>1</w:t>
      </w:r>
      <w:r w:rsidR="009008C8">
        <w:rPr>
          <w:noProof/>
        </w:rPr>
        <w:fldChar w:fldCharType="end"/>
      </w:r>
      <w:bookmarkEnd w:id="42"/>
      <w:bookmarkEnd w:id="43"/>
      <w:bookmarkEnd w:id="44"/>
      <w:bookmarkEnd w:id="49"/>
      <w:r>
        <w:t>.</w:t>
      </w:r>
      <w:r w:rsidRPr="009E24AC">
        <w:t xml:space="preserve"> </w:t>
      </w:r>
      <w:r w:rsidR="0056123D">
        <w:t xml:space="preserve">Total </w:t>
      </w:r>
      <w:r w:rsidRPr="009E24AC">
        <w:t>annual volumes (gigalitres</w:t>
      </w:r>
      <w:r w:rsidR="00660C9B">
        <w:t xml:space="preserve">, </w:t>
      </w:r>
      <w:r w:rsidR="00DA6DA1">
        <w:t>GL</w:t>
      </w:r>
      <w:r w:rsidRPr="009E24AC">
        <w:t>) of environmental water</w:t>
      </w:r>
      <w:r w:rsidR="008C0947">
        <w:t xml:space="preserve"> (eWater)</w:t>
      </w:r>
      <w:r w:rsidRPr="009E24AC">
        <w:t xml:space="preserve">, including Commonwealth environmental water (CEW), delivered to the </w:t>
      </w:r>
      <w:r w:rsidR="00B2342E">
        <w:t>Lower Murray River (</w:t>
      </w:r>
      <w:r w:rsidRPr="009E24AC">
        <w:t>LMR</w:t>
      </w:r>
      <w:r w:rsidR="00B2342E">
        <w:t>)</w:t>
      </w:r>
      <w:r w:rsidR="00A479A4">
        <w:t xml:space="preserve"> channel</w:t>
      </w:r>
      <w:r w:rsidRPr="009E24AC">
        <w:t xml:space="preserve"> (excludes wetland </w:t>
      </w:r>
      <w:r w:rsidR="00E6009A">
        <w:t>use</w:t>
      </w:r>
      <w:r w:rsidR="00DF4EBE">
        <w:t>*</w:t>
      </w:r>
      <w:r w:rsidRPr="009E24AC">
        <w:t>)</w:t>
      </w:r>
      <w:r w:rsidR="00FF6C90">
        <w:t xml:space="preserve"> and the proportion contribution towards total flow to the LMR (QSA)</w:t>
      </w:r>
      <w:r w:rsidRPr="009E24AC">
        <w:t xml:space="preserve">. </w:t>
      </w:r>
      <w:r w:rsidRPr="00542D50">
        <w:t xml:space="preserve">Volumes are </w:t>
      </w:r>
      <w:r w:rsidR="00D330F1" w:rsidRPr="00542D50">
        <w:t>provided by</w:t>
      </w:r>
      <w:r w:rsidRPr="00542D50">
        <w:t xml:space="preserve"> the CEWO</w:t>
      </w:r>
      <w:r w:rsidR="00E6009A">
        <w:t>,</w:t>
      </w:r>
      <w:r w:rsidRPr="009E24AC">
        <w:t xml:space="preserve"> include the environmental components of the South Australian </w:t>
      </w:r>
      <w:proofErr w:type="gramStart"/>
      <w:r w:rsidRPr="009E24AC">
        <w:t>entitlement</w:t>
      </w:r>
      <w:proofErr w:type="gramEnd"/>
      <w:r w:rsidR="00A479A4">
        <w:t xml:space="preserve"> and exclude environmental water delivered from the </w:t>
      </w:r>
      <w:r w:rsidR="00A479A4" w:rsidRPr="00A479A4">
        <w:t>SA Minister for Environment and Water</w:t>
      </w:r>
      <w:r w:rsidR="00A479A4">
        <w:t xml:space="preserve"> and Accolade Wines (predominantly for wetland</w:t>
      </w:r>
      <w:r w:rsidR="007218AC">
        <w:t>s</w:t>
      </w:r>
      <w:r w:rsidR="00A479A4">
        <w:t>)</w:t>
      </w:r>
      <w:r w:rsidRPr="009E24AC">
        <w:t>. TLM = The Living Murray, VEWH = Victorian Environmental Water Holder, RMIF = River Murray Increased Flows</w:t>
      </w:r>
      <w:r w:rsidR="00676B77">
        <w:t xml:space="preserve">, NSW </w:t>
      </w:r>
      <w:r w:rsidR="008A70C9">
        <w:t>DPIE</w:t>
      </w:r>
      <w:r w:rsidR="00676B77">
        <w:t xml:space="preserve"> = New South Wales </w:t>
      </w:r>
      <w:r w:rsidR="008A70C9">
        <w:t>Department of Planning, Industry and Environment</w:t>
      </w:r>
      <w:r w:rsidRPr="009E24AC">
        <w:t>.</w:t>
      </w:r>
      <w:bookmarkEnd w:id="50"/>
    </w:p>
    <w:tbl>
      <w:tblPr>
        <w:tblW w:w="8956" w:type="dxa"/>
        <w:jc w:val="center"/>
        <w:tblLayout w:type="fixed"/>
        <w:tblLook w:val="04A0" w:firstRow="1" w:lastRow="0" w:firstColumn="1" w:lastColumn="0" w:noHBand="0" w:noVBand="1"/>
      </w:tblPr>
      <w:tblGrid>
        <w:gridCol w:w="1474"/>
        <w:gridCol w:w="1247"/>
        <w:gridCol w:w="1247"/>
        <w:gridCol w:w="1247"/>
        <w:gridCol w:w="1247"/>
        <w:gridCol w:w="1247"/>
        <w:gridCol w:w="1247"/>
      </w:tblGrid>
      <w:tr w:rsidR="00694C2C" w:rsidRPr="009E24AC" w14:paraId="1C4C524E" w14:textId="7DC04561" w:rsidTr="00E17CBE">
        <w:trPr>
          <w:trHeight w:val="283"/>
          <w:jc w:val="center"/>
        </w:trPr>
        <w:tc>
          <w:tcPr>
            <w:tcW w:w="1474" w:type="dxa"/>
            <w:tcBorders>
              <w:top w:val="single" w:sz="4" w:space="0" w:color="auto"/>
              <w:bottom w:val="single" w:sz="4" w:space="0" w:color="auto"/>
            </w:tcBorders>
            <w:vAlign w:val="center"/>
          </w:tcPr>
          <w:p w14:paraId="1E879DAE" w14:textId="77777777" w:rsidR="00694C2C" w:rsidRPr="003A6966" w:rsidRDefault="00694C2C" w:rsidP="00A465F5">
            <w:pPr>
              <w:contextualSpacing/>
              <w:jc w:val="left"/>
              <w:rPr>
                <w:sz w:val="20"/>
              </w:rPr>
            </w:pPr>
            <w:r w:rsidRPr="003A6966">
              <w:rPr>
                <w:sz w:val="20"/>
              </w:rPr>
              <w:t>Water year</w:t>
            </w:r>
          </w:p>
        </w:tc>
        <w:tc>
          <w:tcPr>
            <w:tcW w:w="1247" w:type="dxa"/>
            <w:tcBorders>
              <w:top w:val="single" w:sz="4" w:space="0" w:color="auto"/>
              <w:bottom w:val="single" w:sz="4" w:space="0" w:color="auto"/>
            </w:tcBorders>
            <w:vAlign w:val="center"/>
          </w:tcPr>
          <w:p w14:paraId="6B2B234A" w14:textId="77777777" w:rsidR="00694C2C" w:rsidRPr="003A6966" w:rsidRDefault="00694C2C" w:rsidP="00A465F5">
            <w:pPr>
              <w:contextualSpacing/>
              <w:jc w:val="center"/>
              <w:rPr>
                <w:sz w:val="20"/>
              </w:rPr>
            </w:pPr>
            <w:r w:rsidRPr="003A6966">
              <w:rPr>
                <w:sz w:val="20"/>
              </w:rPr>
              <w:t>2014-15</w:t>
            </w:r>
          </w:p>
        </w:tc>
        <w:tc>
          <w:tcPr>
            <w:tcW w:w="1247" w:type="dxa"/>
            <w:tcBorders>
              <w:top w:val="single" w:sz="4" w:space="0" w:color="auto"/>
              <w:bottom w:val="single" w:sz="4" w:space="0" w:color="auto"/>
            </w:tcBorders>
            <w:vAlign w:val="center"/>
          </w:tcPr>
          <w:p w14:paraId="70F5CB4F" w14:textId="77777777" w:rsidR="00694C2C" w:rsidRPr="003A6966" w:rsidRDefault="00694C2C" w:rsidP="00A465F5">
            <w:pPr>
              <w:contextualSpacing/>
              <w:jc w:val="center"/>
              <w:rPr>
                <w:sz w:val="20"/>
              </w:rPr>
            </w:pPr>
            <w:r w:rsidRPr="003A6966">
              <w:rPr>
                <w:sz w:val="20"/>
              </w:rPr>
              <w:t>2015-16</w:t>
            </w:r>
          </w:p>
        </w:tc>
        <w:tc>
          <w:tcPr>
            <w:tcW w:w="1247" w:type="dxa"/>
            <w:tcBorders>
              <w:top w:val="single" w:sz="4" w:space="0" w:color="auto"/>
              <w:bottom w:val="single" w:sz="4" w:space="0" w:color="auto"/>
            </w:tcBorders>
            <w:vAlign w:val="center"/>
          </w:tcPr>
          <w:p w14:paraId="2085989A" w14:textId="77777777" w:rsidR="00694C2C" w:rsidRPr="003A6966" w:rsidRDefault="00694C2C" w:rsidP="00A465F5">
            <w:pPr>
              <w:contextualSpacing/>
              <w:jc w:val="center"/>
              <w:rPr>
                <w:sz w:val="20"/>
              </w:rPr>
            </w:pPr>
            <w:r w:rsidRPr="003A6966">
              <w:rPr>
                <w:sz w:val="20"/>
              </w:rPr>
              <w:t>2016-17</w:t>
            </w:r>
          </w:p>
        </w:tc>
        <w:tc>
          <w:tcPr>
            <w:tcW w:w="1247" w:type="dxa"/>
            <w:tcBorders>
              <w:top w:val="single" w:sz="4" w:space="0" w:color="auto"/>
              <w:bottom w:val="single" w:sz="4" w:space="0" w:color="auto"/>
            </w:tcBorders>
            <w:vAlign w:val="center"/>
          </w:tcPr>
          <w:p w14:paraId="403C0C02" w14:textId="77777777" w:rsidR="00694C2C" w:rsidRPr="003A6966" w:rsidRDefault="00694C2C" w:rsidP="00A465F5">
            <w:pPr>
              <w:contextualSpacing/>
              <w:jc w:val="center"/>
              <w:rPr>
                <w:sz w:val="20"/>
              </w:rPr>
            </w:pPr>
            <w:r w:rsidRPr="003A6966">
              <w:rPr>
                <w:sz w:val="20"/>
              </w:rPr>
              <w:t>2017-18</w:t>
            </w:r>
          </w:p>
        </w:tc>
        <w:tc>
          <w:tcPr>
            <w:tcW w:w="1247" w:type="dxa"/>
            <w:tcBorders>
              <w:top w:val="single" w:sz="4" w:space="0" w:color="auto"/>
              <w:bottom w:val="single" w:sz="4" w:space="0" w:color="auto"/>
            </w:tcBorders>
            <w:vAlign w:val="center"/>
          </w:tcPr>
          <w:p w14:paraId="5AA58E2E" w14:textId="77777777" w:rsidR="00694C2C" w:rsidRPr="003A6966" w:rsidRDefault="00694C2C" w:rsidP="00A465F5">
            <w:pPr>
              <w:contextualSpacing/>
              <w:jc w:val="center"/>
              <w:rPr>
                <w:sz w:val="20"/>
              </w:rPr>
            </w:pPr>
            <w:r w:rsidRPr="003A6966">
              <w:rPr>
                <w:sz w:val="20"/>
              </w:rPr>
              <w:t>2018-19</w:t>
            </w:r>
          </w:p>
        </w:tc>
        <w:tc>
          <w:tcPr>
            <w:tcW w:w="1247" w:type="dxa"/>
            <w:tcBorders>
              <w:top w:val="single" w:sz="4" w:space="0" w:color="auto"/>
              <w:bottom w:val="single" w:sz="4" w:space="0" w:color="auto"/>
            </w:tcBorders>
            <w:vAlign w:val="center"/>
          </w:tcPr>
          <w:p w14:paraId="54328B14" w14:textId="608DE454" w:rsidR="00694C2C" w:rsidRPr="006568D4" w:rsidRDefault="00694C2C" w:rsidP="0044531A">
            <w:pPr>
              <w:contextualSpacing/>
              <w:jc w:val="center"/>
              <w:rPr>
                <w:sz w:val="20"/>
              </w:rPr>
            </w:pPr>
            <w:r w:rsidRPr="006568D4">
              <w:rPr>
                <w:sz w:val="20"/>
              </w:rPr>
              <w:t>2019-20</w:t>
            </w:r>
          </w:p>
        </w:tc>
      </w:tr>
      <w:tr w:rsidR="00694C2C" w:rsidRPr="009E24AC" w14:paraId="1B4DA465" w14:textId="320E6D63" w:rsidTr="00E17CBE">
        <w:trPr>
          <w:trHeight w:val="283"/>
          <w:jc w:val="center"/>
        </w:trPr>
        <w:tc>
          <w:tcPr>
            <w:tcW w:w="1474" w:type="dxa"/>
            <w:tcBorders>
              <w:top w:val="single" w:sz="4" w:space="0" w:color="auto"/>
            </w:tcBorders>
            <w:vAlign w:val="center"/>
          </w:tcPr>
          <w:p w14:paraId="36FE3AC6" w14:textId="77777777" w:rsidR="00694C2C" w:rsidRPr="003A6966" w:rsidRDefault="00694C2C" w:rsidP="00A465F5">
            <w:pPr>
              <w:contextualSpacing/>
              <w:jc w:val="left"/>
              <w:rPr>
                <w:sz w:val="20"/>
              </w:rPr>
            </w:pPr>
            <w:r w:rsidRPr="003A6966">
              <w:rPr>
                <w:sz w:val="20"/>
              </w:rPr>
              <w:t>CEW</w:t>
            </w:r>
          </w:p>
        </w:tc>
        <w:tc>
          <w:tcPr>
            <w:tcW w:w="1247" w:type="dxa"/>
            <w:tcBorders>
              <w:top w:val="single" w:sz="4" w:space="0" w:color="auto"/>
            </w:tcBorders>
            <w:vAlign w:val="center"/>
          </w:tcPr>
          <w:p w14:paraId="66F7F06B" w14:textId="77777777" w:rsidR="00694C2C" w:rsidRPr="003A6966" w:rsidRDefault="00694C2C" w:rsidP="00A465F5">
            <w:pPr>
              <w:contextualSpacing/>
              <w:jc w:val="center"/>
              <w:rPr>
                <w:sz w:val="20"/>
              </w:rPr>
            </w:pPr>
            <w:r w:rsidRPr="003A6966">
              <w:rPr>
                <w:sz w:val="20"/>
              </w:rPr>
              <w:t>581</w:t>
            </w:r>
          </w:p>
        </w:tc>
        <w:tc>
          <w:tcPr>
            <w:tcW w:w="1247" w:type="dxa"/>
            <w:tcBorders>
              <w:top w:val="single" w:sz="4" w:space="0" w:color="auto"/>
            </w:tcBorders>
            <w:vAlign w:val="center"/>
          </w:tcPr>
          <w:p w14:paraId="50CF3540" w14:textId="77777777" w:rsidR="00694C2C" w:rsidRPr="003A6966" w:rsidRDefault="00694C2C" w:rsidP="00A465F5">
            <w:pPr>
              <w:contextualSpacing/>
              <w:jc w:val="center"/>
              <w:rPr>
                <w:sz w:val="20"/>
              </w:rPr>
            </w:pPr>
            <w:r w:rsidRPr="003A6966">
              <w:rPr>
                <w:sz w:val="20"/>
              </w:rPr>
              <w:t>798</w:t>
            </w:r>
          </w:p>
        </w:tc>
        <w:tc>
          <w:tcPr>
            <w:tcW w:w="1247" w:type="dxa"/>
            <w:tcBorders>
              <w:top w:val="single" w:sz="4" w:space="0" w:color="auto"/>
            </w:tcBorders>
            <w:vAlign w:val="center"/>
          </w:tcPr>
          <w:p w14:paraId="383AC62C" w14:textId="77777777" w:rsidR="00694C2C" w:rsidRPr="003A6966" w:rsidRDefault="00694C2C" w:rsidP="00A465F5">
            <w:pPr>
              <w:contextualSpacing/>
              <w:jc w:val="center"/>
              <w:rPr>
                <w:sz w:val="20"/>
              </w:rPr>
            </w:pPr>
            <w:r w:rsidRPr="003A6966">
              <w:rPr>
                <w:sz w:val="20"/>
              </w:rPr>
              <w:t>618</w:t>
            </w:r>
          </w:p>
        </w:tc>
        <w:tc>
          <w:tcPr>
            <w:tcW w:w="1247" w:type="dxa"/>
            <w:tcBorders>
              <w:top w:val="single" w:sz="4" w:space="0" w:color="auto"/>
            </w:tcBorders>
            <w:vAlign w:val="center"/>
          </w:tcPr>
          <w:p w14:paraId="41D14B5E" w14:textId="55DCAE47" w:rsidR="00694C2C" w:rsidRPr="003A6966" w:rsidRDefault="00694C2C" w:rsidP="00A465F5">
            <w:pPr>
              <w:contextualSpacing/>
              <w:jc w:val="center"/>
              <w:rPr>
                <w:sz w:val="20"/>
              </w:rPr>
            </w:pPr>
            <w:r w:rsidRPr="003A6966">
              <w:rPr>
                <w:sz w:val="20"/>
              </w:rPr>
              <w:t>89</w:t>
            </w:r>
            <w:r w:rsidR="00254A8B">
              <w:rPr>
                <w:sz w:val="20"/>
              </w:rPr>
              <w:t>8</w:t>
            </w:r>
          </w:p>
        </w:tc>
        <w:tc>
          <w:tcPr>
            <w:tcW w:w="1247" w:type="dxa"/>
            <w:tcBorders>
              <w:top w:val="single" w:sz="4" w:space="0" w:color="auto"/>
            </w:tcBorders>
            <w:vAlign w:val="center"/>
          </w:tcPr>
          <w:p w14:paraId="154536A2" w14:textId="147EE1BD" w:rsidR="00694C2C" w:rsidRPr="003A6966" w:rsidRDefault="00694C2C" w:rsidP="00A465F5">
            <w:pPr>
              <w:contextualSpacing/>
              <w:jc w:val="center"/>
              <w:rPr>
                <w:sz w:val="20"/>
              </w:rPr>
            </w:pPr>
            <w:r w:rsidRPr="003A6966">
              <w:rPr>
                <w:sz w:val="20"/>
              </w:rPr>
              <w:t>549</w:t>
            </w:r>
          </w:p>
        </w:tc>
        <w:tc>
          <w:tcPr>
            <w:tcW w:w="1247" w:type="dxa"/>
            <w:tcBorders>
              <w:top w:val="single" w:sz="4" w:space="0" w:color="auto"/>
            </w:tcBorders>
          </w:tcPr>
          <w:p w14:paraId="6E8730C0" w14:textId="1DCED1B2" w:rsidR="00694C2C" w:rsidRPr="006568D4" w:rsidRDefault="006568D4" w:rsidP="00A465F5">
            <w:pPr>
              <w:contextualSpacing/>
              <w:jc w:val="center"/>
              <w:rPr>
                <w:sz w:val="20"/>
              </w:rPr>
            </w:pPr>
            <w:r w:rsidRPr="006568D4">
              <w:rPr>
                <w:sz w:val="20"/>
              </w:rPr>
              <w:t>750</w:t>
            </w:r>
          </w:p>
        </w:tc>
      </w:tr>
      <w:tr w:rsidR="00694C2C" w:rsidRPr="009E24AC" w14:paraId="5C397B47" w14:textId="53662205" w:rsidTr="00E17CBE">
        <w:trPr>
          <w:trHeight w:val="283"/>
          <w:jc w:val="center"/>
        </w:trPr>
        <w:tc>
          <w:tcPr>
            <w:tcW w:w="1474" w:type="dxa"/>
            <w:vAlign w:val="center"/>
          </w:tcPr>
          <w:p w14:paraId="0CA86B5F" w14:textId="77777777" w:rsidR="00694C2C" w:rsidRPr="003A6966" w:rsidRDefault="00694C2C" w:rsidP="00A465F5">
            <w:pPr>
              <w:contextualSpacing/>
              <w:jc w:val="left"/>
              <w:rPr>
                <w:sz w:val="20"/>
              </w:rPr>
            </w:pPr>
            <w:r w:rsidRPr="003A6966">
              <w:rPr>
                <w:sz w:val="20"/>
              </w:rPr>
              <w:t>TLM</w:t>
            </w:r>
          </w:p>
        </w:tc>
        <w:tc>
          <w:tcPr>
            <w:tcW w:w="1247" w:type="dxa"/>
            <w:vAlign w:val="center"/>
          </w:tcPr>
          <w:p w14:paraId="0577BEB6" w14:textId="77777777" w:rsidR="00694C2C" w:rsidRPr="003A6966" w:rsidRDefault="00694C2C" w:rsidP="00A465F5">
            <w:pPr>
              <w:contextualSpacing/>
              <w:jc w:val="center"/>
              <w:rPr>
                <w:sz w:val="20"/>
              </w:rPr>
            </w:pPr>
            <w:r w:rsidRPr="003A6966">
              <w:rPr>
                <w:sz w:val="20"/>
              </w:rPr>
              <w:t>107</w:t>
            </w:r>
          </w:p>
        </w:tc>
        <w:tc>
          <w:tcPr>
            <w:tcW w:w="1247" w:type="dxa"/>
            <w:vAlign w:val="center"/>
          </w:tcPr>
          <w:p w14:paraId="5DDC0151" w14:textId="77777777" w:rsidR="00694C2C" w:rsidRPr="003A6966" w:rsidRDefault="00694C2C" w:rsidP="00A465F5">
            <w:pPr>
              <w:contextualSpacing/>
              <w:jc w:val="center"/>
              <w:rPr>
                <w:sz w:val="20"/>
              </w:rPr>
            </w:pPr>
            <w:r w:rsidRPr="003A6966">
              <w:rPr>
                <w:sz w:val="20"/>
              </w:rPr>
              <w:t>101</w:t>
            </w:r>
          </w:p>
        </w:tc>
        <w:tc>
          <w:tcPr>
            <w:tcW w:w="1247" w:type="dxa"/>
            <w:vAlign w:val="center"/>
          </w:tcPr>
          <w:p w14:paraId="5C2B58EA" w14:textId="77777777" w:rsidR="00694C2C" w:rsidRPr="003A6966" w:rsidRDefault="00694C2C" w:rsidP="00A465F5">
            <w:pPr>
              <w:contextualSpacing/>
              <w:jc w:val="center"/>
              <w:rPr>
                <w:sz w:val="20"/>
              </w:rPr>
            </w:pPr>
            <w:r w:rsidRPr="003A6966">
              <w:rPr>
                <w:sz w:val="20"/>
              </w:rPr>
              <w:t>234</w:t>
            </w:r>
          </w:p>
        </w:tc>
        <w:tc>
          <w:tcPr>
            <w:tcW w:w="1247" w:type="dxa"/>
            <w:vAlign w:val="center"/>
          </w:tcPr>
          <w:p w14:paraId="05FEF6B5" w14:textId="77777777" w:rsidR="00694C2C" w:rsidRPr="003A6966" w:rsidRDefault="00694C2C" w:rsidP="00A465F5">
            <w:pPr>
              <w:contextualSpacing/>
              <w:jc w:val="center"/>
              <w:rPr>
                <w:sz w:val="20"/>
              </w:rPr>
            </w:pPr>
            <w:r w:rsidRPr="003A6966">
              <w:rPr>
                <w:sz w:val="20"/>
              </w:rPr>
              <w:t>176</w:t>
            </w:r>
          </w:p>
        </w:tc>
        <w:tc>
          <w:tcPr>
            <w:tcW w:w="1247" w:type="dxa"/>
            <w:vAlign w:val="center"/>
          </w:tcPr>
          <w:p w14:paraId="214B2E3C" w14:textId="0E16C29F" w:rsidR="00694C2C" w:rsidRPr="003A6966" w:rsidRDefault="005364E0" w:rsidP="00A465F5">
            <w:pPr>
              <w:contextualSpacing/>
              <w:jc w:val="center"/>
              <w:rPr>
                <w:sz w:val="20"/>
              </w:rPr>
            </w:pPr>
            <w:r>
              <w:rPr>
                <w:sz w:val="20"/>
              </w:rPr>
              <w:t>96</w:t>
            </w:r>
          </w:p>
        </w:tc>
        <w:tc>
          <w:tcPr>
            <w:tcW w:w="1247" w:type="dxa"/>
          </w:tcPr>
          <w:p w14:paraId="103405CB" w14:textId="3DFBF9A2" w:rsidR="00694C2C" w:rsidRPr="006568D4" w:rsidRDefault="006568D4" w:rsidP="00A465F5">
            <w:pPr>
              <w:contextualSpacing/>
              <w:jc w:val="center"/>
              <w:rPr>
                <w:sz w:val="20"/>
              </w:rPr>
            </w:pPr>
            <w:r w:rsidRPr="006568D4">
              <w:rPr>
                <w:sz w:val="20"/>
              </w:rPr>
              <w:t>68</w:t>
            </w:r>
          </w:p>
        </w:tc>
      </w:tr>
      <w:tr w:rsidR="00694C2C" w:rsidRPr="009E24AC" w14:paraId="6B53ED2F" w14:textId="36CEE668" w:rsidTr="00E17CBE">
        <w:trPr>
          <w:trHeight w:val="283"/>
          <w:jc w:val="center"/>
        </w:trPr>
        <w:tc>
          <w:tcPr>
            <w:tcW w:w="1474" w:type="dxa"/>
            <w:vAlign w:val="center"/>
          </w:tcPr>
          <w:p w14:paraId="243B3793" w14:textId="77777777" w:rsidR="00694C2C" w:rsidRPr="003A6966" w:rsidRDefault="00694C2C" w:rsidP="00A465F5">
            <w:pPr>
              <w:contextualSpacing/>
              <w:jc w:val="left"/>
              <w:rPr>
                <w:sz w:val="20"/>
              </w:rPr>
            </w:pPr>
            <w:r w:rsidRPr="003A6966">
              <w:rPr>
                <w:sz w:val="20"/>
              </w:rPr>
              <w:t>VEWH</w:t>
            </w:r>
          </w:p>
        </w:tc>
        <w:tc>
          <w:tcPr>
            <w:tcW w:w="1247" w:type="dxa"/>
            <w:vAlign w:val="center"/>
          </w:tcPr>
          <w:p w14:paraId="6093C0D4" w14:textId="77777777" w:rsidR="00694C2C" w:rsidRPr="003A6966" w:rsidRDefault="00694C2C" w:rsidP="00A465F5">
            <w:pPr>
              <w:contextualSpacing/>
              <w:jc w:val="center"/>
              <w:rPr>
                <w:sz w:val="20"/>
              </w:rPr>
            </w:pPr>
            <w:r w:rsidRPr="003A6966">
              <w:rPr>
                <w:sz w:val="20"/>
              </w:rPr>
              <w:t>26</w:t>
            </w:r>
          </w:p>
        </w:tc>
        <w:tc>
          <w:tcPr>
            <w:tcW w:w="1247" w:type="dxa"/>
            <w:vAlign w:val="center"/>
          </w:tcPr>
          <w:p w14:paraId="1F596753" w14:textId="77777777" w:rsidR="00694C2C" w:rsidRPr="003A6966" w:rsidRDefault="00694C2C" w:rsidP="00A465F5">
            <w:pPr>
              <w:contextualSpacing/>
              <w:jc w:val="center"/>
              <w:rPr>
                <w:sz w:val="20"/>
              </w:rPr>
            </w:pPr>
            <w:r w:rsidRPr="003A6966">
              <w:rPr>
                <w:sz w:val="20"/>
              </w:rPr>
              <w:t>15</w:t>
            </w:r>
          </w:p>
        </w:tc>
        <w:tc>
          <w:tcPr>
            <w:tcW w:w="1247" w:type="dxa"/>
            <w:vAlign w:val="center"/>
          </w:tcPr>
          <w:p w14:paraId="43DD9A9E" w14:textId="77777777" w:rsidR="00694C2C" w:rsidRPr="003A6966" w:rsidRDefault="00694C2C" w:rsidP="00A465F5">
            <w:pPr>
              <w:contextualSpacing/>
              <w:jc w:val="center"/>
              <w:rPr>
                <w:sz w:val="20"/>
              </w:rPr>
            </w:pPr>
            <w:r w:rsidRPr="003A6966">
              <w:rPr>
                <w:sz w:val="20"/>
              </w:rPr>
              <w:t>43</w:t>
            </w:r>
          </w:p>
        </w:tc>
        <w:tc>
          <w:tcPr>
            <w:tcW w:w="1247" w:type="dxa"/>
            <w:vAlign w:val="center"/>
          </w:tcPr>
          <w:p w14:paraId="27817378" w14:textId="13D472BF" w:rsidR="00694C2C" w:rsidRPr="003A6966" w:rsidRDefault="00694C2C" w:rsidP="00E45B53">
            <w:pPr>
              <w:contextualSpacing/>
              <w:jc w:val="center"/>
              <w:rPr>
                <w:sz w:val="20"/>
              </w:rPr>
            </w:pPr>
            <w:r>
              <w:rPr>
                <w:sz w:val="20"/>
              </w:rPr>
              <w:t>30</w:t>
            </w:r>
          </w:p>
        </w:tc>
        <w:tc>
          <w:tcPr>
            <w:tcW w:w="1247" w:type="dxa"/>
            <w:vAlign w:val="center"/>
          </w:tcPr>
          <w:p w14:paraId="2C3794CB" w14:textId="5125948D" w:rsidR="00694C2C" w:rsidRPr="003A6966" w:rsidRDefault="00694C2C" w:rsidP="00A465F5">
            <w:pPr>
              <w:contextualSpacing/>
              <w:jc w:val="center"/>
              <w:rPr>
                <w:sz w:val="20"/>
              </w:rPr>
            </w:pPr>
            <w:r w:rsidRPr="003A6966">
              <w:rPr>
                <w:sz w:val="20"/>
              </w:rPr>
              <w:t>35</w:t>
            </w:r>
          </w:p>
        </w:tc>
        <w:tc>
          <w:tcPr>
            <w:tcW w:w="1247" w:type="dxa"/>
          </w:tcPr>
          <w:p w14:paraId="3A69FD52" w14:textId="65A554DF" w:rsidR="00694C2C" w:rsidRPr="006568D4" w:rsidRDefault="006568D4" w:rsidP="00A465F5">
            <w:pPr>
              <w:contextualSpacing/>
              <w:jc w:val="center"/>
              <w:rPr>
                <w:sz w:val="20"/>
              </w:rPr>
            </w:pPr>
            <w:r w:rsidRPr="006568D4">
              <w:rPr>
                <w:sz w:val="20"/>
              </w:rPr>
              <w:t>60</w:t>
            </w:r>
          </w:p>
        </w:tc>
      </w:tr>
      <w:tr w:rsidR="00694C2C" w:rsidRPr="009E24AC" w14:paraId="17C63C24" w14:textId="0F280EF4" w:rsidTr="00E17CBE">
        <w:trPr>
          <w:trHeight w:val="283"/>
          <w:jc w:val="center"/>
        </w:trPr>
        <w:tc>
          <w:tcPr>
            <w:tcW w:w="1474" w:type="dxa"/>
            <w:vAlign w:val="center"/>
          </w:tcPr>
          <w:p w14:paraId="0DBF222F" w14:textId="77777777" w:rsidR="00694C2C" w:rsidRPr="003A6966" w:rsidRDefault="00694C2C" w:rsidP="00A465F5">
            <w:pPr>
              <w:contextualSpacing/>
              <w:jc w:val="left"/>
              <w:rPr>
                <w:sz w:val="20"/>
              </w:rPr>
            </w:pPr>
            <w:r w:rsidRPr="003A6966">
              <w:rPr>
                <w:sz w:val="20"/>
              </w:rPr>
              <w:t>RMIF</w:t>
            </w:r>
          </w:p>
        </w:tc>
        <w:tc>
          <w:tcPr>
            <w:tcW w:w="1247" w:type="dxa"/>
            <w:vAlign w:val="center"/>
          </w:tcPr>
          <w:p w14:paraId="5F13FF46" w14:textId="77777777" w:rsidR="00694C2C" w:rsidRPr="003A6966" w:rsidRDefault="00694C2C" w:rsidP="00A465F5">
            <w:pPr>
              <w:contextualSpacing/>
              <w:jc w:val="center"/>
              <w:rPr>
                <w:sz w:val="20"/>
              </w:rPr>
            </w:pPr>
          </w:p>
        </w:tc>
        <w:tc>
          <w:tcPr>
            <w:tcW w:w="1247" w:type="dxa"/>
            <w:vAlign w:val="center"/>
          </w:tcPr>
          <w:p w14:paraId="1D350882" w14:textId="77777777" w:rsidR="00694C2C" w:rsidRPr="003A6966" w:rsidRDefault="00694C2C" w:rsidP="00A465F5">
            <w:pPr>
              <w:contextualSpacing/>
              <w:jc w:val="center"/>
              <w:rPr>
                <w:sz w:val="20"/>
              </w:rPr>
            </w:pPr>
          </w:p>
        </w:tc>
        <w:tc>
          <w:tcPr>
            <w:tcW w:w="1247" w:type="dxa"/>
            <w:vAlign w:val="center"/>
          </w:tcPr>
          <w:p w14:paraId="1694222B" w14:textId="77777777" w:rsidR="00694C2C" w:rsidRPr="003A6966" w:rsidRDefault="00694C2C" w:rsidP="00A465F5">
            <w:pPr>
              <w:contextualSpacing/>
              <w:jc w:val="center"/>
              <w:rPr>
                <w:sz w:val="20"/>
              </w:rPr>
            </w:pPr>
            <w:r w:rsidRPr="003A6966">
              <w:rPr>
                <w:sz w:val="20"/>
              </w:rPr>
              <w:t>100</w:t>
            </w:r>
          </w:p>
        </w:tc>
        <w:tc>
          <w:tcPr>
            <w:tcW w:w="1247" w:type="dxa"/>
            <w:vAlign w:val="center"/>
          </w:tcPr>
          <w:p w14:paraId="4BEF9546" w14:textId="77777777" w:rsidR="00694C2C" w:rsidRPr="003A6966" w:rsidRDefault="00694C2C" w:rsidP="00A465F5">
            <w:pPr>
              <w:contextualSpacing/>
              <w:jc w:val="center"/>
              <w:rPr>
                <w:sz w:val="20"/>
              </w:rPr>
            </w:pPr>
            <w:r w:rsidRPr="003A6966">
              <w:rPr>
                <w:sz w:val="20"/>
              </w:rPr>
              <w:t>53</w:t>
            </w:r>
          </w:p>
        </w:tc>
        <w:tc>
          <w:tcPr>
            <w:tcW w:w="1247" w:type="dxa"/>
            <w:vAlign w:val="center"/>
          </w:tcPr>
          <w:p w14:paraId="413E8D79" w14:textId="7BB9ABF5" w:rsidR="00694C2C" w:rsidRPr="003A6966" w:rsidRDefault="00694C2C" w:rsidP="00A465F5">
            <w:pPr>
              <w:contextualSpacing/>
              <w:jc w:val="center"/>
              <w:rPr>
                <w:sz w:val="20"/>
              </w:rPr>
            </w:pPr>
            <w:r w:rsidRPr="003A6966">
              <w:rPr>
                <w:sz w:val="20"/>
              </w:rPr>
              <w:t>111</w:t>
            </w:r>
          </w:p>
        </w:tc>
        <w:tc>
          <w:tcPr>
            <w:tcW w:w="1247" w:type="dxa"/>
          </w:tcPr>
          <w:p w14:paraId="0ED26A28" w14:textId="72D6CFA1" w:rsidR="00694C2C" w:rsidRPr="006568D4" w:rsidRDefault="006568D4" w:rsidP="00A465F5">
            <w:pPr>
              <w:contextualSpacing/>
              <w:jc w:val="center"/>
              <w:rPr>
                <w:sz w:val="20"/>
              </w:rPr>
            </w:pPr>
            <w:r w:rsidRPr="006568D4">
              <w:rPr>
                <w:sz w:val="20"/>
              </w:rPr>
              <w:t>52</w:t>
            </w:r>
          </w:p>
        </w:tc>
      </w:tr>
      <w:tr w:rsidR="00694C2C" w:rsidRPr="009E24AC" w14:paraId="36BD0FFC" w14:textId="393F26E5" w:rsidTr="00E17CBE">
        <w:trPr>
          <w:trHeight w:val="283"/>
          <w:jc w:val="center"/>
        </w:trPr>
        <w:tc>
          <w:tcPr>
            <w:tcW w:w="1474" w:type="dxa"/>
            <w:vAlign w:val="center"/>
          </w:tcPr>
          <w:p w14:paraId="2AFDFB1C" w14:textId="1DCC88CA" w:rsidR="00694C2C" w:rsidRPr="003A6966" w:rsidRDefault="00694C2C" w:rsidP="008A70C9">
            <w:pPr>
              <w:contextualSpacing/>
              <w:jc w:val="left"/>
              <w:rPr>
                <w:sz w:val="20"/>
              </w:rPr>
            </w:pPr>
            <w:r w:rsidRPr="003A6966">
              <w:rPr>
                <w:sz w:val="20"/>
              </w:rPr>
              <w:t xml:space="preserve">NSW </w:t>
            </w:r>
            <w:r>
              <w:rPr>
                <w:sz w:val="20"/>
              </w:rPr>
              <w:t>DPIE</w:t>
            </w:r>
          </w:p>
        </w:tc>
        <w:tc>
          <w:tcPr>
            <w:tcW w:w="1247" w:type="dxa"/>
            <w:vAlign w:val="center"/>
          </w:tcPr>
          <w:p w14:paraId="54740283" w14:textId="77777777" w:rsidR="00694C2C" w:rsidRPr="003A6966" w:rsidRDefault="00694C2C" w:rsidP="00A465F5">
            <w:pPr>
              <w:contextualSpacing/>
              <w:jc w:val="center"/>
              <w:rPr>
                <w:sz w:val="20"/>
              </w:rPr>
            </w:pPr>
          </w:p>
        </w:tc>
        <w:tc>
          <w:tcPr>
            <w:tcW w:w="1247" w:type="dxa"/>
            <w:vAlign w:val="center"/>
          </w:tcPr>
          <w:p w14:paraId="01913309" w14:textId="77777777" w:rsidR="00694C2C" w:rsidRPr="003A6966" w:rsidRDefault="00694C2C" w:rsidP="00A465F5">
            <w:pPr>
              <w:contextualSpacing/>
              <w:jc w:val="center"/>
              <w:rPr>
                <w:sz w:val="20"/>
              </w:rPr>
            </w:pPr>
          </w:p>
        </w:tc>
        <w:tc>
          <w:tcPr>
            <w:tcW w:w="1247" w:type="dxa"/>
            <w:vAlign w:val="center"/>
          </w:tcPr>
          <w:p w14:paraId="3A5F92C6" w14:textId="77777777" w:rsidR="00694C2C" w:rsidRPr="003A6966" w:rsidRDefault="00694C2C" w:rsidP="00A465F5">
            <w:pPr>
              <w:contextualSpacing/>
              <w:jc w:val="center"/>
              <w:rPr>
                <w:sz w:val="20"/>
              </w:rPr>
            </w:pPr>
          </w:p>
        </w:tc>
        <w:tc>
          <w:tcPr>
            <w:tcW w:w="1247" w:type="dxa"/>
            <w:vAlign w:val="center"/>
          </w:tcPr>
          <w:p w14:paraId="7F8E79BD" w14:textId="77777777" w:rsidR="00694C2C" w:rsidRPr="003A6966" w:rsidRDefault="00694C2C" w:rsidP="00A465F5">
            <w:pPr>
              <w:contextualSpacing/>
              <w:jc w:val="center"/>
              <w:rPr>
                <w:sz w:val="20"/>
              </w:rPr>
            </w:pPr>
            <w:r w:rsidRPr="003A6966">
              <w:rPr>
                <w:sz w:val="20"/>
              </w:rPr>
              <w:t>9</w:t>
            </w:r>
          </w:p>
        </w:tc>
        <w:tc>
          <w:tcPr>
            <w:tcW w:w="1247" w:type="dxa"/>
            <w:vAlign w:val="center"/>
          </w:tcPr>
          <w:p w14:paraId="17E13BBA" w14:textId="77777777" w:rsidR="00694C2C" w:rsidRPr="003A6966" w:rsidRDefault="00694C2C" w:rsidP="00A465F5">
            <w:pPr>
              <w:contextualSpacing/>
              <w:jc w:val="center"/>
              <w:rPr>
                <w:sz w:val="20"/>
              </w:rPr>
            </w:pPr>
          </w:p>
        </w:tc>
        <w:tc>
          <w:tcPr>
            <w:tcW w:w="1247" w:type="dxa"/>
          </w:tcPr>
          <w:p w14:paraId="46C3F908" w14:textId="77777777" w:rsidR="00694C2C" w:rsidRPr="006568D4" w:rsidRDefault="00694C2C" w:rsidP="00A465F5">
            <w:pPr>
              <w:contextualSpacing/>
              <w:jc w:val="center"/>
              <w:rPr>
                <w:sz w:val="20"/>
              </w:rPr>
            </w:pPr>
          </w:p>
        </w:tc>
      </w:tr>
      <w:tr w:rsidR="00694C2C" w:rsidRPr="009E24AC" w14:paraId="7F8930E6" w14:textId="67357993" w:rsidTr="00E17CBE">
        <w:trPr>
          <w:trHeight w:val="283"/>
          <w:jc w:val="center"/>
        </w:trPr>
        <w:tc>
          <w:tcPr>
            <w:tcW w:w="1474" w:type="dxa"/>
            <w:tcBorders>
              <w:bottom w:val="single" w:sz="4" w:space="0" w:color="auto"/>
            </w:tcBorders>
            <w:vAlign w:val="center"/>
          </w:tcPr>
          <w:p w14:paraId="0E1AFFFB" w14:textId="61C4F3C3" w:rsidR="00694C2C" w:rsidRPr="003A6966" w:rsidRDefault="00694C2C" w:rsidP="00A465F5">
            <w:pPr>
              <w:contextualSpacing/>
              <w:jc w:val="left"/>
              <w:rPr>
                <w:sz w:val="20"/>
              </w:rPr>
            </w:pPr>
            <w:r w:rsidRPr="003A6966">
              <w:rPr>
                <w:sz w:val="20"/>
              </w:rPr>
              <w:t>Total</w:t>
            </w:r>
            <w:r>
              <w:rPr>
                <w:sz w:val="20"/>
              </w:rPr>
              <w:t xml:space="preserve"> eWater</w:t>
            </w:r>
          </w:p>
        </w:tc>
        <w:tc>
          <w:tcPr>
            <w:tcW w:w="1247" w:type="dxa"/>
            <w:tcBorders>
              <w:bottom w:val="single" w:sz="4" w:space="0" w:color="auto"/>
            </w:tcBorders>
            <w:vAlign w:val="center"/>
          </w:tcPr>
          <w:p w14:paraId="624C46B6" w14:textId="2C4DDB8E" w:rsidR="00694C2C" w:rsidRPr="003A6966" w:rsidRDefault="00694C2C" w:rsidP="00E02136">
            <w:pPr>
              <w:contextualSpacing/>
              <w:jc w:val="center"/>
              <w:rPr>
                <w:sz w:val="20"/>
              </w:rPr>
            </w:pPr>
            <w:r w:rsidRPr="003A6966">
              <w:rPr>
                <w:sz w:val="20"/>
              </w:rPr>
              <w:t>714</w:t>
            </w:r>
            <w:r w:rsidR="00E02136">
              <w:rPr>
                <w:sz w:val="20"/>
              </w:rPr>
              <w:t xml:space="preserve"> </w:t>
            </w:r>
            <w:r>
              <w:rPr>
                <w:sz w:val="20"/>
              </w:rPr>
              <w:t>(25%)</w:t>
            </w:r>
          </w:p>
        </w:tc>
        <w:tc>
          <w:tcPr>
            <w:tcW w:w="1247" w:type="dxa"/>
            <w:tcBorders>
              <w:bottom w:val="single" w:sz="4" w:space="0" w:color="auto"/>
            </w:tcBorders>
            <w:vAlign w:val="center"/>
          </w:tcPr>
          <w:p w14:paraId="23419826" w14:textId="6DAE36B7" w:rsidR="00694C2C" w:rsidRPr="003A6966" w:rsidRDefault="00694C2C" w:rsidP="00A465F5">
            <w:pPr>
              <w:contextualSpacing/>
              <w:jc w:val="center"/>
              <w:rPr>
                <w:sz w:val="20"/>
              </w:rPr>
            </w:pPr>
            <w:r w:rsidRPr="003A6966">
              <w:rPr>
                <w:sz w:val="20"/>
              </w:rPr>
              <w:t>914</w:t>
            </w:r>
            <w:r w:rsidR="00E02136">
              <w:rPr>
                <w:sz w:val="20"/>
              </w:rPr>
              <w:t xml:space="preserve"> </w:t>
            </w:r>
            <w:r>
              <w:rPr>
                <w:sz w:val="20"/>
              </w:rPr>
              <w:t>(37%)</w:t>
            </w:r>
          </w:p>
        </w:tc>
        <w:tc>
          <w:tcPr>
            <w:tcW w:w="1247" w:type="dxa"/>
            <w:tcBorders>
              <w:bottom w:val="single" w:sz="4" w:space="0" w:color="auto"/>
            </w:tcBorders>
            <w:vAlign w:val="center"/>
          </w:tcPr>
          <w:p w14:paraId="2676B017" w14:textId="1A3505A9" w:rsidR="00694C2C" w:rsidRPr="003A6966" w:rsidRDefault="00694C2C" w:rsidP="00A465F5">
            <w:pPr>
              <w:contextualSpacing/>
              <w:jc w:val="center"/>
              <w:rPr>
                <w:sz w:val="20"/>
              </w:rPr>
            </w:pPr>
            <w:r w:rsidRPr="003A6966">
              <w:rPr>
                <w:sz w:val="20"/>
              </w:rPr>
              <w:t>99</w:t>
            </w:r>
            <w:r w:rsidR="000441A6">
              <w:rPr>
                <w:sz w:val="20"/>
              </w:rPr>
              <w:t>6</w:t>
            </w:r>
            <w:r w:rsidR="00E02136">
              <w:rPr>
                <w:sz w:val="20"/>
              </w:rPr>
              <w:t xml:space="preserve"> </w:t>
            </w:r>
            <w:r>
              <w:rPr>
                <w:sz w:val="20"/>
              </w:rPr>
              <w:t>(11%)</w:t>
            </w:r>
          </w:p>
        </w:tc>
        <w:tc>
          <w:tcPr>
            <w:tcW w:w="1247" w:type="dxa"/>
            <w:tcBorders>
              <w:bottom w:val="single" w:sz="4" w:space="0" w:color="auto"/>
            </w:tcBorders>
            <w:vAlign w:val="center"/>
          </w:tcPr>
          <w:p w14:paraId="324E245E" w14:textId="7F26EB33" w:rsidR="00694C2C" w:rsidRPr="003A6966" w:rsidRDefault="00694C2C" w:rsidP="00A465F5">
            <w:pPr>
              <w:contextualSpacing/>
              <w:jc w:val="center"/>
              <w:rPr>
                <w:sz w:val="20"/>
              </w:rPr>
            </w:pPr>
            <w:r w:rsidRPr="003A6966">
              <w:rPr>
                <w:sz w:val="20"/>
              </w:rPr>
              <w:t>116</w:t>
            </w:r>
            <w:r w:rsidR="00254A8B">
              <w:rPr>
                <w:sz w:val="20"/>
              </w:rPr>
              <w:t>7</w:t>
            </w:r>
            <w:r w:rsidR="00E02136">
              <w:rPr>
                <w:sz w:val="20"/>
              </w:rPr>
              <w:t xml:space="preserve"> </w:t>
            </w:r>
            <w:r>
              <w:rPr>
                <w:sz w:val="20"/>
              </w:rPr>
              <w:t>(43%)</w:t>
            </w:r>
          </w:p>
        </w:tc>
        <w:tc>
          <w:tcPr>
            <w:tcW w:w="1247" w:type="dxa"/>
            <w:tcBorders>
              <w:bottom w:val="single" w:sz="4" w:space="0" w:color="auto"/>
            </w:tcBorders>
            <w:vAlign w:val="center"/>
          </w:tcPr>
          <w:p w14:paraId="7AD604F5" w14:textId="660B65C1" w:rsidR="00694C2C" w:rsidRPr="003A6966" w:rsidRDefault="00694C2C" w:rsidP="00A465F5">
            <w:pPr>
              <w:contextualSpacing/>
              <w:jc w:val="center"/>
              <w:rPr>
                <w:sz w:val="20"/>
              </w:rPr>
            </w:pPr>
            <w:r w:rsidRPr="003A6966">
              <w:rPr>
                <w:sz w:val="20"/>
              </w:rPr>
              <w:t>7</w:t>
            </w:r>
            <w:r w:rsidR="000441A6">
              <w:rPr>
                <w:sz w:val="20"/>
              </w:rPr>
              <w:t>91</w:t>
            </w:r>
            <w:r w:rsidR="00E02136">
              <w:rPr>
                <w:sz w:val="20"/>
              </w:rPr>
              <w:t xml:space="preserve"> </w:t>
            </w:r>
            <w:r>
              <w:rPr>
                <w:sz w:val="20"/>
              </w:rPr>
              <w:t>(3</w:t>
            </w:r>
            <w:r w:rsidR="00D15B9E">
              <w:rPr>
                <w:sz w:val="20"/>
              </w:rPr>
              <w:t>2</w:t>
            </w:r>
            <w:r>
              <w:rPr>
                <w:sz w:val="20"/>
              </w:rPr>
              <w:t>%)</w:t>
            </w:r>
          </w:p>
        </w:tc>
        <w:tc>
          <w:tcPr>
            <w:tcW w:w="1247" w:type="dxa"/>
            <w:tcBorders>
              <w:bottom w:val="single" w:sz="4" w:space="0" w:color="auto"/>
            </w:tcBorders>
          </w:tcPr>
          <w:p w14:paraId="0985FC29" w14:textId="727AA388" w:rsidR="00694C2C" w:rsidRPr="006568D4" w:rsidRDefault="00517FD6" w:rsidP="00E02136">
            <w:pPr>
              <w:contextualSpacing/>
              <w:jc w:val="center"/>
              <w:rPr>
                <w:sz w:val="20"/>
              </w:rPr>
            </w:pPr>
            <w:r w:rsidRPr="006568D4">
              <w:rPr>
                <w:sz w:val="20"/>
              </w:rPr>
              <w:t>9</w:t>
            </w:r>
            <w:r w:rsidR="000B7E44">
              <w:rPr>
                <w:sz w:val="20"/>
              </w:rPr>
              <w:t>31</w:t>
            </w:r>
            <w:r w:rsidRPr="006568D4">
              <w:rPr>
                <w:sz w:val="20"/>
              </w:rPr>
              <w:t xml:space="preserve"> (39%)</w:t>
            </w:r>
          </w:p>
        </w:tc>
      </w:tr>
    </w:tbl>
    <w:p w14:paraId="24C7B6F4" w14:textId="761F1859" w:rsidR="009F092A" w:rsidRPr="00DF4EBE" w:rsidRDefault="00DF4EBE" w:rsidP="009F092A">
      <w:pPr>
        <w:rPr>
          <w:sz w:val="18"/>
          <w:szCs w:val="16"/>
        </w:rPr>
      </w:pPr>
      <w:r w:rsidRPr="00DF4EBE">
        <w:rPr>
          <w:sz w:val="18"/>
          <w:szCs w:val="16"/>
        </w:rPr>
        <w:t xml:space="preserve">* </w:t>
      </w:r>
      <w:r w:rsidR="00A479A4">
        <w:rPr>
          <w:sz w:val="18"/>
          <w:szCs w:val="16"/>
        </w:rPr>
        <w:t xml:space="preserve">A total of </w:t>
      </w:r>
      <w:r w:rsidRPr="00DF4EBE">
        <w:rPr>
          <w:sz w:val="18"/>
          <w:szCs w:val="16"/>
        </w:rPr>
        <w:t>9.7 GL of</w:t>
      </w:r>
      <w:r w:rsidR="00B314D5">
        <w:rPr>
          <w:sz w:val="18"/>
          <w:szCs w:val="16"/>
        </w:rPr>
        <w:t xml:space="preserve"> CEW</w:t>
      </w:r>
      <w:r w:rsidRPr="00DF4EBE">
        <w:rPr>
          <w:sz w:val="18"/>
          <w:szCs w:val="16"/>
        </w:rPr>
        <w:t xml:space="preserve"> was </w:t>
      </w:r>
      <w:r w:rsidR="00B314D5">
        <w:rPr>
          <w:sz w:val="18"/>
          <w:szCs w:val="16"/>
        </w:rPr>
        <w:t>also delivered</w:t>
      </w:r>
      <w:r w:rsidRPr="00DF4EBE">
        <w:rPr>
          <w:sz w:val="18"/>
          <w:szCs w:val="16"/>
        </w:rPr>
        <w:t xml:space="preserve"> for wetland watering in 2019-20</w:t>
      </w:r>
      <w:r>
        <w:rPr>
          <w:sz w:val="18"/>
          <w:szCs w:val="16"/>
        </w:rPr>
        <w:t>.</w:t>
      </w:r>
    </w:p>
    <w:p w14:paraId="6194048A" w14:textId="77777777" w:rsidR="00F46757" w:rsidRDefault="00F46757">
      <w:pPr>
        <w:spacing w:before="0" w:after="160" w:line="259" w:lineRule="auto"/>
        <w:jc w:val="left"/>
        <w:rPr>
          <w:b/>
          <w:bCs/>
          <w:color w:val="auto"/>
          <w:sz w:val="20"/>
          <w:szCs w:val="18"/>
        </w:rPr>
      </w:pPr>
      <w:bookmarkStart w:id="51" w:name="_Ref30779384"/>
      <w:r>
        <w:br w:type="page"/>
      </w:r>
    </w:p>
    <w:p w14:paraId="1BFED295" w14:textId="621754F6" w:rsidR="002E40C5" w:rsidRDefault="002E40C5" w:rsidP="002E40C5">
      <w:pPr>
        <w:pStyle w:val="Caption"/>
      </w:pPr>
      <w:bookmarkStart w:id="52" w:name="_Ref57211234"/>
      <w:bookmarkStart w:id="53" w:name="_Toc69387731"/>
      <w:r w:rsidRPr="00521E10">
        <w:t xml:space="preserve">Table </w:t>
      </w:r>
      <w:r w:rsidRPr="00521E10">
        <w:rPr>
          <w:noProof/>
        </w:rPr>
        <w:fldChar w:fldCharType="begin"/>
      </w:r>
      <w:r w:rsidRPr="00521E10">
        <w:rPr>
          <w:noProof/>
        </w:rPr>
        <w:instrText xml:space="preserve"> SEQ Table \* ARABIC </w:instrText>
      </w:r>
      <w:r w:rsidRPr="00521E10">
        <w:rPr>
          <w:noProof/>
        </w:rPr>
        <w:fldChar w:fldCharType="separate"/>
      </w:r>
      <w:r w:rsidR="00CE5EF5">
        <w:rPr>
          <w:noProof/>
        </w:rPr>
        <w:t>2</w:t>
      </w:r>
      <w:r w:rsidRPr="00521E10">
        <w:rPr>
          <w:noProof/>
        </w:rPr>
        <w:fldChar w:fldCharType="end"/>
      </w:r>
      <w:bookmarkEnd w:id="51"/>
      <w:bookmarkEnd w:id="52"/>
      <w:r w:rsidRPr="00521E10">
        <w:t>. Annual flow over the Murray barrages (total volume, GL) from 2014</w:t>
      </w:r>
      <w:r w:rsidR="00B2342E">
        <w:t>-15 to 2019-</w:t>
      </w:r>
      <w:r w:rsidRPr="00521E10">
        <w:t>20</w:t>
      </w:r>
      <w:r w:rsidR="001056C6">
        <w:t>20</w:t>
      </w:r>
      <w:r>
        <w:t xml:space="preserve">, showing contribution by Commonwealth environmental water (CEW). </w:t>
      </w:r>
      <w:r w:rsidR="009A6818">
        <w:t>CEW and total flow volumes are based on S</w:t>
      </w:r>
      <w:r w:rsidR="00DD4808">
        <w:t xml:space="preserve">outh </w:t>
      </w:r>
      <w:r w:rsidR="009A6818">
        <w:t>A</w:t>
      </w:r>
      <w:r w:rsidR="00DD4808">
        <w:t>ustralian</w:t>
      </w:r>
      <w:r w:rsidR="009A6818">
        <w:t xml:space="preserve"> barrage dashboard accounting data</w:t>
      </w:r>
      <w:r>
        <w:t>.</w:t>
      </w:r>
      <w:r w:rsidR="00BF2504">
        <w:t xml:space="preserve"> </w:t>
      </w:r>
      <w:r w:rsidR="005B6C4B">
        <w:t>Matter transport r</w:t>
      </w:r>
      <w:r w:rsidR="00F30A23">
        <w:t>esults</w:t>
      </w:r>
      <w:r w:rsidR="00BF2504">
        <w:t xml:space="preserve"> in Section </w:t>
      </w:r>
      <w:r w:rsidR="00BF2504">
        <w:fldChar w:fldCharType="begin"/>
      </w:r>
      <w:r w:rsidR="00BF2504">
        <w:instrText xml:space="preserve"> REF _Ref35855504 \r \h </w:instrText>
      </w:r>
      <w:r w:rsidR="00BF2504">
        <w:fldChar w:fldCharType="separate"/>
      </w:r>
      <w:r w:rsidR="00241910">
        <w:t>2.3</w:t>
      </w:r>
      <w:r w:rsidR="00BF2504">
        <w:fldChar w:fldCharType="end"/>
      </w:r>
      <w:r w:rsidR="00B2342E">
        <w:t>.1</w:t>
      </w:r>
      <w:r w:rsidR="00F30A23">
        <w:t xml:space="preserve"> are</w:t>
      </w:r>
      <w:r w:rsidR="00BF2504">
        <w:t xml:space="preserve"> based on </w:t>
      </w:r>
      <w:r w:rsidR="00F30A23">
        <w:t>different model</w:t>
      </w:r>
      <w:r w:rsidR="009108F6">
        <w:t xml:space="preserve">led </w:t>
      </w:r>
      <w:proofErr w:type="gramStart"/>
      <w:r w:rsidR="005F1566">
        <w:t>data,</w:t>
      </w:r>
      <w:r w:rsidR="00F30A23">
        <w:t xml:space="preserve"> </w:t>
      </w:r>
      <w:r w:rsidR="00BF2504">
        <w:t>and</w:t>
      </w:r>
      <w:proofErr w:type="gramEnd"/>
      <w:r w:rsidR="00BF2504">
        <w:t xml:space="preserve"> may not </w:t>
      </w:r>
      <w:r w:rsidR="00F30A23">
        <w:t>necessarily reflect the accounted data presented here.</w:t>
      </w:r>
      <w:bookmarkEnd w:id="53"/>
      <w:r w:rsidR="00F30A23">
        <w:t xml:space="preserve"> </w:t>
      </w:r>
    </w:p>
    <w:tbl>
      <w:tblPr>
        <w:tblW w:w="0" w:type="auto"/>
        <w:jc w:val="center"/>
        <w:tblLook w:val="04A0" w:firstRow="1" w:lastRow="0" w:firstColumn="1" w:lastColumn="0" w:noHBand="0" w:noVBand="1"/>
      </w:tblPr>
      <w:tblGrid>
        <w:gridCol w:w="1418"/>
        <w:gridCol w:w="1369"/>
        <w:gridCol w:w="1134"/>
        <w:gridCol w:w="1134"/>
        <w:gridCol w:w="1134"/>
        <w:gridCol w:w="1134"/>
        <w:gridCol w:w="1134"/>
      </w:tblGrid>
      <w:tr w:rsidR="0044531A" w:rsidRPr="005135BF" w14:paraId="1E49FB95" w14:textId="15A5534B" w:rsidTr="003B08B0">
        <w:trPr>
          <w:trHeight w:val="283"/>
          <w:jc w:val="center"/>
        </w:trPr>
        <w:tc>
          <w:tcPr>
            <w:tcW w:w="1418" w:type="dxa"/>
            <w:tcBorders>
              <w:top w:val="single" w:sz="4" w:space="0" w:color="auto"/>
              <w:bottom w:val="single" w:sz="4" w:space="0" w:color="auto"/>
            </w:tcBorders>
            <w:vAlign w:val="bottom"/>
          </w:tcPr>
          <w:p w14:paraId="77078219" w14:textId="77777777" w:rsidR="0044531A" w:rsidRPr="005135BF" w:rsidRDefault="0044531A" w:rsidP="00CA55E8">
            <w:pPr>
              <w:contextualSpacing/>
              <w:jc w:val="left"/>
              <w:rPr>
                <w:sz w:val="20"/>
              </w:rPr>
            </w:pPr>
            <w:r w:rsidRPr="005135BF">
              <w:rPr>
                <w:sz w:val="20"/>
              </w:rPr>
              <w:t>Water year</w:t>
            </w:r>
          </w:p>
        </w:tc>
        <w:tc>
          <w:tcPr>
            <w:tcW w:w="1369" w:type="dxa"/>
            <w:tcBorders>
              <w:top w:val="single" w:sz="4" w:space="0" w:color="auto"/>
              <w:bottom w:val="single" w:sz="4" w:space="0" w:color="auto"/>
            </w:tcBorders>
            <w:vAlign w:val="bottom"/>
          </w:tcPr>
          <w:p w14:paraId="7616F28A" w14:textId="77777777" w:rsidR="0044531A" w:rsidRPr="005135BF" w:rsidRDefault="0044531A" w:rsidP="00CA55E8">
            <w:pPr>
              <w:contextualSpacing/>
              <w:jc w:val="center"/>
              <w:rPr>
                <w:sz w:val="20"/>
              </w:rPr>
            </w:pPr>
            <w:r w:rsidRPr="005135BF">
              <w:rPr>
                <w:sz w:val="20"/>
              </w:rPr>
              <w:t>2014-15</w:t>
            </w:r>
          </w:p>
        </w:tc>
        <w:tc>
          <w:tcPr>
            <w:tcW w:w="1134" w:type="dxa"/>
            <w:tcBorders>
              <w:top w:val="single" w:sz="4" w:space="0" w:color="auto"/>
              <w:bottom w:val="single" w:sz="4" w:space="0" w:color="auto"/>
            </w:tcBorders>
            <w:vAlign w:val="bottom"/>
          </w:tcPr>
          <w:p w14:paraId="696382E7" w14:textId="77777777" w:rsidR="0044531A" w:rsidRPr="005135BF" w:rsidRDefault="0044531A" w:rsidP="00CA55E8">
            <w:pPr>
              <w:contextualSpacing/>
              <w:jc w:val="center"/>
              <w:rPr>
                <w:sz w:val="20"/>
              </w:rPr>
            </w:pPr>
            <w:r w:rsidRPr="005135BF">
              <w:rPr>
                <w:sz w:val="20"/>
              </w:rPr>
              <w:t>2015-16</w:t>
            </w:r>
          </w:p>
        </w:tc>
        <w:tc>
          <w:tcPr>
            <w:tcW w:w="1134" w:type="dxa"/>
            <w:tcBorders>
              <w:top w:val="single" w:sz="4" w:space="0" w:color="auto"/>
              <w:bottom w:val="single" w:sz="4" w:space="0" w:color="auto"/>
            </w:tcBorders>
            <w:vAlign w:val="bottom"/>
          </w:tcPr>
          <w:p w14:paraId="29A1D1FA" w14:textId="77777777" w:rsidR="0044531A" w:rsidRPr="005135BF" w:rsidRDefault="0044531A" w:rsidP="00CA55E8">
            <w:pPr>
              <w:contextualSpacing/>
              <w:jc w:val="center"/>
              <w:rPr>
                <w:sz w:val="20"/>
              </w:rPr>
            </w:pPr>
            <w:r w:rsidRPr="005135BF">
              <w:rPr>
                <w:sz w:val="20"/>
              </w:rPr>
              <w:t>2016-17</w:t>
            </w:r>
          </w:p>
        </w:tc>
        <w:tc>
          <w:tcPr>
            <w:tcW w:w="1134" w:type="dxa"/>
            <w:tcBorders>
              <w:top w:val="single" w:sz="4" w:space="0" w:color="auto"/>
              <w:bottom w:val="single" w:sz="4" w:space="0" w:color="auto"/>
            </w:tcBorders>
            <w:vAlign w:val="bottom"/>
          </w:tcPr>
          <w:p w14:paraId="4001398A" w14:textId="77777777" w:rsidR="0044531A" w:rsidRPr="005135BF" w:rsidRDefault="0044531A" w:rsidP="00CA55E8">
            <w:pPr>
              <w:contextualSpacing/>
              <w:jc w:val="center"/>
              <w:rPr>
                <w:sz w:val="20"/>
              </w:rPr>
            </w:pPr>
            <w:r w:rsidRPr="005135BF">
              <w:rPr>
                <w:sz w:val="20"/>
              </w:rPr>
              <w:t>2017-18</w:t>
            </w:r>
          </w:p>
        </w:tc>
        <w:tc>
          <w:tcPr>
            <w:tcW w:w="1134" w:type="dxa"/>
            <w:tcBorders>
              <w:top w:val="single" w:sz="4" w:space="0" w:color="auto"/>
              <w:bottom w:val="single" w:sz="4" w:space="0" w:color="auto"/>
            </w:tcBorders>
            <w:vAlign w:val="bottom"/>
          </w:tcPr>
          <w:p w14:paraId="0A09352F" w14:textId="77777777" w:rsidR="0044531A" w:rsidRPr="005135BF" w:rsidRDefault="0044531A" w:rsidP="00CA55E8">
            <w:pPr>
              <w:contextualSpacing/>
              <w:jc w:val="center"/>
              <w:rPr>
                <w:sz w:val="20"/>
              </w:rPr>
            </w:pPr>
            <w:r w:rsidRPr="005135BF">
              <w:rPr>
                <w:sz w:val="20"/>
              </w:rPr>
              <w:t>2018-19</w:t>
            </w:r>
          </w:p>
        </w:tc>
        <w:tc>
          <w:tcPr>
            <w:tcW w:w="1134" w:type="dxa"/>
            <w:tcBorders>
              <w:top w:val="single" w:sz="4" w:space="0" w:color="auto"/>
              <w:bottom w:val="single" w:sz="4" w:space="0" w:color="auto"/>
            </w:tcBorders>
            <w:vAlign w:val="bottom"/>
          </w:tcPr>
          <w:p w14:paraId="027931E0" w14:textId="27CE1A6D" w:rsidR="0044531A" w:rsidRPr="005135BF" w:rsidRDefault="0044531A" w:rsidP="003B08B0">
            <w:pPr>
              <w:contextualSpacing/>
              <w:jc w:val="center"/>
              <w:rPr>
                <w:sz w:val="20"/>
              </w:rPr>
            </w:pPr>
            <w:r>
              <w:rPr>
                <w:sz w:val="20"/>
              </w:rPr>
              <w:t>2019-20</w:t>
            </w:r>
          </w:p>
        </w:tc>
      </w:tr>
      <w:tr w:rsidR="0044531A" w:rsidRPr="005135BF" w14:paraId="1511D6B2" w14:textId="7E7B18BE" w:rsidTr="0044531A">
        <w:trPr>
          <w:trHeight w:val="283"/>
          <w:jc w:val="center"/>
        </w:trPr>
        <w:tc>
          <w:tcPr>
            <w:tcW w:w="1418" w:type="dxa"/>
            <w:vAlign w:val="center"/>
          </w:tcPr>
          <w:p w14:paraId="49FCE0D1" w14:textId="105E3817" w:rsidR="0044531A" w:rsidRPr="005135BF" w:rsidRDefault="0044531A" w:rsidP="000936DE">
            <w:pPr>
              <w:contextualSpacing/>
              <w:jc w:val="left"/>
              <w:rPr>
                <w:sz w:val="20"/>
              </w:rPr>
            </w:pPr>
            <w:r>
              <w:rPr>
                <w:sz w:val="20"/>
              </w:rPr>
              <w:t>Total</w:t>
            </w:r>
          </w:p>
        </w:tc>
        <w:tc>
          <w:tcPr>
            <w:tcW w:w="1369" w:type="dxa"/>
            <w:vAlign w:val="center"/>
          </w:tcPr>
          <w:p w14:paraId="05497F7B" w14:textId="7F94331D" w:rsidR="0044531A" w:rsidRPr="005135BF" w:rsidRDefault="006568D4" w:rsidP="00CA55E8">
            <w:pPr>
              <w:contextualSpacing/>
              <w:jc w:val="center"/>
              <w:rPr>
                <w:sz w:val="20"/>
              </w:rPr>
            </w:pPr>
            <w:r>
              <w:rPr>
                <w:sz w:val="20"/>
              </w:rPr>
              <w:t>987</w:t>
            </w:r>
          </w:p>
        </w:tc>
        <w:tc>
          <w:tcPr>
            <w:tcW w:w="1134" w:type="dxa"/>
            <w:vAlign w:val="center"/>
          </w:tcPr>
          <w:p w14:paraId="6FAC4515" w14:textId="73DCB40B" w:rsidR="0044531A" w:rsidRPr="005135BF" w:rsidRDefault="006568D4" w:rsidP="00CA55E8">
            <w:pPr>
              <w:contextualSpacing/>
              <w:jc w:val="center"/>
              <w:rPr>
                <w:sz w:val="20"/>
              </w:rPr>
            </w:pPr>
            <w:r>
              <w:rPr>
                <w:sz w:val="20"/>
              </w:rPr>
              <w:t>561</w:t>
            </w:r>
          </w:p>
        </w:tc>
        <w:tc>
          <w:tcPr>
            <w:tcW w:w="1134" w:type="dxa"/>
            <w:vAlign w:val="center"/>
          </w:tcPr>
          <w:p w14:paraId="3EE327B2" w14:textId="30DD8082" w:rsidR="0044531A" w:rsidRPr="005135BF" w:rsidRDefault="006568D4" w:rsidP="00CA55E8">
            <w:pPr>
              <w:contextualSpacing/>
              <w:jc w:val="center"/>
              <w:rPr>
                <w:sz w:val="20"/>
              </w:rPr>
            </w:pPr>
            <w:r>
              <w:rPr>
                <w:sz w:val="20"/>
              </w:rPr>
              <w:t>6484</w:t>
            </w:r>
          </w:p>
        </w:tc>
        <w:tc>
          <w:tcPr>
            <w:tcW w:w="1134" w:type="dxa"/>
            <w:vAlign w:val="center"/>
          </w:tcPr>
          <w:p w14:paraId="2B76B540" w14:textId="36DE9C99" w:rsidR="0044531A" w:rsidRPr="005135BF" w:rsidRDefault="006568D4" w:rsidP="00CA55E8">
            <w:pPr>
              <w:contextualSpacing/>
              <w:jc w:val="center"/>
              <w:rPr>
                <w:sz w:val="20"/>
              </w:rPr>
            </w:pPr>
            <w:r>
              <w:rPr>
                <w:sz w:val="20"/>
              </w:rPr>
              <w:t>854</w:t>
            </w:r>
          </w:p>
        </w:tc>
        <w:tc>
          <w:tcPr>
            <w:tcW w:w="1134" w:type="dxa"/>
            <w:vAlign w:val="center"/>
          </w:tcPr>
          <w:p w14:paraId="04142D13" w14:textId="38122788" w:rsidR="0044531A" w:rsidRPr="005135BF" w:rsidRDefault="006568D4" w:rsidP="00CA55E8">
            <w:pPr>
              <w:contextualSpacing/>
              <w:jc w:val="center"/>
              <w:rPr>
                <w:sz w:val="20"/>
              </w:rPr>
            </w:pPr>
            <w:r>
              <w:rPr>
                <w:sz w:val="20"/>
              </w:rPr>
              <w:t>377</w:t>
            </w:r>
          </w:p>
        </w:tc>
        <w:tc>
          <w:tcPr>
            <w:tcW w:w="1134" w:type="dxa"/>
          </w:tcPr>
          <w:p w14:paraId="53711DF8" w14:textId="2982B5BE" w:rsidR="0044531A" w:rsidRDefault="006568D4" w:rsidP="00CA55E8">
            <w:pPr>
              <w:contextualSpacing/>
              <w:jc w:val="center"/>
              <w:rPr>
                <w:sz w:val="20"/>
              </w:rPr>
            </w:pPr>
            <w:r>
              <w:rPr>
                <w:sz w:val="20"/>
              </w:rPr>
              <w:t>685</w:t>
            </w:r>
          </w:p>
        </w:tc>
      </w:tr>
      <w:tr w:rsidR="0044531A" w:rsidRPr="005135BF" w14:paraId="5BB0886F" w14:textId="3597A80F" w:rsidTr="0044531A">
        <w:trPr>
          <w:trHeight w:val="283"/>
          <w:jc w:val="center"/>
        </w:trPr>
        <w:tc>
          <w:tcPr>
            <w:tcW w:w="1418" w:type="dxa"/>
            <w:tcBorders>
              <w:bottom w:val="single" w:sz="4" w:space="0" w:color="auto"/>
            </w:tcBorders>
            <w:vAlign w:val="center"/>
          </w:tcPr>
          <w:p w14:paraId="68662541" w14:textId="77777777" w:rsidR="0044531A" w:rsidRPr="005135BF" w:rsidRDefault="0044531A" w:rsidP="00CA55E8">
            <w:pPr>
              <w:contextualSpacing/>
              <w:jc w:val="left"/>
              <w:rPr>
                <w:sz w:val="20"/>
              </w:rPr>
            </w:pPr>
            <w:r w:rsidRPr="005135BF">
              <w:rPr>
                <w:sz w:val="20"/>
              </w:rPr>
              <w:t>CEW</w:t>
            </w:r>
          </w:p>
        </w:tc>
        <w:tc>
          <w:tcPr>
            <w:tcW w:w="1369" w:type="dxa"/>
            <w:tcBorders>
              <w:bottom w:val="single" w:sz="4" w:space="0" w:color="auto"/>
            </w:tcBorders>
            <w:vAlign w:val="center"/>
          </w:tcPr>
          <w:p w14:paraId="31B03077" w14:textId="25A064BC" w:rsidR="0044531A" w:rsidRPr="005135BF" w:rsidRDefault="006568D4" w:rsidP="00CA55E8">
            <w:pPr>
              <w:contextualSpacing/>
              <w:jc w:val="center"/>
              <w:rPr>
                <w:sz w:val="20"/>
              </w:rPr>
            </w:pPr>
            <w:r>
              <w:rPr>
                <w:sz w:val="20"/>
              </w:rPr>
              <w:t>454</w:t>
            </w:r>
          </w:p>
        </w:tc>
        <w:tc>
          <w:tcPr>
            <w:tcW w:w="1134" w:type="dxa"/>
            <w:tcBorders>
              <w:bottom w:val="single" w:sz="4" w:space="0" w:color="auto"/>
            </w:tcBorders>
            <w:vAlign w:val="center"/>
          </w:tcPr>
          <w:p w14:paraId="4F4016C0" w14:textId="57EB667A" w:rsidR="0044531A" w:rsidRPr="005135BF" w:rsidRDefault="006568D4" w:rsidP="00CA55E8">
            <w:pPr>
              <w:contextualSpacing/>
              <w:jc w:val="center"/>
              <w:rPr>
                <w:sz w:val="20"/>
              </w:rPr>
            </w:pPr>
            <w:r>
              <w:rPr>
                <w:sz w:val="20"/>
              </w:rPr>
              <w:t>561</w:t>
            </w:r>
          </w:p>
        </w:tc>
        <w:tc>
          <w:tcPr>
            <w:tcW w:w="1134" w:type="dxa"/>
            <w:tcBorders>
              <w:bottom w:val="single" w:sz="4" w:space="0" w:color="auto"/>
            </w:tcBorders>
            <w:vAlign w:val="center"/>
          </w:tcPr>
          <w:p w14:paraId="68B5B590" w14:textId="44B140CB" w:rsidR="0044531A" w:rsidRPr="005135BF" w:rsidRDefault="006568D4" w:rsidP="009A6818">
            <w:pPr>
              <w:contextualSpacing/>
              <w:jc w:val="center"/>
              <w:rPr>
                <w:sz w:val="20"/>
              </w:rPr>
            </w:pPr>
            <w:r>
              <w:rPr>
                <w:sz w:val="20"/>
              </w:rPr>
              <w:t>802</w:t>
            </w:r>
          </w:p>
        </w:tc>
        <w:tc>
          <w:tcPr>
            <w:tcW w:w="1134" w:type="dxa"/>
            <w:tcBorders>
              <w:bottom w:val="single" w:sz="4" w:space="0" w:color="auto"/>
            </w:tcBorders>
            <w:vAlign w:val="center"/>
          </w:tcPr>
          <w:p w14:paraId="1E035225" w14:textId="4E1603A1" w:rsidR="0044531A" w:rsidRPr="005135BF" w:rsidRDefault="0044531A" w:rsidP="00CA55E8">
            <w:pPr>
              <w:contextualSpacing/>
              <w:jc w:val="center"/>
              <w:rPr>
                <w:sz w:val="20"/>
              </w:rPr>
            </w:pPr>
            <w:r w:rsidRPr="005135BF">
              <w:rPr>
                <w:sz w:val="20"/>
              </w:rPr>
              <w:t>7</w:t>
            </w:r>
            <w:r w:rsidR="006568D4">
              <w:rPr>
                <w:sz w:val="20"/>
              </w:rPr>
              <w:t>57</w:t>
            </w:r>
          </w:p>
        </w:tc>
        <w:tc>
          <w:tcPr>
            <w:tcW w:w="1134" w:type="dxa"/>
            <w:tcBorders>
              <w:bottom w:val="single" w:sz="4" w:space="0" w:color="auto"/>
            </w:tcBorders>
            <w:vAlign w:val="center"/>
          </w:tcPr>
          <w:p w14:paraId="00732073" w14:textId="111FC8EB" w:rsidR="0044531A" w:rsidRPr="005135BF" w:rsidRDefault="006568D4" w:rsidP="00CA55E8">
            <w:pPr>
              <w:contextualSpacing/>
              <w:jc w:val="center"/>
              <w:rPr>
                <w:sz w:val="20"/>
              </w:rPr>
            </w:pPr>
            <w:r>
              <w:rPr>
                <w:sz w:val="20"/>
              </w:rPr>
              <w:t>377</w:t>
            </w:r>
          </w:p>
        </w:tc>
        <w:tc>
          <w:tcPr>
            <w:tcW w:w="1134" w:type="dxa"/>
            <w:tcBorders>
              <w:bottom w:val="single" w:sz="4" w:space="0" w:color="auto"/>
            </w:tcBorders>
          </w:tcPr>
          <w:p w14:paraId="16170FAF" w14:textId="5F15EE8D" w:rsidR="0044531A" w:rsidRDefault="006568D4" w:rsidP="00CA55E8">
            <w:pPr>
              <w:contextualSpacing/>
              <w:jc w:val="center"/>
              <w:rPr>
                <w:sz w:val="20"/>
              </w:rPr>
            </w:pPr>
            <w:r>
              <w:rPr>
                <w:sz w:val="20"/>
              </w:rPr>
              <w:t>685</w:t>
            </w:r>
          </w:p>
        </w:tc>
      </w:tr>
    </w:tbl>
    <w:p w14:paraId="2542ED44" w14:textId="77777777" w:rsidR="002E40C5" w:rsidRPr="00E029CF" w:rsidRDefault="002E40C5" w:rsidP="002E40C5"/>
    <w:p w14:paraId="4452F167" w14:textId="0E24F512" w:rsidR="007319A1" w:rsidRDefault="00F64316" w:rsidP="00864240">
      <w:bookmarkStart w:id="54" w:name="_Ref16673617"/>
      <w:r w:rsidRPr="00AE1B90">
        <w:t xml:space="preserve">In </w:t>
      </w:r>
      <w:r>
        <w:t xml:space="preserve">2019-20, flow remained in-channel and was similar to </w:t>
      </w:r>
      <w:r w:rsidRPr="00AE1B90">
        <w:t>four of the</w:t>
      </w:r>
      <w:r>
        <w:t xml:space="preserve"> previous</w:t>
      </w:r>
      <w:r w:rsidRPr="00AE1B90">
        <w:t xml:space="preserve"> five years, which were hydrologically dry (</w:t>
      </w:r>
      <w:proofErr w:type="gramStart"/>
      <w:r w:rsidRPr="00AE1B90">
        <w:t>i.e.</w:t>
      </w:r>
      <w:proofErr w:type="gramEnd"/>
      <w:r w:rsidRPr="00AE1B90">
        <w:t xml:space="preserve"> </w:t>
      </w:r>
      <w:r>
        <w:t xml:space="preserve">flow remained </w:t>
      </w:r>
      <w:r w:rsidRPr="00AE1B90">
        <w:t xml:space="preserve">&lt;18,000 ML/d </w:t>
      </w:r>
      <w:r w:rsidR="00864240" w:rsidRPr="00AE1B90">
        <w:t>at the South Australian border,</w:t>
      </w:r>
      <w:r w:rsidR="00864240" w:rsidRPr="005513C5">
        <w:t xml:space="preserve"> </w:t>
      </w:r>
      <w:r w:rsidR="00864240">
        <w:fldChar w:fldCharType="begin"/>
      </w:r>
      <w:r w:rsidR="00864240">
        <w:instrText xml:space="preserve"> REF _Ref416335393 \h </w:instrText>
      </w:r>
      <w:r w:rsidR="00864240">
        <w:fldChar w:fldCharType="separate"/>
      </w:r>
      <w:r w:rsidR="00AD0721" w:rsidRPr="0007443D">
        <w:t xml:space="preserve">Figure </w:t>
      </w:r>
      <w:r w:rsidR="00AD0721">
        <w:rPr>
          <w:noProof/>
        </w:rPr>
        <w:t>4</w:t>
      </w:r>
      <w:r w:rsidR="00864240">
        <w:fldChar w:fldCharType="end"/>
      </w:r>
      <w:r w:rsidR="00864240">
        <w:t>)</w:t>
      </w:r>
      <w:r w:rsidR="00746BE8">
        <w:t xml:space="preserve">. </w:t>
      </w:r>
      <w:r w:rsidR="006B32D4">
        <w:t>During this year</w:t>
      </w:r>
      <w:r w:rsidR="006B32D4" w:rsidRPr="004066B3">
        <w:t>, ~931 GL of environmental water</w:t>
      </w:r>
      <w:r w:rsidR="006B32D4">
        <w:t xml:space="preserve"> (</w:t>
      </w:r>
      <w:r w:rsidR="00443500">
        <w:t xml:space="preserve">excluding wetland use, </w:t>
      </w:r>
      <w:r w:rsidR="006B32D4">
        <w:t>39% of the total flow)</w:t>
      </w:r>
      <w:r w:rsidR="006B32D4" w:rsidRPr="004066B3">
        <w:t>, including ~750 GL</w:t>
      </w:r>
      <w:r w:rsidR="006B32D4">
        <w:t xml:space="preserve"> of Commonwealth environmental water, was delivered to the LMR </w:t>
      </w:r>
      <w:r w:rsidR="00857106">
        <w:t>(</w:t>
      </w:r>
      <w:r w:rsidR="00857106">
        <w:fldChar w:fldCharType="begin"/>
      </w:r>
      <w:r w:rsidR="00857106">
        <w:instrText xml:space="preserve"> REF _Ref50048539 \h </w:instrText>
      </w:r>
      <w:r w:rsidR="00857106">
        <w:fldChar w:fldCharType="separate"/>
      </w:r>
      <w:r w:rsidR="006045CA">
        <w:t xml:space="preserve">Table </w:t>
      </w:r>
      <w:r w:rsidR="006045CA">
        <w:rPr>
          <w:noProof/>
        </w:rPr>
        <w:t>1</w:t>
      </w:r>
      <w:r w:rsidR="00857106">
        <w:fldChar w:fldCharType="end"/>
      </w:r>
      <w:r w:rsidR="00F66EF3">
        <w:t>).</w:t>
      </w:r>
      <w:r w:rsidR="00864240">
        <w:t xml:space="preserve"> </w:t>
      </w:r>
    </w:p>
    <w:p w14:paraId="20DE98E8" w14:textId="396C1154" w:rsidR="00864240" w:rsidRDefault="00F64316" w:rsidP="00864240">
      <w:bookmarkStart w:id="55" w:name="_Hlk63967441"/>
      <w:r>
        <w:t>E</w:t>
      </w:r>
      <w:r w:rsidRPr="00AE1B90">
        <w:t xml:space="preserve">nvironmental water </w:t>
      </w:r>
      <w:r>
        <w:t xml:space="preserve">delivered to South Australia from mid-July to mid-August 2019, largely supported by flow </w:t>
      </w:r>
      <w:r w:rsidRPr="00202359">
        <w:t xml:space="preserve">from the Goulburn River, contributed to a winter flow pulse </w:t>
      </w:r>
      <w:r>
        <w:t xml:space="preserve">of </w:t>
      </w:r>
      <w:r w:rsidRPr="00202359">
        <w:t>11,000 ML/d in the LMR (</w:t>
      </w:r>
      <w:r w:rsidR="00C10663" w:rsidRPr="00202359">
        <w:fldChar w:fldCharType="begin"/>
      </w:r>
      <w:r w:rsidR="00C10663" w:rsidRPr="00202359">
        <w:instrText xml:space="preserve"> REF _Ref427583483 \h </w:instrText>
      </w:r>
      <w:r w:rsidR="00202359">
        <w:instrText xml:space="preserve"> \* MERGEFORMAT </w:instrText>
      </w:r>
      <w:r w:rsidR="00C10663" w:rsidRPr="00202359">
        <w:fldChar w:fldCharType="separate"/>
      </w:r>
      <w:r w:rsidR="006045CA" w:rsidRPr="00F23935">
        <w:t xml:space="preserve">Figure </w:t>
      </w:r>
      <w:r w:rsidR="006045CA">
        <w:rPr>
          <w:noProof/>
        </w:rPr>
        <w:t>5</w:t>
      </w:r>
      <w:r w:rsidR="00C10663" w:rsidRPr="00202359">
        <w:fldChar w:fldCharType="end"/>
      </w:r>
      <w:r w:rsidR="00C10663" w:rsidRPr="00202359">
        <w:t xml:space="preserve">). Similarly, </w:t>
      </w:r>
      <w:r w:rsidR="00864240" w:rsidRPr="00202359">
        <w:t xml:space="preserve">environmental water delivered </w:t>
      </w:r>
      <w:r w:rsidR="00C10663" w:rsidRPr="00202359">
        <w:t xml:space="preserve">between </w:t>
      </w:r>
      <w:r w:rsidR="005518D4">
        <w:t>late September</w:t>
      </w:r>
      <w:r w:rsidR="00C10663" w:rsidRPr="00202359">
        <w:t xml:space="preserve"> and early November 2019, </w:t>
      </w:r>
      <w:r w:rsidR="00F929BF" w:rsidRPr="00202359">
        <w:t>supported</w:t>
      </w:r>
      <w:r w:rsidR="00864240" w:rsidRPr="00202359">
        <w:t xml:space="preserve"> by </w:t>
      </w:r>
      <w:r w:rsidR="0098435D">
        <w:t>return flows</w:t>
      </w:r>
      <w:r w:rsidR="00864240" w:rsidRPr="00202359">
        <w:t xml:space="preserve"> from the</w:t>
      </w:r>
      <w:r w:rsidR="0098435D">
        <w:t xml:space="preserve"> Murray and Goulburn r</w:t>
      </w:r>
      <w:r w:rsidR="00864240" w:rsidRPr="00202359">
        <w:t>iver</w:t>
      </w:r>
      <w:r w:rsidR="0098435D">
        <w:t>s</w:t>
      </w:r>
      <w:r w:rsidR="00864240" w:rsidRPr="00202359">
        <w:t xml:space="preserve"> and Barmah–</w:t>
      </w:r>
      <w:proofErr w:type="spellStart"/>
      <w:r w:rsidR="00864240" w:rsidRPr="00202359">
        <w:t>Millewa</w:t>
      </w:r>
      <w:proofErr w:type="spellEnd"/>
      <w:r w:rsidR="00864240" w:rsidRPr="00202359">
        <w:t xml:space="preserve"> Forest</w:t>
      </w:r>
      <w:r w:rsidR="00FB633C" w:rsidRPr="00202359">
        <w:t>, promoted an</w:t>
      </w:r>
      <w:r w:rsidR="00864240" w:rsidRPr="00202359">
        <w:t xml:space="preserve"> </w:t>
      </w:r>
      <w:r w:rsidR="00FB633C" w:rsidRPr="00202359">
        <w:t>i</w:t>
      </w:r>
      <w:r w:rsidR="00864240" w:rsidRPr="00202359">
        <w:t xml:space="preserve">n-channel </w:t>
      </w:r>
      <w:r w:rsidR="006C1EA7">
        <w:t xml:space="preserve">spring </w:t>
      </w:r>
      <w:r w:rsidR="00864240" w:rsidRPr="00202359">
        <w:t xml:space="preserve">flow pulse </w:t>
      </w:r>
      <w:r w:rsidR="006F5056">
        <w:t xml:space="preserve">peaking </w:t>
      </w:r>
      <w:r>
        <w:t xml:space="preserve">around </w:t>
      </w:r>
      <w:r w:rsidRPr="00202359">
        <w:t xml:space="preserve">15,600 ML/d </w:t>
      </w:r>
      <w:r>
        <w:t xml:space="preserve">in </w:t>
      </w:r>
      <w:r w:rsidRPr="00202359">
        <w:t>mid-October 2019 (</w:t>
      </w:r>
      <w:r w:rsidR="00FB633C" w:rsidRPr="00202359">
        <w:fldChar w:fldCharType="begin"/>
      </w:r>
      <w:r w:rsidR="00FB633C" w:rsidRPr="00202359">
        <w:instrText xml:space="preserve"> REF _Ref427583483 \h </w:instrText>
      </w:r>
      <w:r w:rsidR="00202359">
        <w:instrText xml:space="preserve"> \* MERGEFORMAT </w:instrText>
      </w:r>
      <w:r w:rsidR="00FB633C" w:rsidRPr="00202359">
        <w:fldChar w:fldCharType="separate"/>
      </w:r>
      <w:r w:rsidR="006045CA" w:rsidRPr="00F23935">
        <w:t xml:space="preserve">Figure </w:t>
      </w:r>
      <w:r w:rsidR="006045CA">
        <w:rPr>
          <w:noProof/>
        </w:rPr>
        <w:t>5</w:t>
      </w:r>
      <w:r w:rsidR="00FB633C" w:rsidRPr="00202359">
        <w:fldChar w:fldCharType="end"/>
      </w:r>
      <w:r w:rsidR="00864240" w:rsidRPr="00202359">
        <w:t>).</w:t>
      </w:r>
    </w:p>
    <w:bookmarkEnd w:id="55"/>
    <w:p w14:paraId="17037523" w14:textId="4573AE85" w:rsidR="00864240" w:rsidRDefault="00DD344A" w:rsidP="00864240">
      <w:r>
        <w:t>Environmental water delivery to the LMR from summer–late autumn comprised of direct trades</w:t>
      </w:r>
      <w:r w:rsidR="00300626">
        <w:rPr>
          <w:rStyle w:val="FootnoteReference"/>
        </w:rPr>
        <w:footnoteReference w:id="4"/>
      </w:r>
      <w:r>
        <w:t xml:space="preserve"> at the South Australian border (</w:t>
      </w:r>
      <w:r w:rsidR="00864240">
        <w:fldChar w:fldCharType="begin"/>
      </w:r>
      <w:r w:rsidR="00864240">
        <w:instrText xml:space="preserve"> REF _Ref427583483 \h </w:instrText>
      </w:r>
      <w:r w:rsidR="00864240">
        <w:fldChar w:fldCharType="separate"/>
      </w:r>
      <w:r w:rsidR="006045CA" w:rsidRPr="00F23935">
        <w:t xml:space="preserve">Figure </w:t>
      </w:r>
      <w:r w:rsidR="006045CA">
        <w:rPr>
          <w:noProof/>
        </w:rPr>
        <w:t>5</w:t>
      </w:r>
      <w:r w:rsidR="00864240">
        <w:fldChar w:fldCharType="end"/>
      </w:r>
      <w:r w:rsidR="00AF54C8">
        <w:t>a</w:t>
      </w:r>
      <w:r w:rsidR="00864240">
        <w:t xml:space="preserve">). </w:t>
      </w:r>
      <w:r w:rsidR="00864240" w:rsidRPr="005D25BD">
        <w:t xml:space="preserve">During this period, Commonwealth environmental water played a critical role in maintaining barrage releases </w:t>
      </w:r>
      <w:r w:rsidR="00654860">
        <w:t>(</w:t>
      </w:r>
      <w:r w:rsidR="00654860">
        <w:fldChar w:fldCharType="begin"/>
      </w:r>
      <w:r w:rsidR="00654860">
        <w:instrText xml:space="preserve"> REF _Ref57211234 \h </w:instrText>
      </w:r>
      <w:r w:rsidR="00654860">
        <w:fldChar w:fldCharType="separate"/>
      </w:r>
      <w:r w:rsidR="006045CA" w:rsidRPr="00521E10">
        <w:t xml:space="preserve">Table </w:t>
      </w:r>
      <w:r w:rsidR="006045CA">
        <w:rPr>
          <w:noProof/>
        </w:rPr>
        <w:t>2</w:t>
      </w:r>
      <w:r w:rsidR="00654860">
        <w:fldChar w:fldCharType="end"/>
      </w:r>
      <w:r w:rsidR="00654860">
        <w:t>)</w:t>
      </w:r>
      <w:r w:rsidR="00864240" w:rsidRPr="005D25BD">
        <w:t>.</w:t>
      </w:r>
      <w:r w:rsidR="00C03A9B">
        <w:t xml:space="preserve"> </w:t>
      </w:r>
      <w:r w:rsidR="0098435D">
        <w:t xml:space="preserve">Barrage flows in 2019-20 </w:t>
      </w:r>
      <w:r w:rsidR="00F64316">
        <w:t>were entirely comprised of (100%) Commonwealth environmental water.</w:t>
      </w:r>
    </w:p>
    <w:p w14:paraId="5856F5C3" w14:textId="10B5DFD2" w:rsidR="00AF54C8" w:rsidRDefault="00AF54C8" w:rsidP="00864240">
      <w:r>
        <w:t xml:space="preserve">The physical source of flows to the LMR during </w:t>
      </w:r>
      <w:r w:rsidR="00F64316">
        <w:t xml:space="preserve">2019-20 are presented </w:t>
      </w:r>
      <w:r>
        <w:t xml:space="preserve">in </w:t>
      </w:r>
      <w:r>
        <w:fldChar w:fldCharType="begin"/>
      </w:r>
      <w:r>
        <w:instrText xml:space="preserve"> REF _Ref427583483 \h </w:instrText>
      </w:r>
      <w:r>
        <w:fldChar w:fldCharType="separate"/>
      </w:r>
      <w:r w:rsidR="006045CA" w:rsidRPr="00F23935">
        <w:t xml:space="preserve">Figure </w:t>
      </w:r>
      <w:r w:rsidR="006045CA">
        <w:rPr>
          <w:noProof/>
        </w:rPr>
        <w:t>5</w:t>
      </w:r>
      <w:r>
        <w:fldChar w:fldCharType="end"/>
      </w:r>
      <w:r>
        <w:t xml:space="preserve">b. </w:t>
      </w:r>
      <w:r w:rsidR="005E1757" w:rsidRPr="00AF4A5C">
        <w:t>Flow</w:t>
      </w:r>
      <w:r w:rsidR="005E1757">
        <w:t xml:space="preserve"> to South Australia</w:t>
      </w:r>
      <w:r w:rsidR="005E1757" w:rsidRPr="00AF4A5C">
        <w:t xml:space="preserve"> mainly comprised flow from the upper </w:t>
      </w:r>
      <w:r w:rsidRPr="00AF4A5C">
        <w:t>Murray River</w:t>
      </w:r>
      <w:r>
        <w:t xml:space="preserve">, with </w:t>
      </w:r>
      <w:r w:rsidR="006407C1">
        <w:t xml:space="preserve">greater </w:t>
      </w:r>
      <w:r w:rsidR="00F64316">
        <w:t xml:space="preserve">proportional flow </w:t>
      </w:r>
      <w:r w:rsidR="006407C1">
        <w:t xml:space="preserve">from </w:t>
      </w:r>
      <w:r w:rsidR="00F64316">
        <w:t>Lake Victoria</w:t>
      </w:r>
      <w:r w:rsidR="006407C1">
        <w:t>, resulting from direct trades,</w:t>
      </w:r>
      <w:r w:rsidR="00F64316" w:rsidRPr="00AF4A5C">
        <w:t xml:space="preserve"> </w:t>
      </w:r>
      <w:r w:rsidR="00F64316">
        <w:t>after December 2019</w:t>
      </w:r>
      <w:r w:rsidR="00F64316" w:rsidRPr="00AF4A5C">
        <w:t>.</w:t>
      </w:r>
    </w:p>
    <w:p w14:paraId="7AB18F6F" w14:textId="37BB94DA" w:rsidR="00864240" w:rsidRDefault="00694C2C" w:rsidP="00864240">
      <w:r>
        <w:t>Key watering events</w:t>
      </w:r>
      <w:r w:rsidR="0098435D">
        <w:t xml:space="preserve"> in the LMR during 2019-20</w:t>
      </w:r>
      <w:r>
        <w:t xml:space="preserve"> and</w:t>
      </w:r>
      <w:r w:rsidR="0098435D">
        <w:t xml:space="preserve"> the</w:t>
      </w:r>
      <w:r>
        <w:t xml:space="preserve"> targeted</w:t>
      </w:r>
      <w:r w:rsidR="0098435D">
        <w:t xml:space="preserve"> expected</w:t>
      </w:r>
      <w:r>
        <w:t xml:space="preserve"> outcomes</w:t>
      </w:r>
      <w:r w:rsidR="0098435D">
        <w:t xml:space="preserve"> of these deliveries</w:t>
      </w:r>
      <w:r>
        <w:t xml:space="preserve"> </w:t>
      </w:r>
      <w:r w:rsidR="0098435D">
        <w:t>a</w:t>
      </w:r>
      <w:r>
        <w:t xml:space="preserve">re presented in </w:t>
      </w:r>
      <w:r w:rsidR="00AF54C8">
        <w:t>Appendix A</w:t>
      </w:r>
      <w:r w:rsidRPr="009F6359">
        <w:t>.</w:t>
      </w:r>
      <w:r>
        <w:t xml:space="preserve"> E</w:t>
      </w:r>
      <w:r w:rsidR="00864240">
        <w:t xml:space="preserve">nvironmental water </w:t>
      </w:r>
      <w:r>
        <w:t xml:space="preserve">also </w:t>
      </w:r>
      <w:r w:rsidR="00CB3E64">
        <w:t>supported</w:t>
      </w:r>
      <w:r w:rsidR="00864240">
        <w:t xml:space="preserve"> other complementary management actions to achieve ecological outcomes in the </w:t>
      </w:r>
      <w:r w:rsidR="00CD41EB" w:rsidRPr="00C72497">
        <w:t>Murray River</w:t>
      </w:r>
      <w:r w:rsidR="00CD41EB">
        <w:t xml:space="preserve">; key activities from </w:t>
      </w:r>
      <w:r w:rsidR="00CD41EB" w:rsidRPr="00C72497">
        <w:t>downstream of the Darling River junction</w:t>
      </w:r>
      <w:r w:rsidR="00CD41EB">
        <w:t xml:space="preserve"> to Wellington are summarised in </w:t>
      </w:r>
      <w:r w:rsidR="00864240">
        <w:t>Appendix B. These included manipulations</w:t>
      </w:r>
      <w:r>
        <w:t xml:space="preserve"> </w:t>
      </w:r>
      <w:r w:rsidRPr="006F5D24">
        <w:t xml:space="preserve">of Weir Pools 2, 6, </w:t>
      </w:r>
      <w:r w:rsidR="006F5D24" w:rsidRPr="006F5D24">
        <w:t>7, 8 and 15</w:t>
      </w:r>
      <w:r w:rsidR="00864240" w:rsidRPr="006F5D24">
        <w:t>, and</w:t>
      </w:r>
      <w:r w:rsidR="00864240">
        <w:t xml:space="preserve"> wetland watering by pumping.</w:t>
      </w:r>
    </w:p>
    <w:p w14:paraId="08D89FB8" w14:textId="7246E2FF" w:rsidR="00864240" w:rsidRDefault="00864240" w:rsidP="00864240"/>
    <w:p w14:paraId="6D914930" w14:textId="77777777" w:rsidR="00872C33" w:rsidRDefault="00872C33" w:rsidP="00535BCA">
      <w:pPr>
        <w:pStyle w:val="Caption"/>
      </w:pPr>
    </w:p>
    <w:bookmarkEnd w:id="54"/>
    <w:p w14:paraId="42ACC599" w14:textId="0F8412C2" w:rsidR="004240C5" w:rsidRPr="0007443D" w:rsidRDefault="004240C5" w:rsidP="004240C5">
      <w:pPr>
        <w:jc w:val="center"/>
        <w:rPr>
          <w:noProof/>
          <w:lang w:eastAsia="en-AU"/>
        </w:rPr>
      </w:pPr>
    </w:p>
    <w:p w14:paraId="1195A1CD" w14:textId="77777777" w:rsidR="009E24AC" w:rsidRDefault="009E24AC">
      <w:pPr>
        <w:sectPr w:rsidR="009E24AC" w:rsidSect="00C025E5">
          <w:footnotePr>
            <w:numFmt w:val="lowerLetter"/>
          </w:footnotePr>
          <w:pgSz w:w="11906" w:h="16838"/>
          <w:pgMar w:top="1440" w:right="1440" w:bottom="1440" w:left="1440" w:header="708" w:footer="708" w:gutter="0"/>
          <w:pgNumType w:start="1"/>
          <w:cols w:space="708"/>
          <w:docGrid w:linePitch="360"/>
        </w:sectPr>
      </w:pPr>
    </w:p>
    <w:p w14:paraId="0EB663D7" w14:textId="70F96647" w:rsidR="008B5883" w:rsidRDefault="008B5883" w:rsidP="008B5883">
      <w:pPr>
        <w:jc w:val="center"/>
      </w:pPr>
      <w:r w:rsidRPr="008B5883">
        <w:t xml:space="preserve"> </w:t>
      </w:r>
      <w:r w:rsidR="00503832" w:rsidRPr="00503832">
        <w:t xml:space="preserve"> </w:t>
      </w:r>
      <w:r w:rsidR="00503832" w:rsidRPr="00503832">
        <w:rPr>
          <w:noProof/>
          <w:lang w:eastAsia="en-AU"/>
        </w:rPr>
        <w:drawing>
          <wp:inline distT="0" distB="0" distL="0" distR="0" wp14:anchorId="15AB82C1" wp14:editId="7B1D4A03">
            <wp:extent cx="5377218" cy="6636847"/>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2" cstate="email">
                      <a:extLst>
                        <a:ext uri="{28A0092B-C50C-407E-A947-70E740481C1C}">
                          <a14:useLocalDpi xmlns:a14="http://schemas.microsoft.com/office/drawing/2010/main"/>
                        </a:ext>
                      </a:extLst>
                    </a:blip>
                    <a:srcRect t="1874" r="2770" b="1507"/>
                    <a:stretch/>
                  </pic:blipFill>
                  <pic:spPr bwMode="auto">
                    <a:xfrm>
                      <a:off x="0" y="0"/>
                      <a:ext cx="5403429" cy="6669198"/>
                    </a:xfrm>
                    <a:prstGeom prst="rect">
                      <a:avLst/>
                    </a:prstGeom>
                    <a:noFill/>
                    <a:ln>
                      <a:noFill/>
                    </a:ln>
                    <a:extLst>
                      <a:ext uri="{53640926-AAD7-44D8-BBD7-CCE9431645EC}">
                        <a14:shadowObscured xmlns:a14="http://schemas.microsoft.com/office/drawing/2010/main"/>
                      </a:ext>
                    </a:extLst>
                  </pic:spPr>
                </pic:pic>
              </a:graphicData>
            </a:graphic>
          </wp:inline>
        </w:drawing>
      </w:r>
    </w:p>
    <w:p w14:paraId="7671BB4B" w14:textId="423971BB" w:rsidR="008B5883" w:rsidRDefault="008B5883" w:rsidP="00F8184E">
      <w:pPr>
        <w:pStyle w:val="Captions"/>
        <w:sectPr w:rsidR="008B5883" w:rsidSect="008B5883">
          <w:footnotePr>
            <w:numFmt w:val="lowerLetter"/>
          </w:footnotePr>
          <w:pgSz w:w="11906" w:h="16838"/>
          <w:pgMar w:top="1440" w:right="1440" w:bottom="1440" w:left="1440" w:header="709" w:footer="709" w:gutter="0"/>
          <w:cols w:space="708"/>
          <w:docGrid w:linePitch="360"/>
        </w:sectPr>
      </w:pPr>
      <w:bookmarkStart w:id="56" w:name="_Ref427583483"/>
      <w:bookmarkStart w:id="57" w:name="_Toc442173727"/>
      <w:bookmarkStart w:id="58" w:name="_Toc3558355"/>
      <w:bookmarkStart w:id="59" w:name="_Toc69387669"/>
      <w:r w:rsidRPr="00F23935">
        <w:t xml:space="preserve">Figure </w:t>
      </w:r>
      <w:r>
        <w:rPr>
          <w:noProof/>
        </w:rPr>
        <w:fldChar w:fldCharType="begin"/>
      </w:r>
      <w:r>
        <w:rPr>
          <w:noProof/>
        </w:rPr>
        <w:instrText xml:space="preserve"> SEQ Figure \* ARABIC </w:instrText>
      </w:r>
      <w:r>
        <w:rPr>
          <w:noProof/>
        </w:rPr>
        <w:fldChar w:fldCharType="separate"/>
      </w:r>
      <w:r w:rsidR="00025EB2">
        <w:rPr>
          <w:noProof/>
        </w:rPr>
        <w:t>5</w:t>
      </w:r>
      <w:r>
        <w:rPr>
          <w:noProof/>
        </w:rPr>
        <w:fldChar w:fldCharType="end"/>
      </w:r>
      <w:bookmarkEnd w:id="56"/>
      <w:r w:rsidRPr="00F23935">
        <w:rPr>
          <w:noProof/>
        </w:rPr>
        <w:t>.</w:t>
      </w:r>
      <w:r w:rsidRPr="00F23935">
        <w:t xml:space="preserve"> </w:t>
      </w:r>
      <w:r>
        <w:t>Flow to South Australia</w:t>
      </w:r>
      <w:r w:rsidRPr="008B5883">
        <w:t xml:space="preserve"> </w:t>
      </w:r>
      <w:r w:rsidR="00150B66">
        <w:t xml:space="preserve">from July 2019 to July 2020 </w:t>
      </w:r>
      <w:r w:rsidRPr="008B5883">
        <w:t>showing</w:t>
      </w:r>
      <w:r w:rsidR="00150B66">
        <w:t xml:space="preserve"> the</w:t>
      </w:r>
      <w:r w:rsidRPr="008B5883">
        <w:t xml:space="preserve"> </w:t>
      </w:r>
      <w:r w:rsidR="00150B66">
        <w:t>(a)</w:t>
      </w:r>
      <w:r w:rsidRPr="008B5883">
        <w:t xml:space="preserve"> contribution of environmental water</w:t>
      </w:r>
      <w:r w:rsidR="00150B66">
        <w:t xml:space="preserve"> </w:t>
      </w:r>
      <w:r w:rsidR="00E90C66">
        <w:t xml:space="preserve">(eWater) </w:t>
      </w:r>
      <w:r w:rsidR="00150B66">
        <w:t>and (b) s</w:t>
      </w:r>
      <w:r w:rsidRPr="00F23935">
        <w:t>ource of all (environmental and consumptive) water (MDBA)</w:t>
      </w:r>
      <w:r w:rsidRPr="008B5883">
        <w:t xml:space="preserve">. CEW = Commonwealth environmental water. Modelled </w:t>
      </w:r>
      <w:r w:rsidR="00150B66">
        <w:t xml:space="preserve">flow under natural conditions is shown by the </w:t>
      </w:r>
      <w:r w:rsidRPr="008B5883">
        <w:t>dotted black line.</w:t>
      </w:r>
      <w:r>
        <w:t xml:space="preserve"> </w:t>
      </w:r>
      <w:r w:rsidR="00E90C66">
        <w:t>‘</w:t>
      </w:r>
      <w:proofErr w:type="spellStart"/>
      <w:r w:rsidRPr="00A95F6D">
        <w:t>Bigmod</w:t>
      </w:r>
      <w:proofErr w:type="spellEnd"/>
      <w:r w:rsidRPr="00A95F6D">
        <w:t xml:space="preserve"> salinity routines</w:t>
      </w:r>
      <w:r w:rsidR="00E90C66">
        <w:t>’</w:t>
      </w:r>
      <w:r w:rsidRPr="00A95F6D">
        <w:t xml:space="preserve"> </w:t>
      </w:r>
      <w:r w:rsidR="00E90C66">
        <w:t xml:space="preserve">was </w:t>
      </w:r>
      <w:r>
        <w:t xml:space="preserve">used </w:t>
      </w:r>
      <w:r w:rsidRPr="00A95F6D">
        <w:t>as a proxy for transport of biological matter, to estimate the proportion of the flow that originated at different upstream tributaries</w:t>
      </w:r>
      <w:r>
        <w:rPr>
          <w:rStyle w:val="FootnoteReference"/>
        </w:rPr>
        <w:footnoteReference w:id="5"/>
      </w:r>
      <w:r w:rsidRPr="00A95F6D">
        <w:t>.</w:t>
      </w:r>
      <w:bookmarkEnd w:id="57"/>
      <w:bookmarkEnd w:id="58"/>
      <w:bookmarkEnd w:id="59"/>
    </w:p>
    <w:p w14:paraId="33E5CCFB" w14:textId="6CB0096E" w:rsidR="006237D5" w:rsidRDefault="006237D5" w:rsidP="006237D5">
      <w:pPr>
        <w:pStyle w:val="Heading2"/>
        <w:rPr>
          <w:rStyle w:val="CharChar7"/>
          <w:rFonts w:ascii="Century Gothic" w:hAnsi="Century Gothic" w:cstheme="majorBidi"/>
          <w:color w:val="44546A" w:themeColor="text2"/>
          <w:spacing w:val="0"/>
          <w:sz w:val="26"/>
          <w:szCs w:val="26"/>
        </w:rPr>
      </w:pPr>
      <w:bookmarkStart w:id="60" w:name="_Toc3558334"/>
      <w:bookmarkStart w:id="61" w:name="_Toc69309234"/>
      <w:r w:rsidRPr="006237D5">
        <w:rPr>
          <w:rStyle w:val="CharChar7"/>
          <w:rFonts w:ascii="Century Gothic" w:hAnsi="Century Gothic" w:cstheme="majorBidi"/>
          <w:color w:val="44546A" w:themeColor="text2"/>
          <w:spacing w:val="0"/>
          <w:sz w:val="26"/>
          <w:szCs w:val="26"/>
        </w:rPr>
        <w:t xml:space="preserve">Purpose of the CEWO </w:t>
      </w:r>
      <w:r w:rsidR="000849C2">
        <w:rPr>
          <w:rStyle w:val="CharChar7"/>
          <w:rFonts w:ascii="Century Gothic" w:hAnsi="Century Gothic" w:cstheme="majorBidi"/>
          <w:color w:val="44546A" w:themeColor="text2"/>
          <w:spacing w:val="0"/>
          <w:sz w:val="26"/>
          <w:szCs w:val="26"/>
        </w:rPr>
        <w:t>MER</w:t>
      </w:r>
      <w:r w:rsidR="000849C2" w:rsidRPr="006237D5">
        <w:rPr>
          <w:rStyle w:val="CharChar7"/>
          <w:rFonts w:ascii="Century Gothic" w:hAnsi="Century Gothic" w:cstheme="majorBidi"/>
          <w:color w:val="44546A" w:themeColor="text2"/>
          <w:spacing w:val="0"/>
          <w:sz w:val="26"/>
          <w:szCs w:val="26"/>
        </w:rPr>
        <w:t xml:space="preserve"> </w:t>
      </w:r>
      <w:r w:rsidRPr="006237D5">
        <w:rPr>
          <w:rStyle w:val="CharChar7"/>
          <w:rFonts w:ascii="Century Gothic" w:hAnsi="Century Gothic" w:cstheme="majorBidi"/>
          <w:color w:val="44546A" w:themeColor="text2"/>
          <w:spacing w:val="0"/>
          <w:sz w:val="26"/>
          <w:szCs w:val="26"/>
        </w:rPr>
        <w:t xml:space="preserve">report for </w:t>
      </w:r>
      <w:r w:rsidR="008E0B53">
        <w:rPr>
          <w:rStyle w:val="CharChar7"/>
          <w:rFonts w:ascii="Century Gothic" w:hAnsi="Century Gothic" w:cstheme="majorBidi"/>
          <w:color w:val="44546A" w:themeColor="text2"/>
          <w:spacing w:val="0"/>
          <w:sz w:val="26"/>
          <w:szCs w:val="26"/>
        </w:rPr>
        <w:t>20</w:t>
      </w:r>
      <w:r>
        <w:rPr>
          <w:rStyle w:val="CharChar7"/>
          <w:rFonts w:ascii="Century Gothic" w:hAnsi="Century Gothic" w:cstheme="majorBidi"/>
          <w:color w:val="44546A" w:themeColor="text2"/>
          <w:spacing w:val="0"/>
          <w:sz w:val="26"/>
          <w:szCs w:val="26"/>
        </w:rPr>
        <w:t>19</w:t>
      </w:r>
      <w:bookmarkEnd w:id="60"/>
      <w:r w:rsidR="000849C2">
        <w:rPr>
          <w:rStyle w:val="CharChar7"/>
          <w:rFonts w:ascii="Century Gothic" w:hAnsi="Century Gothic" w:cstheme="majorBidi"/>
          <w:color w:val="44546A" w:themeColor="text2"/>
          <w:spacing w:val="0"/>
          <w:sz w:val="26"/>
          <w:szCs w:val="26"/>
        </w:rPr>
        <w:t>-20</w:t>
      </w:r>
      <w:bookmarkEnd w:id="61"/>
    </w:p>
    <w:p w14:paraId="5F2585B2" w14:textId="59D1BE23" w:rsidR="006237D5" w:rsidRPr="006237D5" w:rsidRDefault="001C6C20" w:rsidP="006237D5">
      <w:r w:rsidRPr="001302ED">
        <w:t xml:space="preserve">This report presents the key findings </w:t>
      </w:r>
      <w:r>
        <w:t xml:space="preserve">from monitoring and research </w:t>
      </w:r>
      <w:r w:rsidRPr="001302ED">
        <w:t xml:space="preserve">in the </w:t>
      </w:r>
      <w:r>
        <w:t>Lower Murray</w:t>
      </w:r>
      <w:r w:rsidRPr="001302ED" w:rsidDel="00FB2AD0">
        <w:t xml:space="preserve"> </w:t>
      </w:r>
      <w:r>
        <w:t>during 2019-20</w:t>
      </w:r>
      <w:r w:rsidRPr="001302ED">
        <w:t>, and answers CEWO</w:t>
      </w:r>
      <w:r>
        <w:t xml:space="preserve"> evaluation questions about ecological responses to </w:t>
      </w:r>
      <w:r w:rsidRPr="001302ED">
        <w:t xml:space="preserve">Commonwealth environmental water </w:t>
      </w:r>
      <w:r>
        <w:t xml:space="preserve">deliveries </w:t>
      </w:r>
      <w:r w:rsidR="002F32CF">
        <w:t>(Section</w:t>
      </w:r>
      <w:r w:rsidR="001D0A2C">
        <w:t xml:space="preserve">s </w:t>
      </w:r>
      <w:r w:rsidR="00E24BD1">
        <w:fldChar w:fldCharType="begin"/>
      </w:r>
      <w:r w:rsidR="00E24BD1">
        <w:instrText xml:space="preserve"> REF _Ref30588561 \r \h </w:instrText>
      </w:r>
      <w:r w:rsidR="00E24BD1">
        <w:fldChar w:fldCharType="separate"/>
      </w:r>
      <w:r w:rsidR="00241910">
        <w:t>2</w:t>
      </w:r>
      <w:r w:rsidR="00E24BD1">
        <w:fldChar w:fldCharType="end"/>
      </w:r>
      <w:r w:rsidR="00D9103F">
        <w:t>,</w:t>
      </w:r>
      <w:r w:rsidR="002F32CF">
        <w:t xml:space="preserve"> </w:t>
      </w:r>
      <w:r w:rsidR="002F32CF">
        <w:fldChar w:fldCharType="begin"/>
      </w:r>
      <w:r w:rsidR="002F32CF">
        <w:instrText xml:space="preserve"> REF _Ref432499914 \r \h </w:instrText>
      </w:r>
      <w:r w:rsidR="002F32CF">
        <w:fldChar w:fldCharType="separate"/>
      </w:r>
      <w:r w:rsidR="00241910">
        <w:t>3</w:t>
      </w:r>
      <w:r w:rsidR="002F32CF">
        <w:fldChar w:fldCharType="end"/>
      </w:r>
      <w:r w:rsidR="00D9103F">
        <w:t xml:space="preserve"> and </w:t>
      </w:r>
      <w:r w:rsidR="00D56662">
        <w:t>4</w:t>
      </w:r>
      <w:r w:rsidR="001302ED" w:rsidRPr="001302ED">
        <w:t xml:space="preserve">). </w:t>
      </w:r>
      <w:r w:rsidRPr="001302ED">
        <w:t xml:space="preserve">Refer to previous annual </w:t>
      </w:r>
      <w:r>
        <w:t xml:space="preserve">reports </w:t>
      </w:r>
      <w:r w:rsidRPr="001302ED">
        <w:t xml:space="preserve">(Ye </w:t>
      </w:r>
      <w:r w:rsidRPr="00000142">
        <w:rPr>
          <w:i/>
        </w:rPr>
        <w:t>et al.</w:t>
      </w:r>
      <w:r w:rsidRPr="001302ED">
        <w:t xml:space="preserve"> 2016</w:t>
      </w:r>
      <w:r>
        <w:t>b</w:t>
      </w:r>
      <w:r w:rsidRPr="001302ED">
        <w:t>; 2017; 2018</w:t>
      </w:r>
      <w:r>
        <w:t>; 2019; 2020</w:t>
      </w:r>
      <w:r w:rsidRPr="001302ED">
        <w:t>)</w:t>
      </w:r>
      <w:r>
        <w:t xml:space="preserve"> </w:t>
      </w:r>
      <w:r w:rsidRPr="001302ED">
        <w:t xml:space="preserve">for </w:t>
      </w:r>
      <w:r>
        <w:t>Lower Murray monitoring findings from 2014-15 to 2018-19</w:t>
      </w:r>
      <w:r w:rsidRPr="001302ED">
        <w:t xml:space="preserve">, and </w:t>
      </w:r>
      <w:r>
        <w:t xml:space="preserve">the </w:t>
      </w:r>
      <w:r w:rsidRPr="008E28C3">
        <w:rPr>
          <w:i/>
        </w:rPr>
        <w:t>Monitoring</w:t>
      </w:r>
      <w:r>
        <w:rPr>
          <w:i/>
        </w:rPr>
        <w:t>,</w:t>
      </w:r>
      <w:r w:rsidRPr="008E28C3">
        <w:rPr>
          <w:i/>
        </w:rPr>
        <w:t xml:space="preserve"> Evaluation</w:t>
      </w:r>
      <w:r>
        <w:rPr>
          <w:i/>
        </w:rPr>
        <w:t xml:space="preserve"> and Research</w:t>
      </w:r>
      <w:r w:rsidRPr="008E28C3">
        <w:rPr>
          <w:i/>
        </w:rPr>
        <w:t xml:space="preserve"> Plan for the </w:t>
      </w:r>
      <w:r>
        <w:rPr>
          <w:i/>
        </w:rPr>
        <w:t>Lower Murray</w:t>
      </w:r>
      <w:r w:rsidRPr="009E11E0">
        <w:t xml:space="preserve"> (SARDI </w:t>
      </w:r>
      <w:r w:rsidRPr="009E11E0">
        <w:rPr>
          <w:i/>
        </w:rPr>
        <w:t>et al.</w:t>
      </w:r>
      <w:r w:rsidRPr="009E11E0">
        <w:t xml:space="preserve"> 201</w:t>
      </w:r>
      <w:r>
        <w:t>9</w:t>
      </w:r>
      <w:r w:rsidRPr="009E11E0">
        <w:t>)</w:t>
      </w:r>
      <w:r>
        <w:t xml:space="preserve"> for </w:t>
      </w:r>
      <w:r w:rsidRPr="001302ED">
        <w:t>a detailed description of methods</w:t>
      </w:r>
      <w:r>
        <w:t xml:space="preserve"> for current activities. Specific </w:t>
      </w:r>
      <w:r w:rsidR="00DB7E07">
        <w:t>m</w:t>
      </w:r>
      <w:r w:rsidR="00FB02A4">
        <w:t xml:space="preserve">anagement </w:t>
      </w:r>
      <w:r w:rsidR="001302ED" w:rsidRPr="001302ED" w:rsidDel="00AD6E69">
        <w:t>recommendations for environmental flow</w:t>
      </w:r>
      <w:r w:rsidR="00FB02A4">
        <w:t>s</w:t>
      </w:r>
      <w:r w:rsidR="001302ED" w:rsidRPr="001302ED" w:rsidDel="00AD6E69">
        <w:t xml:space="preserve"> in the </w:t>
      </w:r>
      <w:r w:rsidR="00B6050B">
        <w:t>Lower Murray</w:t>
      </w:r>
      <w:r w:rsidR="00B6050B" w:rsidRPr="001302ED" w:rsidDel="00AD6E69">
        <w:t xml:space="preserve"> </w:t>
      </w:r>
      <w:r w:rsidR="001302ED" w:rsidRPr="001302ED" w:rsidDel="00AD6E69">
        <w:t xml:space="preserve">are provided in Section </w:t>
      </w:r>
      <w:r w:rsidR="00A11A13">
        <w:fldChar w:fldCharType="begin"/>
      </w:r>
      <w:r w:rsidR="00A11A13">
        <w:instrText xml:space="preserve"> REF _Ref30588561 \r \h </w:instrText>
      </w:r>
      <w:r w:rsidR="00A11A13">
        <w:fldChar w:fldCharType="separate"/>
      </w:r>
      <w:r w:rsidR="00241910">
        <w:t>2</w:t>
      </w:r>
      <w:r w:rsidR="00A11A13">
        <w:fldChar w:fldCharType="end"/>
      </w:r>
      <w:r w:rsidR="00DB7E07">
        <w:t xml:space="preserve">, with general management implications summarised in Section </w:t>
      </w:r>
      <w:r w:rsidR="00A11A13">
        <w:fldChar w:fldCharType="begin"/>
      </w:r>
      <w:r w:rsidR="00A11A13">
        <w:instrText xml:space="preserve"> REF _Ref30588787 \r \h </w:instrText>
      </w:r>
      <w:r w:rsidR="00A11A13">
        <w:fldChar w:fldCharType="separate"/>
      </w:r>
      <w:r w:rsidR="00241910">
        <w:t>5</w:t>
      </w:r>
      <w:r w:rsidR="00A11A13">
        <w:fldChar w:fldCharType="end"/>
      </w:r>
      <w:r w:rsidR="001302ED" w:rsidRPr="001302ED" w:rsidDel="00AD6E69">
        <w:t xml:space="preserve">, based on monitoring and evaluation outcomes, and expert knowledge. </w:t>
      </w:r>
      <w:r w:rsidR="006D7405" w:rsidRPr="007A43DC">
        <w:t xml:space="preserve">Findings from the integrated research project will be presented in a separate </w:t>
      </w:r>
      <w:r w:rsidR="00473A8E">
        <w:t xml:space="preserve">interim </w:t>
      </w:r>
      <w:r w:rsidR="006D7405" w:rsidRPr="007A43DC">
        <w:t>report</w:t>
      </w:r>
      <w:r w:rsidR="00401DB4" w:rsidRPr="007A43DC">
        <w:t xml:space="preserve"> and be incorporated into the final MER technical report (2021-22)</w:t>
      </w:r>
      <w:r w:rsidR="006D7405" w:rsidRPr="007A43DC">
        <w:t>.</w:t>
      </w:r>
      <w:r>
        <w:t xml:space="preserve"> </w:t>
      </w:r>
      <w:r w:rsidRPr="001302ED">
        <w:t xml:space="preserve">Monitoring and evaluation of Commonwealth environmental water delivery in the </w:t>
      </w:r>
      <w:r>
        <w:t>Lower Murray</w:t>
      </w:r>
      <w:r w:rsidRPr="001302ED">
        <w:t xml:space="preserve"> </w:t>
      </w:r>
      <w:r>
        <w:t>focusses</w:t>
      </w:r>
      <w:r w:rsidRPr="001302ED">
        <w:t xml:space="preserve"> on </w:t>
      </w:r>
      <w:r>
        <w:t xml:space="preserve">the main watering period of </w:t>
      </w:r>
      <w:r w:rsidRPr="001302ED">
        <w:t>spring</w:t>
      </w:r>
      <w:r>
        <w:sym w:font="Symbol" w:char="F02D"/>
      </w:r>
      <w:r w:rsidRPr="001302ED">
        <w:t>summer; therefore, our findings and recommendations on environmental water management are most relevant to this period.</w:t>
      </w:r>
    </w:p>
    <w:p w14:paraId="7B6032A7" w14:textId="1C200078" w:rsidR="006237D5" w:rsidRDefault="006237D5" w:rsidP="008E28C3">
      <w:pPr>
        <w:spacing w:before="0" w:after="160" w:line="259" w:lineRule="auto"/>
        <w:jc w:val="left"/>
      </w:pPr>
      <w:bookmarkStart w:id="62" w:name="_Ref527530312"/>
      <w:bookmarkStart w:id="63" w:name="_Toc3558335"/>
    </w:p>
    <w:p w14:paraId="4B76ADA9" w14:textId="77777777" w:rsidR="006237D5" w:rsidRDefault="006237D5">
      <w:pPr>
        <w:spacing w:before="0" w:after="160" w:line="259" w:lineRule="auto"/>
        <w:jc w:val="left"/>
        <w:rPr>
          <w:rFonts w:eastAsiaTheme="majorEastAsia" w:cstheme="majorBidi"/>
          <w:b/>
          <w:bCs/>
          <w:caps/>
          <w:color w:val="44546A" w:themeColor="text2"/>
          <w:sz w:val="32"/>
          <w:szCs w:val="28"/>
        </w:rPr>
      </w:pPr>
      <w:r>
        <w:br w:type="page"/>
      </w:r>
    </w:p>
    <w:p w14:paraId="1C6FDFB0" w14:textId="091366AB" w:rsidR="006237D5" w:rsidRDefault="006237D5" w:rsidP="006237D5">
      <w:pPr>
        <w:pStyle w:val="Heading1"/>
      </w:pPr>
      <w:bookmarkStart w:id="64" w:name="_Ref15904940"/>
      <w:bookmarkStart w:id="65" w:name="_Ref30588561"/>
      <w:bookmarkStart w:id="66" w:name="_Toc69309235"/>
      <w:bookmarkStart w:id="67" w:name="_Hlk63411890"/>
      <w:r>
        <w:t>Indicators</w:t>
      </w:r>
      <w:bookmarkEnd w:id="62"/>
      <w:bookmarkEnd w:id="63"/>
      <w:bookmarkEnd w:id="64"/>
      <w:bookmarkEnd w:id="65"/>
      <w:bookmarkEnd w:id="66"/>
    </w:p>
    <w:p w14:paraId="0AE52C4C" w14:textId="4B292D25" w:rsidR="006237D5" w:rsidRPr="00CC39E2" w:rsidRDefault="006237D5" w:rsidP="006237D5">
      <w:pPr>
        <w:pStyle w:val="Heading2"/>
      </w:pPr>
      <w:bookmarkStart w:id="68" w:name="_Toc441838733"/>
      <w:bookmarkStart w:id="69" w:name="_Ref532822730"/>
      <w:bookmarkStart w:id="70" w:name="_Toc3558336"/>
      <w:bookmarkStart w:id="71" w:name="_Ref35872226"/>
      <w:bookmarkStart w:id="72" w:name="_Ref58249886"/>
      <w:bookmarkStart w:id="73" w:name="_Ref58943096"/>
      <w:bookmarkStart w:id="74" w:name="_Ref63942940"/>
      <w:bookmarkStart w:id="75" w:name="_Toc69309236"/>
      <w:bookmarkEnd w:id="67"/>
      <w:r w:rsidRPr="00412E7A">
        <w:t>Hydr</w:t>
      </w:r>
      <w:r w:rsidR="00F46757">
        <w:t>aulic</w:t>
      </w:r>
      <w:r w:rsidRPr="00412E7A">
        <w:t xml:space="preserve"> Regime</w:t>
      </w:r>
      <w:bookmarkEnd w:id="68"/>
      <w:bookmarkEnd w:id="69"/>
      <w:bookmarkEnd w:id="70"/>
      <w:bookmarkEnd w:id="71"/>
      <w:bookmarkEnd w:id="72"/>
      <w:bookmarkEnd w:id="73"/>
      <w:bookmarkEnd w:id="74"/>
      <w:bookmarkEnd w:id="75"/>
    </w:p>
    <w:p w14:paraId="0CCEC4ED" w14:textId="77777777" w:rsidR="007867D5" w:rsidRDefault="007867D5" w:rsidP="007867D5">
      <w:pPr>
        <w:pStyle w:val="Heading3"/>
      </w:pPr>
      <w:r>
        <w:t>Background</w:t>
      </w:r>
    </w:p>
    <w:p w14:paraId="73658199" w14:textId="0F883C27" w:rsidR="007867D5" w:rsidRDefault="007867D5" w:rsidP="007867D5">
      <w:r>
        <w:t xml:space="preserve">The discharge, or </w:t>
      </w:r>
      <w:r w:rsidRPr="00FA7470">
        <w:rPr>
          <w:i/>
        </w:rPr>
        <w:t>hydrology</w:t>
      </w:r>
      <w:r>
        <w:t xml:space="preserve">, in the Lower Murray Selected Area was determined through routine monitoring. The hydrology expected to have occurred without environmental water components was determined by the </w:t>
      </w:r>
      <w:r>
        <w:rPr>
          <w:u w:color="0B4CB4"/>
          <w:lang w:val="en-US"/>
        </w:rPr>
        <w:t>Murray–Darling Basin Authority</w:t>
      </w:r>
      <w:r>
        <w:t xml:space="preserve"> (MDBA) using a counterfactual modelling approach</w:t>
      </w:r>
      <w:r w:rsidRPr="00CA2C31">
        <w:t xml:space="preserve"> </w:t>
      </w:r>
      <w:r>
        <w:t xml:space="preserve">(Ye </w:t>
      </w:r>
      <w:r w:rsidRPr="009E7CC4">
        <w:rPr>
          <w:i/>
          <w:iCs/>
        </w:rPr>
        <w:t>et al.</w:t>
      </w:r>
      <w:r>
        <w:t xml:space="preserve"> 2020).</w:t>
      </w:r>
    </w:p>
    <w:p w14:paraId="1829D20E" w14:textId="7D9FB66E" w:rsidR="007867D5" w:rsidRDefault="007867D5" w:rsidP="007867D5">
      <w:r w:rsidRPr="00FB729C">
        <w:t xml:space="preserve">The </w:t>
      </w:r>
      <w:r w:rsidRPr="003F5650">
        <w:rPr>
          <w:i/>
        </w:rPr>
        <w:t>hydraulic</w:t>
      </w:r>
      <w:r w:rsidRPr="00FB729C">
        <w:t xml:space="preserve"> characteris</w:t>
      </w:r>
      <w:r>
        <w:t>tics (</w:t>
      </w:r>
      <w:proofErr w:type="gramStart"/>
      <w:r>
        <w:t>e.g.</w:t>
      </w:r>
      <w:proofErr w:type="gramEnd"/>
      <w:r>
        <w:t xml:space="preserve"> depth</w:t>
      </w:r>
      <w:r w:rsidR="007A092B">
        <w:t>/water level</w:t>
      </w:r>
      <w:r>
        <w:t xml:space="preserve"> or flow velocity</w:t>
      </w:r>
      <w:r w:rsidRPr="00FB729C">
        <w:t>) of fluvial ecosystems result from the interaction of discharge and physical features (e.g. channel morphology, woody debris, man-made structures, etc.), and have a profound influence on river ecosystem structure and function (</w:t>
      </w:r>
      <w:proofErr w:type="spellStart"/>
      <w:r w:rsidRPr="00FB729C">
        <w:t>Statzner</w:t>
      </w:r>
      <w:proofErr w:type="spellEnd"/>
      <w:r w:rsidRPr="00FB729C">
        <w:t xml:space="preserve"> and </w:t>
      </w:r>
      <w:proofErr w:type="spellStart"/>
      <w:r w:rsidRPr="00FB729C">
        <w:t>Higler</w:t>
      </w:r>
      <w:proofErr w:type="spellEnd"/>
      <w:r w:rsidRPr="00FB729C">
        <w:t xml:space="preserve"> 1986</w:t>
      </w:r>
      <w:r>
        <w:t xml:space="preserve">; Biggs </w:t>
      </w:r>
      <w:r w:rsidRPr="00ED4BF9">
        <w:rPr>
          <w:i/>
        </w:rPr>
        <w:t>et al.</w:t>
      </w:r>
      <w:r w:rsidRPr="00FB729C">
        <w:t xml:space="preserve"> </w:t>
      </w:r>
      <w:r>
        <w:t xml:space="preserve">2005; </w:t>
      </w:r>
      <w:r w:rsidRPr="00FB729C">
        <w:t>B</w:t>
      </w:r>
      <w:r>
        <w:t>ice</w:t>
      </w:r>
      <w:r w:rsidRPr="00ED4BF9">
        <w:rPr>
          <w:i/>
        </w:rPr>
        <w:t xml:space="preserve"> et al.</w:t>
      </w:r>
      <w:r w:rsidRPr="00FB729C">
        <w:t xml:space="preserve"> </w:t>
      </w:r>
      <w:r>
        <w:t>2017</w:t>
      </w:r>
      <w:r w:rsidRPr="00FB729C">
        <w:t>)</w:t>
      </w:r>
      <w:r>
        <w:t xml:space="preserve"> (also see Section </w:t>
      </w:r>
      <w:r>
        <w:fldChar w:fldCharType="begin"/>
      </w:r>
      <w:r>
        <w:instrText xml:space="preserve"> REF _Ref25308922 \r \h </w:instrText>
      </w:r>
      <w:r>
        <w:fldChar w:fldCharType="separate"/>
      </w:r>
      <w:r w:rsidR="00241910">
        <w:t>1.1</w:t>
      </w:r>
      <w:r>
        <w:fldChar w:fldCharType="end"/>
      </w:r>
      <w:r>
        <w:t>)</w:t>
      </w:r>
      <w:r w:rsidRPr="00FB729C">
        <w:t xml:space="preserve">. It is these hydraulic characteristics </w:t>
      </w:r>
      <w:r>
        <w:t xml:space="preserve">that biota can sense and respond to, i.e. a change in velocity or water level, rather than a change in discharge. </w:t>
      </w:r>
    </w:p>
    <w:p w14:paraId="176C2626" w14:textId="4438B8E5" w:rsidR="007867D5" w:rsidRPr="00FB729C" w:rsidRDefault="007867D5" w:rsidP="007867D5">
      <w:r>
        <w:t>The purpose of this indicator was to quantify the changes in hydraulics due to the delivery of environmental water</w:t>
      </w:r>
      <w:r w:rsidRPr="00FA7470">
        <w:t xml:space="preserve"> </w:t>
      </w:r>
      <w:r>
        <w:t>using hydraulic models, to provide a basis to infer ecological changes caused by environmental water.</w:t>
      </w:r>
      <w:r w:rsidRPr="00FB729C">
        <w:t xml:space="preserve"> This approach is particularly important in the </w:t>
      </w:r>
      <w:r>
        <w:t>LMR</w:t>
      </w:r>
      <w:r w:rsidRPr="00FB729C">
        <w:t xml:space="preserve"> where a given discharge may not </w:t>
      </w:r>
      <w:r>
        <w:t>produce the same</w:t>
      </w:r>
      <w:r w:rsidRPr="00FB729C">
        <w:t xml:space="preserve"> hydraulic response, as downstream structures </w:t>
      </w:r>
      <w:r>
        <w:t xml:space="preserve">(weirs) </w:t>
      </w:r>
      <w:r w:rsidRPr="00FB729C">
        <w:t xml:space="preserve">will </w:t>
      </w:r>
      <w:r>
        <w:t xml:space="preserve">also </w:t>
      </w:r>
      <w:r w:rsidRPr="00FB729C">
        <w:t xml:space="preserve">influence the </w:t>
      </w:r>
      <w:r w:rsidR="005E1757" w:rsidRPr="00FB729C">
        <w:t>hydraulics</w:t>
      </w:r>
      <w:r w:rsidR="005E1757">
        <w:t xml:space="preserve"> that are occurring</w:t>
      </w:r>
      <w:r>
        <w:t>.</w:t>
      </w:r>
      <w:r w:rsidRPr="00FB729C">
        <w:t xml:space="preserve"> </w:t>
      </w:r>
    </w:p>
    <w:p w14:paraId="2B004916" w14:textId="77777777" w:rsidR="007867D5" w:rsidRPr="00E35C12" w:rsidRDefault="007867D5" w:rsidP="007867D5">
      <w:pPr>
        <w:rPr>
          <w:i/>
          <w:u w:val="single"/>
        </w:rPr>
      </w:pPr>
      <w:r w:rsidRPr="00E35C12">
        <w:rPr>
          <w:i/>
          <w:u w:val="single"/>
        </w:rPr>
        <w:t>Hypothesis</w:t>
      </w:r>
    </w:p>
    <w:p w14:paraId="45009D32" w14:textId="1B7E9AFB" w:rsidR="007867D5" w:rsidRPr="00E35C12" w:rsidRDefault="007A092B" w:rsidP="007867D5">
      <w:pPr>
        <w:rPr>
          <w:i/>
          <w:u w:val="single"/>
        </w:rPr>
      </w:pPr>
      <w:r w:rsidRPr="007A092B">
        <w:t xml:space="preserve">Commonwealth environmental water will </w:t>
      </w:r>
      <w:r w:rsidR="006B32D4" w:rsidRPr="007A092B">
        <w:t xml:space="preserve">promote </w:t>
      </w:r>
      <w:r w:rsidR="005E1757">
        <w:t xml:space="preserve">a </w:t>
      </w:r>
      <w:r w:rsidR="006B32D4" w:rsidRPr="007A092B">
        <w:t xml:space="preserve">greater extent </w:t>
      </w:r>
      <w:r w:rsidRPr="007A092B">
        <w:t>of lotic habitat as evidenced by increased water velocities and variability in water levels</w:t>
      </w:r>
      <w:r>
        <w:t>.</w:t>
      </w:r>
    </w:p>
    <w:p w14:paraId="439B5697" w14:textId="77777777" w:rsidR="007867D5" w:rsidRPr="00E35C12" w:rsidRDefault="007867D5" w:rsidP="007867D5">
      <w:pPr>
        <w:pStyle w:val="Heading3"/>
      </w:pPr>
      <w:r w:rsidRPr="00E35C12">
        <w:t>Methods</w:t>
      </w:r>
    </w:p>
    <w:p w14:paraId="3955A703" w14:textId="2B6DC993" w:rsidR="007867D5" w:rsidRDefault="007867D5" w:rsidP="007867D5">
      <w:r>
        <w:t>A</w:t>
      </w:r>
      <w:r w:rsidRPr="001F16C5">
        <w:t xml:space="preserve"> steady</w:t>
      </w:r>
      <w:r>
        <w:t>-</w:t>
      </w:r>
      <w:r w:rsidRPr="001F16C5">
        <w:t>state</w:t>
      </w:r>
      <w:r>
        <w:t xml:space="preserve"> modelling</w:t>
      </w:r>
      <w:r w:rsidRPr="001F16C5">
        <w:t xml:space="preserve"> approach </w:t>
      </w:r>
      <w:r>
        <w:t>was</w:t>
      </w:r>
      <w:r w:rsidRPr="001F16C5">
        <w:t xml:space="preserve"> adopted, </w:t>
      </w:r>
      <w:proofErr w:type="gramStart"/>
      <w:r>
        <w:t>similar to</w:t>
      </w:r>
      <w:proofErr w:type="gramEnd"/>
      <w:r>
        <w:t xml:space="preserve"> that </w:t>
      </w:r>
      <w:r w:rsidRPr="00FA7470">
        <w:t xml:space="preserve">used in the </w:t>
      </w:r>
      <w:bookmarkStart w:id="76" w:name="_Hlk526773709"/>
      <w:r w:rsidRPr="00FA7470">
        <w:t xml:space="preserve">Goulburn (Webb </w:t>
      </w:r>
      <w:r w:rsidRPr="00142423">
        <w:rPr>
          <w:i/>
        </w:rPr>
        <w:t>et al.</w:t>
      </w:r>
      <w:r w:rsidRPr="00FA7470">
        <w:t xml:space="preserve"> 2015) and Edward-Wakool </w:t>
      </w:r>
      <w:r>
        <w:t xml:space="preserve">(Watts </w:t>
      </w:r>
      <w:r w:rsidRPr="00142423">
        <w:rPr>
          <w:i/>
        </w:rPr>
        <w:t>et al.</w:t>
      </w:r>
      <w:r>
        <w:t xml:space="preserve"> 2015) S</w:t>
      </w:r>
      <w:r w:rsidRPr="00FA7470">
        <w:t xml:space="preserve">elected </w:t>
      </w:r>
      <w:r>
        <w:t>A</w:t>
      </w:r>
      <w:r w:rsidRPr="00FA7470">
        <w:t>reas</w:t>
      </w:r>
      <w:bookmarkEnd w:id="76"/>
      <w:r w:rsidRPr="00FA7470">
        <w:t xml:space="preserve">. </w:t>
      </w:r>
      <w:r>
        <w:t>For each weir pool within the Lower Murray Selected Area, i.e. Weir Pools 1 to 5, as well as the river between Lock 1 and Wellington, a range of steady state flow scenarios were simulated in the hydraulic models (2,000–100,000 ML/d)</w:t>
      </w:r>
      <w:r w:rsidRPr="002E1C6A">
        <w:t xml:space="preserve"> and a range of weir pool levels required to</w:t>
      </w:r>
      <w:r>
        <w:t xml:space="preserve"> cover the range of conditions experienced. Models used for this analysis are outlined in McCullough </w:t>
      </w:r>
      <w:r w:rsidRPr="005061CF">
        <w:rPr>
          <w:i/>
        </w:rPr>
        <w:t>et al.</w:t>
      </w:r>
      <w:r>
        <w:t xml:space="preserve"> (2017) and </w:t>
      </w:r>
      <w:proofErr w:type="spellStart"/>
      <w:r>
        <w:t>Montazeri</w:t>
      </w:r>
      <w:proofErr w:type="spellEnd"/>
      <w:r>
        <w:t xml:space="preserve"> and Gibbs (2019). For each steady state scenario, a range of hydraulic metrics were computed, including the 10</w:t>
      </w:r>
      <w:r w:rsidRPr="00C9430E">
        <w:rPr>
          <w:vertAlign w:val="superscript"/>
        </w:rPr>
        <w:t>th</w:t>
      </w:r>
      <w:r>
        <w:t>, 50</w:t>
      </w:r>
      <w:r w:rsidRPr="00C9430E">
        <w:rPr>
          <w:vertAlign w:val="superscript"/>
        </w:rPr>
        <w:t>th</w:t>
      </w:r>
      <w:r>
        <w:t xml:space="preserve"> and 90</w:t>
      </w:r>
      <w:r w:rsidRPr="00C9430E">
        <w:rPr>
          <w:vertAlign w:val="superscript"/>
        </w:rPr>
        <w:t>th</w:t>
      </w:r>
      <w:r>
        <w:t xml:space="preserve"> percentile velocities within the weir pool, the proportion of the weir pool exceeding 0.2 and 0.3 metres per second (m/</w:t>
      </w:r>
      <w:r w:rsidRPr="0004527F">
        <w:t>s</w:t>
      </w:r>
      <w:r>
        <w:t>)</w:t>
      </w:r>
      <w:r w:rsidRPr="0004527F">
        <w:t>,</w:t>
      </w:r>
      <w:r>
        <w:rPr>
          <w:vertAlign w:val="superscript"/>
        </w:rPr>
        <w:t xml:space="preserve"> </w:t>
      </w:r>
      <w:r>
        <w:t>and water levels at regular locations along the weir pool.</w:t>
      </w:r>
      <w:r w:rsidRPr="00595F6C">
        <w:t xml:space="preserve"> </w:t>
      </w:r>
      <w:r>
        <w:t>The former water velocity (&gt;0.2 m/s) represents</w:t>
      </w:r>
      <w:r w:rsidRPr="005109EC">
        <w:t xml:space="preserve"> </w:t>
      </w:r>
      <w:r>
        <w:t>favourable velocities that entrai</w:t>
      </w:r>
      <w:r w:rsidRPr="005109EC">
        <w:t>n and transport</w:t>
      </w:r>
      <w:r>
        <w:t xml:space="preserve">/disperse phytoplankton, </w:t>
      </w:r>
      <w:proofErr w:type="gramStart"/>
      <w:r>
        <w:t>zooplankton</w:t>
      </w:r>
      <w:proofErr w:type="gramEnd"/>
      <w:r>
        <w:t xml:space="preserve"> and fish larvae (Gibbs </w:t>
      </w:r>
      <w:r w:rsidRPr="00376FFC">
        <w:rPr>
          <w:i/>
        </w:rPr>
        <w:t>et al.</w:t>
      </w:r>
      <w:r>
        <w:t xml:space="preserve"> 2020) and allow gas exchange at the water surface (see Section </w:t>
      </w:r>
      <w:r>
        <w:fldChar w:fldCharType="begin"/>
      </w:r>
      <w:r>
        <w:instrText xml:space="preserve"> REF _Ref533001074 \r \h </w:instrText>
      </w:r>
      <w:r>
        <w:fldChar w:fldCharType="separate"/>
      </w:r>
      <w:r w:rsidR="00241910">
        <w:t>2.2</w:t>
      </w:r>
      <w:r>
        <w:fldChar w:fldCharType="end"/>
      </w:r>
      <w:r>
        <w:t xml:space="preserve"> Stream Metabolism), and the latter (&gt;0.3 m/s) represents</w:t>
      </w:r>
      <w:r w:rsidRPr="0004527F">
        <w:t xml:space="preserve"> </w:t>
      </w:r>
      <w:r>
        <w:t>flowing water (</w:t>
      </w:r>
      <w:r w:rsidRPr="0004527F">
        <w:t>lotic</w:t>
      </w:r>
      <w:r>
        <w:t>)</w:t>
      </w:r>
      <w:r w:rsidRPr="0004527F">
        <w:t xml:space="preserve"> conditions</w:t>
      </w:r>
      <w:r>
        <w:t xml:space="preserve"> for riverine biota (Bice </w:t>
      </w:r>
      <w:r w:rsidRPr="00142423">
        <w:rPr>
          <w:i/>
        </w:rPr>
        <w:t>et al.</w:t>
      </w:r>
      <w:r>
        <w:t xml:space="preserve"> 2017</w:t>
      </w:r>
      <w:r w:rsidRPr="0004527F">
        <w:t>)</w:t>
      </w:r>
      <w:r>
        <w:t>.</w:t>
      </w:r>
    </w:p>
    <w:p w14:paraId="25F4F4DC" w14:textId="6E503FE8" w:rsidR="007867D5" w:rsidRDefault="007867D5" w:rsidP="007867D5">
      <w:r>
        <w:t>To enable a consistent comparison of in-channel velocity changes due to environmental water, the same area was used for all velocity analys</w:t>
      </w:r>
      <w:r w:rsidR="005E1757">
        <w:t>e</w:t>
      </w:r>
      <w:r>
        <w:t>s. The area used for velocity analysis</w:t>
      </w:r>
      <w:r w:rsidRPr="0004527F">
        <w:t xml:space="preserve"> </w:t>
      </w:r>
      <w:r>
        <w:t xml:space="preserve">for each weir pool comprised the inundated area at flows of 5,000 ML/d and </w:t>
      </w:r>
      <w:r w:rsidRPr="0004527F">
        <w:t>normal</w:t>
      </w:r>
      <w:r>
        <w:t xml:space="preserve"> pool level conditions. As changes to in-channel velocities were the focus of this analysis, this approach of eliminating </w:t>
      </w:r>
      <w:r w:rsidR="005E1757">
        <w:t xml:space="preserve">additional inundated areas was </w:t>
      </w:r>
      <w:r>
        <w:t>considered reasonable. Additionally, where the full inundated area was used, the disproportionate increase in area of slow flowing backwaters compared to in-channel area as discharge increased had a large impact on the overall proportion of the weir pool with low velocities.</w:t>
      </w:r>
    </w:p>
    <w:p w14:paraId="41625C6F" w14:textId="77777777" w:rsidR="007867D5" w:rsidRDefault="007867D5" w:rsidP="007867D5">
      <w:r>
        <w:t>Post-processing correction to the modelled water levels downstream of each lock was undertaken. A linear regression relationship between flow and the difference in modelled and recorded water level was used to correct for any systematic bias introduced by errors in the hydraulic model. Following this correction, the remaining residual error between the modelled and recorded data each day was applied to all scenarios, which represents random error introduced by other factors, such as wind setup. This results in modelled water levels that are the same as the observed water level downstream of each lock for the scenario representing observed conditions (</w:t>
      </w:r>
      <w:r w:rsidRPr="00615E35">
        <w:rPr>
          <w:i/>
        </w:rPr>
        <w:t>All</w:t>
      </w:r>
      <w:r>
        <w:rPr>
          <w:i/>
        </w:rPr>
        <w:t xml:space="preserve"> </w:t>
      </w:r>
      <w:r w:rsidRPr="00615E35">
        <w:rPr>
          <w:i/>
        </w:rPr>
        <w:t>Water</w:t>
      </w:r>
      <w:r>
        <w:t xml:space="preserve">) with consistent corrections applied to the without environmental water scenarios. </w:t>
      </w:r>
    </w:p>
    <w:p w14:paraId="7580F739" w14:textId="77777777" w:rsidR="007867D5" w:rsidRPr="00E35C12" w:rsidRDefault="007867D5" w:rsidP="007867D5">
      <w:pPr>
        <w:rPr>
          <w:i/>
          <w:u w:val="single"/>
        </w:rPr>
      </w:pPr>
      <w:r w:rsidRPr="00E35C12">
        <w:rPr>
          <w:i/>
          <w:u w:val="single"/>
        </w:rPr>
        <w:t>Environmental water scenarios</w:t>
      </w:r>
    </w:p>
    <w:p w14:paraId="6F992AEF" w14:textId="3FCB80B3" w:rsidR="007867D5" w:rsidRPr="006C2004" w:rsidRDefault="007867D5" w:rsidP="007867D5">
      <w:r>
        <w:t xml:space="preserve">With the lookup information derived from the hydraulic models, the time series of discharge for each of the environmental water scenarios presented in Section </w:t>
      </w:r>
      <w:r>
        <w:fldChar w:fldCharType="begin"/>
      </w:r>
      <w:r>
        <w:instrText xml:space="preserve"> REF _Ref25159866 \r \h </w:instrText>
      </w:r>
      <w:r>
        <w:fldChar w:fldCharType="separate"/>
      </w:r>
      <w:r w:rsidR="00241910">
        <w:t>1.4</w:t>
      </w:r>
      <w:r>
        <w:fldChar w:fldCharType="end"/>
      </w:r>
      <w:r>
        <w:t xml:space="preserve"> and the downstream water level each day for each weir pool, time series of hydraulic parameters were interpolated using linear bivariate interpolation (R version 3.6.0 and </w:t>
      </w:r>
      <w:proofErr w:type="spellStart"/>
      <w:r>
        <w:t>akima</w:t>
      </w:r>
      <w:proofErr w:type="spellEnd"/>
      <w:r>
        <w:t xml:space="preserve"> package 0.6-2). Four scenarios have been considered based on the discharge data available, i.e. with all environmental water (“</w:t>
      </w:r>
      <w:r w:rsidRPr="00E94481">
        <w:rPr>
          <w:b/>
          <w:bCs/>
          <w:i/>
        </w:rPr>
        <w:t>All Water</w:t>
      </w:r>
      <w:r>
        <w:t>”, representing observed conditions), without Commonwealth environmental water (“</w:t>
      </w:r>
      <w:r w:rsidRPr="00E94481">
        <w:rPr>
          <w:b/>
          <w:bCs/>
          <w:i/>
        </w:rPr>
        <w:t>No CEW</w:t>
      </w:r>
      <w:r>
        <w:t>”), without any environmental water (“</w:t>
      </w:r>
      <w:r w:rsidRPr="00E94481">
        <w:rPr>
          <w:b/>
          <w:bCs/>
          <w:i/>
        </w:rPr>
        <w:t>No eWater</w:t>
      </w:r>
      <w:r>
        <w:t>”), and a representation of natural conditions, Without Development (“</w:t>
      </w:r>
      <w:proofErr w:type="spellStart"/>
      <w:r w:rsidRPr="00F64316">
        <w:rPr>
          <w:b/>
          <w:bCs/>
          <w:i/>
          <w:iCs/>
        </w:rPr>
        <w:t>WoD</w:t>
      </w:r>
      <w:proofErr w:type="spellEnd"/>
      <w:r>
        <w:t xml:space="preserve">”). </w:t>
      </w:r>
      <w:r w:rsidRPr="00EE4448">
        <w:t xml:space="preserve">The </w:t>
      </w:r>
      <w:r>
        <w:t>discharge</w:t>
      </w:r>
      <w:r w:rsidRPr="00EE4448">
        <w:t xml:space="preserve"> time series for these scenarios were provided by the MDBA</w:t>
      </w:r>
      <w:r>
        <w:t xml:space="preserve">, and the data </w:t>
      </w:r>
      <w:r w:rsidRPr="00E96277">
        <w:t>account</w:t>
      </w:r>
      <w:r>
        <w:t>s</w:t>
      </w:r>
      <w:r w:rsidRPr="00E96277">
        <w:t xml:space="preserve"> for changes in diversions</w:t>
      </w:r>
      <w:r>
        <w:t xml:space="preserve"> expected</w:t>
      </w:r>
      <w:r w:rsidRPr="00E96277">
        <w:t xml:space="preserve"> within </w:t>
      </w:r>
      <w:r>
        <w:t>South Australia</w:t>
      </w:r>
      <w:r w:rsidRPr="00E96277">
        <w:t xml:space="preserve"> </w:t>
      </w:r>
      <w:r>
        <w:t>by assuming full utilisation of the entitlements recovered for the environment in the without environmental water (</w:t>
      </w:r>
      <w:r w:rsidRPr="005C0830">
        <w:rPr>
          <w:i/>
        </w:rPr>
        <w:t>No</w:t>
      </w:r>
      <w:r>
        <w:rPr>
          <w:i/>
        </w:rPr>
        <w:t xml:space="preserve"> </w:t>
      </w:r>
      <w:r w:rsidRPr="005C0830">
        <w:rPr>
          <w:i/>
        </w:rPr>
        <w:t>CEW</w:t>
      </w:r>
      <w:r>
        <w:t xml:space="preserve"> and </w:t>
      </w:r>
      <w:r w:rsidRPr="005C0830">
        <w:rPr>
          <w:i/>
        </w:rPr>
        <w:t>No</w:t>
      </w:r>
      <w:r>
        <w:rPr>
          <w:i/>
        </w:rPr>
        <w:t xml:space="preserve"> </w:t>
      </w:r>
      <w:r w:rsidRPr="005C0830">
        <w:rPr>
          <w:i/>
        </w:rPr>
        <w:t>e</w:t>
      </w:r>
      <w:r>
        <w:rPr>
          <w:i/>
        </w:rPr>
        <w:t>W</w:t>
      </w:r>
      <w:r w:rsidRPr="005C0830">
        <w:rPr>
          <w:i/>
        </w:rPr>
        <w:t>ater</w:t>
      </w:r>
      <w:r>
        <w:t xml:space="preserve">) scenarios. </w:t>
      </w:r>
      <w:proofErr w:type="spellStart"/>
      <w:r w:rsidRPr="006C2004">
        <w:rPr>
          <w:i/>
        </w:rPr>
        <w:t>WoD</w:t>
      </w:r>
      <w:proofErr w:type="spellEnd"/>
      <w:r>
        <w:rPr>
          <w:i/>
        </w:rPr>
        <w:t xml:space="preserve"> </w:t>
      </w:r>
      <w:r>
        <w:t xml:space="preserve">results were not simulated downstream of Lock 1, due to limited information on the natural downstream water level for this scenario. </w:t>
      </w:r>
    </w:p>
    <w:p w14:paraId="6210FBF2" w14:textId="77777777" w:rsidR="007867D5" w:rsidRPr="00A465DF" w:rsidRDefault="007867D5" w:rsidP="007867D5">
      <w:r w:rsidRPr="00E96277">
        <w:t xml:space="preserve">The observed water levels </w:t>
      </w:r>
      <w:r>
        <w:t xml:space="preserve">at each lock, and at Wellington, were used as inputs for the </w:t>
      </w:r>
      <w:r w:rsidRPr="005C0830">
        <w:rPr>
          <w:i/>
        </w:rPr>
        <w:t>All</w:t>
      </w:r>
      <w:r>
        <w:rPr>
          <w:i/>
        </w:rPr>
        <w:t> </w:t>
      </w:r>
      <w:r w:rsidRPr="005C0830">
        <w:rPr>
          <w:i/>
        </w:rPr>
        <w:t>Water</w:t>
      </w:r>
      <w:r>
        <w:t xml:space="preserve"> scenario. For the without environmental water scenarios, the weir pool manipulation at Lock 2 was removed, and instead the water level was assumed to be at normal pool level during these periods. For the Below Lock 1 reach the influence of environmental water on the water level in the Lower Lakes was incorporated, based on MDBA water balance modelling and the recorded water level at Wellington. </w:t>
      </w:r>
    </w:p>
    <w:p w14:paraId="409E6D1F" w14:textId="77777777" w:rsidR="007867D5" w:rsidRPr="00E35C12" w:rsidRDefault="007867D5" w:rsidP="007867D5">
      <w:pPr>
        <w:pStyle w:val="Heading3"/>
      </w:pPr>
      <w:r w:rsidRPr="00E35C12">
        <w:t>Results</w:t>
      </w:r>
    </w:p>
    <w:p w14:paraId="18CD21EB" w14:textId="785DCECC" w:rsidR="007867D5" w:rsidRPr="006C2004" w:rsidRDefault="007867D5" w:rsidP="007867D5">
      <w:bookmarkStart w:id="77" w:name="_Toc524094749"/>
      <w:r>
        <w:t xml:space="preserve">A summary of the results at the Lower Murray Selected Area scale can be seen in </w:t>
      </w:r>
      <w:r>
        <w:fldChar w:fldCharType="begin"/>
      </w:r>
      <w:r>
        <w:instrText xml:space="preserve"> REF _Ref22545004 \h </w:instrText>
      </w:r>
      <w:r>
        <w:fldChar w:fldCharType="separate"/>
      </w:r>
      <w:r w:rsidR="00AD0721">
        <w:t xml:space="preserve">Figure </w:t>
      </w:r>
      <w:r w:rsidR="00AD0721">
        <w:rPr>
          <w:noProof/>
        </w:rPr>
        <w:t>6</w:t>
      </w:r>
      <w:r>
        <w:fldChar w:fldCharType="end"/>
      </w:r>
      <w:r>
        <w:t xml:space="preserve">. </w:t>
      </w:r>
      <w:r w:rsidR="006746D6">
        <w:t xml:space="preserve">For the velocity metrics, only results above Lock 1 were presented here to enable a comparison against the </w:t>
      </w:r>
      <w:r>
        <w:t xml:space="preserve">representation of natural conditions from the </w:t>
      </w:r>
      <w:proofErr w:type="spellStart"/>
      <w:r w:rsidRPr="006C2004">
        <w:rPr>
          <w:i/>
        </w:rPr>
        <w:t>WoD</w:t>
      </w:r>
      <w:proofErr w:type="spellEnd"/>
      <w:r>
        <w:rPr>
          <w:i/>
        </w:rPr>
        <w:t xml:space="preserve"> </w:t>
      </w:r>
      <w:r>
        <w:t xml:space="preserve">scenario. </w:t>
      </w:r>
      <w:r w:rsidR="002B1C0D">
        <w:fldChar w:fldCharType="begin"/>
      </w:r>
      <w:r w:rsidR="002B1C0D">
        <w:instrText xml:space="preserve"> REF _Ref22545004 \h </w:instrText>
      </w:r>
      <w:r w:rsidR="002B1C0D">
        <w:fldChar w:fldCharType="separate"/>
      </w:r>
      <w:r w:rsidR="00AD0721">
        <w:t xml:space="preserve">Figure </w:t>
      </w:r>
      <w:r w:rsidR="00AD0721">
        <w:rPr>
          <w:noProof/>
        </w:rPr>
        <w:t>6</w:t>
      </w:r>
      <w:r w:rsidR="002B1C0D">
        <w:fldChar w:fldCharType="end"/>
      </w:r>
      <w:r w:rsidR="002B1C0D">
        <w:t xml:space="preserve"> </w:t>
      </w:r>
      <w:r>
        <w:t xml:space="preserve">includes the discharge at the South Australian border for the different scenarios, the resulting area </w:t>
      </w:r>
      <w:r w:rsidR="006746D6">
        <w:t>inundated (from Lock 6 to Wellington), and</w:t>
      </w:r>
      <w:r>
        <w:t xml:space="preserve"> length of the river between Lock 6 and Lock 1 experiencing lotic conditions, based on thresholds of velocity &gt;0.2 m/s and &gt;0.3 m/s. </w:t>
      </w:r>
    </w:p>
    <w:p w14:paraId="109AFE2E" w14:textId="77777777" w:rsidR="007867D5" w:rsidRPr="00005E55" w:rsidRDefault="007867D5" w:rsidP="007867D5">
      <w:pPr>
        <w:pStyle w:val="Heading4"/>
      </w:pPr>
      <w:r>
        <w:t>V</w:t>
      </w:r>
      <w:r w:rsidRPr="00005E55">
        <w:t>elocity</w:t>
      </w:r>
    </w:p>
    <w:p w14:paraId="2515DAF7" w14:textId="2D989C0A" w:rsidR="007867D5" w:rsidRDefault="007867D5" w:rsidP="007867D5">
      <w:r>
        <w:t>The modelling indicates that there were substantial short</w:t>
      </w:r>
      <w:r w:rsidR="00876D62">
        <w:t>-</w:t>
      </w:r>
      <w:r>
        <w:t>term changes in the length of river with velocities exceeding 0.2 m/s in 2019-20</w:t>
      </w:r>
      <w:r w:rsidRPr="001F3D7F">
        <w:t xml:space="preserve"> </w:t>
      </w:r>
      <w:r>
        <w:t>due to Commonwealth environmental water. An additional 176 km (52% of the reach) exceeded this threshold for 2 weeks, and 104 km of river (31% of the reach) for a duration of 30 days (</w:t>
      </w:r>
      <w:r>
        <w:fldChar w:fldCharType="begin"/>
      </w:r>
      <w:r>
        <w:instrText xml:space="preserve"> REF _Ref22545004 \h </w:instrText>
      </w:r>
      <w:r>
        <w:fldChar w:fldCharType="separate"/>
      </w:r>
      <w:r w:rsidR="00AD0721">
        <w:t xml:space="preserve">Figure </w:t>
      </w:r>
      <w:r w:rsidR="00AD0721">
        <w:rPr>
          <w:noProof/>
        </w:rPr>
        <w:t>6</w:t>
      </w:r>
      <w:r>
        <w:fldChar w:fldCharType="end"/>
      </w:r>
      <w:r>
        <w:t xml:space="preserve">). Increases in the proportion of the river with a velocity exceeding the higher threshold of 0.3 m/s were also modelled, </w:t>
      </w:r>
      <w:r w:rsidRPr="00814B77">
        <w:t>74</w:t>
      </w:r>
      <w:r>
        <w:t> </w:t>
      </w:r>
      <w:r w:rsidRPr="00814B77">
        <w:t>km</w:t>
      </w:r>
      <w:r>
        <w:t xml:space="preserve"> (22%) for 14 days and 34 km (10%) for 30 days due to Commonwealth environmental water. This can be compared to the </w:t>
      </w:r>
      <w:r w:rsidR="005E1757">
        <w:t xml:space="preserve">without development </w:t>
      </w:r>
      <w:r>
        <w:t>hydraulic conditions, where even in this low flow year the full reach was expected to experience cross</w:t>
      </w:r>
      <w:r w:rsidR="00241910">
        <w:t>-</w:t>
      </w:r>
      <w:r>
        <w:t xml:space="preserve">section averaged velocities exceeding 0.3 m/s for approximately 2 months. The velocity magnitudes are presented at a weir pool scale in </w:t>
      </w:r>
      <w:r>
        <w:fldChar w:fldCharType="begin"/>
      </w:r>
      <w:r>
        <w:instrText xml:space="preserve"> REF _Ref22545136 \h </w:instrText>
      </w:r>
      <w:r>
        <w:fldChar w:fldCharType="separate"/>
      </w:r>
      <w:r w:rsidR="00AD0721">
        <w:t xml:space="preserve">Figure </w:t>
      </w:r>
      <w:r w:rsidR="00AD0721">
        <w:rPr>
          <w:noProof/>
        </w:rPr>
        <w:t>7</w:t>
      </w:r>
      <w:r>
        <w:fldChar w:fldCharType="end"/>
      </w:r>
      <w:r>
        <w:t>, with the median velocity in the weir pool each day shown as a solid line, and the range in velocities (as the 10</w:t>
      </w:r>
      <w:r w:rsidRPr="00430780">
        <w:rPr>
          <w:vertAlign w:val="superscript"/>
        </w:rPr>
        <w:t>th</w:t>
      </w:r>
      <w:r>
        <w:t xml:space="preserve"> and 90</w:t>
      </w:r>
      <w:r w:rsidRPr="00430780">
        <w:rPr>
          <w:vertAlign w:val="superscript"/>
        </w:rPr>
        <w:t>th</w:t>
      </w:r>
      <w:r>
        <w:t xml:space="preserve"> percentiles) shown as the shaded band. The results suggest a relatively consistent response</w:t>
      </w:r>
      <w:r w:rsidRPr="00D207EF">
        <w:t xml:space="preserve"> </w:t>
      </w:r>
      <w:r>
        <w:t>across the weir pools to the two flow pulses create</w:t>
      </w:r>
      <w:r w:rsidR="00ED6D8A">
        <w:t>d</w:t>
      </w:r>
      <w:r>
        <w:t xml:space="preserve"> by environmental water, however</w:t>
      </w:r>
      <w:r w:rsidR="00F64316">
        <w:t>,</w:t>
      </w:r>
      <w:r>
        <w:t xml:space="preserve"> below Lock 1 the modelling indicated lower velocities due to the deeper river in this reach.</w:t>
      </w:r>
    </w:p>
    <w:p w14:paraId="527E0EAB" w14:textId="77777777" w:rsidR="007867D5" w:rsidRPr="00005E55" w:rsidRDefault="007867D5" w:rsidP="007867D5">
      <w:pPr>
        <w:pStyle w:val="Heading4"/>
      </w:pPr>
      <w:r w:rsidRPr="00005E55">
        <w:t>Water level and area</w:t>
      </w:r>
    </w:p>
    <w:p w14:paraId="4905A743" w14:textId="1BD926F9" w:rsidR="007867D5" w:rsidRDefault="007867D5" w:rsidP="007867D5">
      <w:r>
        <w:t xml:space="preserve">The inundation area expected for the different scenarios can be seen in the second panel of </w:t>
      </w:r>
      <w:r>
        <w:fldChar w:fldCharType="begin"/>
      </w:r>
      <w:r>
        <w:instrText xml:space="preserve"> REF _Ref22545004 \h </w:instrText>
      </w:r>
      <w:r>
        <w:fldChar w:fldCharType="separate"/>
      </w:r>
      <w:r w:rsidR="00AD0721">
        <w:t xml:space="preserve">Figure </w:t>
      </w:r>
      <w:r w:rsidR="00AD0721">
        <w:rPr>
          <w:noProof/>
        </w:rPr>
        <w:t>6</w:t>
      </w:r>
      <w:r>
        <w:fldChar w:fldCharType="end"/>
      </w:r>
      <w:r>
        <w:t xml:space="preserve">, where flows were below </w:t>
      </w:r>
      <w:proofErr w:type="spellStart"/>
      <w:r>
        <w:t>bankfull</w:t>
      </w:r>
      <w:proofErr w:type="spellEnd"/>
      <w:r>
        <w:t xml:space="preserve"> level (approximately 45,000 ML/d), and hence changes in inundation due to environmental </w:t>
      </w:r>
      <w:r w:rsidR="006746D6">
        <w:t>water above Lock 1 were limited. Small increase in area occurred</w:t>
      </w:r>
      <w:r>
        <w:t xml:space="preserve"> when environmental water increased the discharge above 10,000 ML/d, or due to the weir pool raising at Lock 2. </w:t>
      </w:r>
      <w:r w:rsidR="006746D6">
        <w:t>The increase in surface area due to environmental water is also due</w:t>
      </w:r>
      <w:r w:rsidR="00816BC7">
        <w:t xml:space="preserve"> to</w:t>
      </w:r>
      <w:r w:rsidR="006746D6">
        <w:t xml:space="preserve"> higher water levels in the Lower Lakes, and </w:t>
      </w:r>
      <w:proofErr w:type="gramStart"/>
      <w:r w:rsidR="006746D6">
        <w:t>all of</w:t>
      </w:r>
      <w:proofErr w:type="gramEnd"/>
      <w:r w:rsidR="006746D6">
        <w:t xml:space="preserve"> the increase in ar</w:t>
      </w:r>
      <w:r w:rsidR="00816BC7">
        <w:t>e</w:t>
      </w:r>
      <w:r w:rsidR="006746D6">
        <w:t xml:space="preserve">a in the latter half of 2019-20 occurs below Lock 1.  </w:t>
      </w:r>
      <w:r>
        <w:t xml:space="preserve">The increased water level in the Lower Lakes due to environmental water can be seen in the below Lock 1 panel in </w:t>
      </w:r>
      <w:r>
        <w:fldChar w:fldCharType="begin"/>
      </w:r>
      <w:r>
        <w:instrText xml:space="preserve"> REF _Ref22547054 \h </w:instrText>
      </w:r>
      <w:r>
        <w:fldChar w:fldCharType="separate"/>
      </w:r>
      <w:r w:rsidR="00AD0721">
        <w:t xml:space="preserve">Figure </w:t>
      </w:r>
      <w:r w:rsidR="00AD0721">
        <w:rPr>
          <w:noProof/>
        </w:rPr>
        <w:t>8</w:t>
      </w:r>
      <w:r>
        <w:fldChar w:fldCharType="end"/>
      </w:r>
      <w:r>
        <w:t>, which is at Wellington for this downstream end of the river reach below Lock 1.</w:t>
      </w:r>
    </w:p>
    <w:p w14:paraId="78EE99D1" w14:textId="0A5EF89C" w:rsidR="007867D5" w:rsidRDefault="007867D5" w:rsidP="007867D5">
      <w:r>
        <w:t xml:space="preserve">The upstream end of the weir pool </w:t>
      </w:r>
      <w:r w:rsidRPr="00801D9D">
        <w:t>is the least influenced by the</w:t>
      </w:r>
      <w:r>
        <w:t xml:space="preserve"> downstream</w:t>
      </w:r>
      <w:r w:rsidRPr="00801D9D">
        <w:t xml:space="preserve"> weir and hence most responsive to changes in discharge when the weirs are controllin</w:t>
      </w:r>
      <w:r>
        <w:t>g water levels (below 54,000–67,000 ML/d,</w:t>
      </w:r>
      <w:r w:rsidRPr="00801D9D">
        <w:t xml:space="preserve"> depending on the weir)</w:t>
      </w:r>
      <w:r>
        <w:t xml:space="preserve">. </w:t>
      </w:r>
      <w:r w:rsidR="00ED6D8A">
        <w:t xml:space="preserve">Environmental water created some variability in water levels at the upstream end of each weir pool that would not have occurred otherwise, and this was complemented by weir pool manipulation at Lock 2. Overall, the variability in water levels tended to follow the rise in August and fall in November in the </w:t>
      </w:r>
      <w:r w:rsidR="005E1757">
        <w:t>without development</w:t>
      </w:r>
      <w:r w:rsidR="005E1757" w:rsidRPr="00A20F12">
        <w:t xml:space="preserve"> </w:t>
      </w:r>
      <w:r w:rsidR="00ED6D8A">
        <w:t>river height scenario, albeit without the sustained levels throughout this period</w:t>
      </w:r>
      <w:r>
        <w:t xml:space="preserve"> (</w:t>
      </w:r>
      <w:r>
        <w:fldChar w:fldCharType="begin"/>
      </w:r>
      <w:r>
        <w:instrText xml:space="preserve"> REF _Ref22547238 \h </w:instrText>
      </w:r>
      <w:r>
        <w:fldChar w:fldCharType="separate"/>
      </w:r>
      <w:r w:rsidR="00AD0721">
        <w:t xml:space="preserve">Figure </w:t>
      </w:r>
      <w:r w:rsidR="00AD0721">
        <w:rPr>
          <w:noProof/>
        </w:rPr>
        <w:t>9</w:t>
      </w:r>
      <w:r>
        <w:fldChar w:fldCharType="end"/>
      </w:r>
      <w:r>
        <w:t xml:space="preserve">). </w:t>
      </w:r>
    </w:p>
    <w:p w14:paraId="748FD704" w14:textId="70BCBAB9" w:rsidR="007867D5" w:rsidRDefault="000929D2" w:rsidP="007867D5">
      <w:pPr>
        <w:keepNext/>
        <w:spacing w:before="0" w:after="160" w:line="259" w:lineRule="auto"/>
        <w:jc w:val="left"/>
      </w:pPr>
      <w:r>
        <w:rPr>
          <w:noProof/>
          <w:lang w:eastAsia="en-AU"/>
        </w:rPr>
        <w:drawing>
          <wp:inline distT="0" distB="0" distL="0" distR="0" wp14:anchorId="0DB5A094" wp14:editId="2DAD409D">
            <wp:extent cx="5724525" cy="7705725"/>
            <wp:effectExtent l="0" t="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3" cstate="email">
                      <a:extLst>
                        <a:ext uri="{28A0092B-C50C-407E-A947-70E740481C1C}">
                          <a14:useLocalDpi xmlns:a14="http://schemas.microsoft.com/office/drawing/2010/main"/>
                        </a:ext>
                      </a:extLst>
                    </a:blip>
                    <a:srcRect t="2058"/>
                    <a:stretch/>
                  </pic:blipFill>
                  <pic:spPr bwMode="auto">
                    <a:xfrm>
                      <a:off x="0" y="0"/>
                      <a:ext cx="5724525" cy="7705725"/>
                    </a:xfrm>
                    <a:prstGeom prst="rect">
                      <a:avLst/>
                    </a:prstGeom>
                    <a:noFill/>
                    <a:ln>
                      <a:noFill/>
                    </a:ln>
                    <a:extLst>
                      <a:ext uri="{53640926-AAD7-44D8-BBD7-CCE9431645EC}">
                        <a14:shadowObscured xmlns:a14="http://schemas.microsoft.com/office/drawing/2010/main"/>
                      </a:ext>
                    </a:extLst>
                  </pic:spPr>
                </pic:pic>
              </a:graphicData>
            </a:graphic>
          </wp:inline>
        </w:drawing>
      </w:r>
    </w:p>
    <w:p w14:paraId="4D38AA77" w14:textId="55A1B4CB" w:rsidR="007867D5" w:rsidRDefault="007867D5" w:rsidP="007867D5">
      <w:pPr>
        <w:pStyle w:val="Caption"/>
        <w:jc w:val="left"/>
        <w:rPr>
          <w:lang w:val="en-US"/>
        </w:rPr>
      </w:pPr>
      <w:bookmarkStart w:id="78" w:name="_Ref22545004"/>
      <w:bookmarkStart w:id="79" w:name="_Toc54612622"/>
      <w:bookmarkStart w:id="80" w:name="_Toc69387670"/>
      <w:r>
        <w:t xml:space="preserve">Figure </w:t>
      </w:r>
      <w:r>
        <w:rPr>
          <w:noProof/>
        </w:rPr>
        <w:fldChar w:fldCharType="begin"/>
      </w:r>
      <w:r>
        <w:rPr>
          <w:noProof/>
        </w:rPr>
        <w:instrText xml:space="preserve"> SEQ Figure \* ARABIC </w:instrText>
      </w:r>
      <w:r>
        <w:rPr>
          <w:noProof/>
        </w:rPr>
        <w:fldChar w:fldCharType="separate"/>
      </w:r>
      <w:r w:rsidR="00025EB2">
        <w:rPr>
          <w:noProof/>
        </w:rPr>
        <w:t>6</w:t>
      </w:r>
      <w:r>
        <w:rPr>
          <w:noProof/>
        </w:rPr>
        <w:fldChar w:fldCharType="end"/>
      </w:r>
      <w:bookmarkEnd w:id="78"/>
      <w:r>
        <w:rPr>
          <w:noProof/>
        </w:rPr>
        <w:t>.</w:t>
      </w:r>
      <w:r>
        <w:t xml:space="preserve"> Discharge (flow to South Australia), inundated </w:t>
      </w:r>
      <w:r w:rsidR="000929D2">
        <w:t xml:space="preserve">area between Wellington and Lock 6, </w:t>
      </w:r>
      <w:r>
        <w:t xml:space="preserve">and length of river with faster flowing velocities (v&gt;0.2 m/s and v&gt;0.3 m/s) for </w:t>
      </w:r>
      <w:r w:rsidR="00ED6D8A">
        <w:t>the L</w:t>
      </w:r>
      <w:r w:rsidR="00137D07">
        <w:t xml:space="preserve">ower </w:t>
      </w:r>
      <w:r w:rsidR="00ED6D8A">
        <w:t>M</w:t>
      </w:r>
      <w:r w:rsidR="00137D07">
        <w:t xml:space="preserve">urray </w:t>
      </w:r>
      <w:r w:rsidR="00ED6D8A">
        <w:t>R</w:t>
      </w:r>
      <w:r w:rsidR="00137D07">
        <w:t>iver (LMR)</w:t>
      </w:r>
      <w:r w:rsidR="00ED6D8A">
        <w:t xml:space="preserve"> between </w:t>
      </w:r>
      <w:r>
        <w:t xml:space="preserve">Locks 1 &amp; 6 (excluding anabranches). </w:t>
      </w:r>
      <w:r w:rsidRPr="00DA3F0D">
        <w:t xml:space="preserve">Total length of river </w:t>
      </w:r>
      <w:r w:rsidR="000929D2" w:rsidRPr="00DA3F0D">
        <w:t xml:space="preserve">assessed </w:t>
      </w:r>
      <w:r w:rsidR="000929D2">
        <w:t xml:space="preserve">for the length of river metrics </w:t>
      </w:r>
      <w:r w:rsidR="000929D2" w:rsidRPr="00DA3F0D">
        <w:t>in</w:t>
      </w:r>
      <w:r w:rsidRPr="00DA3F0D">
        <w:t xml:space="preserve"> the LMR = 345 km</w:t>
      </w:r>
      <w:r>
        <w:t>.</w:t>
      </w:r>
      <w:bookmarkEnd w:id="79"/>
      <w:bookmarkEnd w:id="80"/>
    </w:p>
    <w:p w14:paraId="794444FC" w14:textId="00747955" w:rsidR="00ED6D8A" w:rsidRDefault="000929D2" w:rsidP="00ED6D8A">
      <w:pPr>
        <w:keepNext/>
        <w:spacing w:before="0" w:after="160" w:line="259" w:lineRule="auto"/>
        <w:jc w:val="center"/>
      </w:pPr>
      <w:bookmarkStart w:id="81" w:name="_Hlk67312939"/>
      <w:r>
        <w:rPr>
          <w:noProof/>
        </w:rPr>
        <w:drawing>
          <wp:inline distT="0" distB="0" distL="0" distR="0" wp14:anchorId="6B2BB357" wp14:editId="429D15DA">
            <wp:extent cx="5400675" cy="7791450"/>
            <wp:effectExtent l="0" t="0" r="952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4" cstate="email">
                      <a:extLst>
                        <a:ext uri="{28A0092B-C50C-407E-A947-70E740481C1C}">
                          <a14:useLocalDpi xmlns:a14="http://schemas.microsoft.com/office/drawing/2010/main"/>
                        </a:ext>
                      </a:extLst>
                    </a:blip>
                    <a:srcRect t="1565"/>
                    <a:stretch/>
                  </pic:blipFill>
                  <pic:spPr bwMode="auto">
                    <a:xfrm>
                      <a:off x="0" y="0"/>
                      <a:ext cx="5400675" cy="7791450"/>
                    </a:xfrm>
                    <a:prstGeom prst="rect">
                      <a:avLst/>
                    </a:prstGeom>
                    <a:noFill/>
                    <a:ln>
                      <a:noFill/>
                    </a:ln>
                    <a:extLst>
                      <a:ext uri="{53640926-AAD7-44D8-BBD7-CCE9431645EC}">
                        <a14:shadowObscured xmlns:a14="http://schemas.microsoft.com/office/drawing/2010/main"/>
                      </a:ext>
                    </a:extLst>
                  </pic:spPr>
                </pic:pic>
              </a:graphicData>
            </a:graphic>
          </wp:inline>
        </w:drawing>
      </w:r>
      <w:bookmarkEnd w:id="81"/>
    </w:p>
    <w:p w14:paraId="11F0745F" w14:textId="4B175EB9" w:rsidR="007867D5" w:rsidRDefault="007867D5" w:rsidP="007867D5">
      <w:pPr>
        <w:keepNext/>
        <w:spacing w:before="0" w:after="160" w:line="259" w:lineRule="auto"/>
        <w:jc w:val="center"/>
      </w:pPr>
    </w:p>
    <w:p w14:paraId="50AD0B85" w14:textId="312A23BF" w:rsidR="007867D5" w:rsidRDefault="007867D5" w:rsidP="00F8184E">
      <w:pPr>
        <w:pStyle w:val="Captions"/>
      </w:pPr>
      <w:bookmarkStart w:id="82" w:name="_Ref22545136"/>
      <w:bookmarkStart w:id="83" w:name="_Toc54612623"/>
      <w:bookmarkStart w:id="84" w:name="_Toc69387671"/>
      <w:r>
        <w:t xml:space="preserve">Figure </w:t>
      </w:r>
      <w:r>
        <w:fldChar w:fldCharType="begin"/>
      </w:r>
      <w:r>
        <w:instrText xml:space="preserve"> SEQ Figure \* ARABIC </w:instrText>
      </w:r>
      <w:r>
        <w:fldChar w:fldCharType="separate"/>
      </w:r>
      <w:r w:rsidR="00025EB2">
        <w:rPr>
          <w:noProof/>
        </w:rPr>
        <w:t>7</w:t>
      </w:r>
      <w:r>
        <w:fldChar w:fldCharType="end"/>
      </w:r>
      <w:bookmarkEnd w:id="82"/>
      <w:r>
        <w:t xml:space="preserve">. Median modelled velocity in each weir pool (line), with the </w:t>
      </w:r>
      <w:r w:rsidR="005E1757">
        <w:t>range of velocities</w:t>
      </w:r>
      <w:r>
        <w:t xml:space="preserve"> </w:t>
      </w:r>
      <w:r w:rsidRPr="00F23425">
        <w:rPr>
          <w:rFonts w:eastAsia="Times New Roman" w:cs="Times New Roman"/>
          <w:kern w:val="28"/>
          <w:szCs w:val="18"/>
        </w:rPr>
        <w:t>within the weir pool</w:t>
      </w:r>
      <w:r w:rsidRPr="005E4BB2">
        <w:rPr>
          <w:rFonts w:eastAsia="Times New Roman" w:cs="Times New Roman"/>
          <w:kern w:val="28"/>
          <w:szCs w:val="18"/>
        </w:rPr>
        <w:t xml:space="preserve"> </w:t>
      </w:r>
      <w:r>
        <w:rPr>
          <w:rFonts w:eastAsia="Times New Roman" w:cs="Times New Roman"/>
          <w:kern w:val="28"/>
          <w:szCs w:val="18"/>
        </w:rPr>
        <w:t>(</w:t>
      </w:r>
      <w:r w:rsidRPr="00F23425">
        <w:rPr>
          <w:rFonts w:eastAsia="Times New Roman" w:cs="Times New Roman"/>
          <w:kern w:val="28"/>
          <w:szCs w:val="18"/>
        </w:rPr>
        <w:t>the shaded</w:t>
      </w:r>
      <w:r w:rsidRPr="003B531B">
        <w:rPr>
          <w:rFonts w:eastAsiaTheme="minorHAnsi" w:cs="CenturyGothic"/>
          <w:szCs w:val="22"/>
        </w:rPr>
        <w:t xml:space="preserve"> area</w:t>
      </w:r>
      <w:r>
        <w:rPr>
          <w:rFonts w:ascii="CenturyGothic" w:eastAsiaTheme="minorHAnsi" w:hAnsi="CenturyGothic" w:cs="CenturyGothic"/>
          <w:szCs w:val="22"/>
        </w:rPr>
        <w:t>)</w:t>
      </w:r>
      <w:r w:rsidRPr="00F23425">
        <w:rPr>
          <w:rFonts w:eastAsia="Times New Roman" w:cs="Times New Roman"/>
          <w:kern w:val="28"/>
          <w:szCs w:val="18"/>
        </w:rPr>
        <w:t>, defined by the 10</w:t>
      </w:r>
      <w:r w:rsidRPr="00B1595B">
        <w:rPr>
          <w:rFonts w:eastAsia="Times New Roman" w:cs="Times New Roman"/>
          <w:kern w:val="28"/>
          <w:szCs w:val="18"/>
          <w:vertAlign w:val="superscript"/>
        </w:rPr>
        <w:t>th</w:t>
      </w:r>
      <w:r w:rsidRPr="00F23425">
        <w:rPr>
          <w:rFonts w:eastAsia="Times New Roman" w:cs="Times New Roman"/>
          <w:kern w:val="28"/>
          <w:szCs w:val="18"/>
        </w:rPr>
        <w:t xml:space="preserve"> and 90</w:t>
      </w:r>
      <w:r w:rsidRPr="00B1595B">
        <w:rPr>
          <w:rFonts w:eastAsia="Times New Roman" w:cs="Times New Roman"/>
          <w:kern w:val="28"/>
          <w:szCs w:val="18"/>
          <w:vertAlign w:val="superscript"/>
        </w:rPr>
        <w:t>th</w:t>
      </w:r>
      <w:r w:rsidRPr="00F23425">
        <w:rPr>
          <w:rFonts w:eastAsia="Times New Roman" w:cs="Times New Roman"/>
          <w:kern w:val="28"/>
          <w:szCs w:val="18"/>
        </w:rPr>
        <w:t xml:space="preserve"> percentiles,</w:t>
      </w:r>
      <w:r>
        <w:rPr>
          <w:rFonts w:eastAsia="Times New Roman" w:cs="Times New Roman"/>
          <w:kern w:val="28"/>
          <w:szCs w:val="18"/>
        </w:rPr>
        <w:t xml:space="preserve"> in the L</w:t>
      </w:r>
      <w:r w:rsidR="00137D07">
        <w:rPr>
          <w:rFonts w:eastAsia="Times New Roman" w:cs="Times New Roman"/>
          <w:kern w:val="28"/>
          <w:szCs w:val="18"/>
        </w:rPr>
        <w:t xml:space="preserve">ower </w:t>
      </w:r>
      <w:r>
        <w:rPr>
          <w:rFonts w:eastAsia="Times New Roman" w:cs="Times New Roman"/>
          <w:kern w:val="28"/>
          <w:szCs w:val="18"/>
        </w:rPr>
        <w:t>M</w:t>
      </w:r>
      <w:r w:rsidR="00137D07">
        <w:rPr>
          <w:rFonts w:eastAsia="Times New Roman" w:cs="Times New Roman"/>
          <w:kern w:val="28"/>
          <w:szCs w:val="18"/>
        </w:rPr>
        <w:t xml:space="preserve">urray </w:t>
      </w:r>
      <w:r>
        <w:rPr>
          <w:rFonts w:eastAsia="Times New Roman" w:cs="Times New Roman"/>
          <w:kern w:val="28"/>
          <w:szCs w:val="18"/>
        </w:rPr>
        <w:t>R</w:t>
      </w:r>
      <w:r w:rsidR="00137D07">
        <w:rPr>
          <w:rFonts w:eastAsia="Times New Roman" w:cs="Times New Roman"/>
          <w:kern w:val="28"/>
          <w:szCs w:val="18"/>
        </w:rPr>
        <w:t>iver</w:t>
      </w:r>
      <w:r>
        <w:rPr>
          <w:rFonts w:eastAsia="Times New Roman" w:cs="Times New Roman"/>
          <w:kern w:val="28"/>
          <w:szCs w:val="18"/>
        </w:rPr>
        <w:t>.</w:t>
      </w:r>
      <w:bookmarkEnd w:id="83"/>
      <w:bookmarkEnd w:id="84"/>
    </w:p>
    <w:p w14:paraId="199FD133" w14:textId="23E7ADA6" w:rsidR="007867D5" w:rsidRDefault="000929D2" w:rsidP="007867D5">
      <w:pPr>
        <w:keepNext/>
        <w:spacing w:before="0" w:after="160" w:line="259" w:lineRule="auto"/>
        <w:jc w:val="center"/>
      </w:pPr>
      <w:r>
        <w:rPr>
          <w:noProof/>
          <w:lang w:eastAsia="en-AU"/>
        </w:rPr>
        <w:drawing>
          <wp:inline distT="0" distB="0" distL="0" distR="0" wp14:anchorId="36EE5C71" wp14:editId="5AB0416A">
            <wp:extent cx="5400675" cy="7762875"/>
            <wp:effectExtent l="0" t="0" r="9525"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5" cstate="email">
                      <a:extLst>
                        <a:ext uri="{28A0092B-C50C-407E-A947-70E740481C1C}">
                          <a14:useLocalDpi xmlns:a14="http://schemas.microsoft.com/office/drawing/2010/main"/>
                        </a:ext>
                      </a:extLst>
                    </a:blip>
                    <a:srcRect t="1926"/>
                    <a:stretch/>
                  </pic:blipFill>
                  <pic:spPr bwMode="auto">
                    <a:xfrm>
                      <a:off x="0" y="0"/>
                      <a:ext cx="5400675" cy="7762875"/>
                    </a:xfrm>
                    <a:prstGeom prst="rect">
                      <a:avLst/>
                    </a:prstGeom>
                    <a:noFill/>
                    <a:ln>
                      <a:noFill/>
                    </a:ln>
                    <a:extLst>
                      <a:ext uri="{53640926-AAD7-44D8-BBD7-CCE9431645EC}">
                        <a14:shadowObscured xmlns:a14="http://schemas.microsoft.com/office/drawing/2010/main"/>
                      </a:ext>
                    </a:extLst>
                  </pic:spPr>
                </pic:pic>
              </a:graphicData>
            </a:graphic>
          </wp:inline>
        </w:drawing>
      </w:r>
    </w:p>
    <w:p w14:paraId="232949E0" w14:textId="68480C56" w:rsidR="007867D5" w:rsidRDefault="007867D5" w:rsidP="007867D5">
      <w:pPr>
        <w:pStyle w:val="Caption"/>
        <w:jc w:val="left"/>
        <w:rPr>
          <w:lang w:val="en-US"/>
        </w:rPr>
      </w:pPr>
      <w:bookmarkStart w:id="85" w:name="_Ref22547054"/>
      <w:bookmarkStart w:id="86" w:name="_Toc54612624"/>
      <w:bookmarkStart w:id="87" w:name="_Toc69387672"/>
      <w:r>
        <w:t xml:space="preserve">Figure </w:t>
      </w:r>
      <w:r>
        <w:rPr>
          <w:noProof/>
        </w:rPr>
        <w:fldChar w:fldCharType="begin"/>
      </w:r>
      <w:r>
        <w:rPr>
          <w:noProof/>
        </w:rPr>
        <w:instrText xml:space="preserve"> SEQ Figure \* ARABIC </w:instrText>
      </w:r>
      <w:r>
        <w:rPr>
          <w:noProof/>
        </w:rPr>
        <w:fldChar w:fldCharType="separate"/>
      </w:r>
      <w:r w:rsidR="00025EB2">
        <w:rPr>
          <w:noProof/>
        </w:rPr>
        <w:t>8</w:t>
      </w:r>
      <w:r>
        <w:rPr>
          <w:noProof/>
        </w:rPr>
        <w:fldChar w:fldCharType="end"/>
      </w:r>
      <w:bookmarkEnd w:id="85"/>
      <w:r>
        <w:rPr>
          <w:noProof/>
        </w:rPr>
        <w:t>.</w:t>
      </w:r>
      <w:r>
        <w:t xml:space="preserve"> </w:t>
      </w:r>
      <w:r w:rsidRPr="00F23425">
        <w:t xml:space="preserve">Modelled water level at the </w:t>
      </w:r>
      <w:r>
        <w:t>downstream</w:t>
      </w:r>
      <w:r w:rsidRPr="00F23425">
        <w:t xml:space="preserve"> end</w:t>
      </w:r>
      <w:r>
        <w:t xml:space="preserve"> (i.e. at the lock and weir) of each weir pool in the </w:t>
      </w:r>
      <w:r w:rsidR="00315E8A">
        <w:t xml:space="preserve">Lower </w:t>
      </w:r>
      <w:bookmarkEnd w:id="86"/>
      <w:r w:rsidR="000929D2">
        <w:t>Murray River.</w:t>
      </w:r>
      <w:bookmarkEnd w:id="87"/>
    </w:p>
    <w:p w14:paraId="0203E0A2" w14:textId="133ED7E5" w:rsidR="007867D5" w:rsidRDefault="000929D2" w:rsidP="007867D5">
      <w:pPr>
        <w:keepNext/>
        <w:spacing w:before="0" w:after="160" w:line="259" w:lineRule="auto"/>
        <w:jc w:val="center"/>
      </w:pPr>
      <w:r>
        <w:rPr>
          <w:noProof/>
          <w:lang w:eastAsia="en-AU"/>
        </w:rPr>
        <w:drawing>
          <wp:inline distT="0" distB="0" distL="0" distR="0" wp14:anchorId="0747F6DF" wp14:editId="2E6E8F7D">
            <wp:extent cx="5400675" cy="7753350"/>
            <wp:effectExtent l="0" t="0" r="952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6" cstate="email">
                      <a:extLst>
                        <a:ext uri="{28A0092B-C50C-407E-A947-70E740481C1C}">
                          <a14:useLocalDpi xmlns:a14="http://schemas.microsoft.com/office/drawing/2010/main"/>
                        </a:ext>
                      </a:extLst>
                    </a:blip>
                    <a:srcRect t="2045"/>
                    <a:stretch/>
                  </pic:blipFill>
                  <pic:spPr bwMode="auto">
                    <a:xfrm>
                      <a:off x="0" y="0"/>
                      <a:ext cx="5400675" cy="7753350"/>
                    </a:xfrm>
                    <a:prstGeom prst="rect">
                      <a:avLst/>
                    </a:prstGeom>
                    <a:noFill/>
                    <a:ln>
                      <a:noFill/>
                    </a:ln>
                    <a:extLst>
                      <a:ext uri="{53640926-AAD7-44D8-BBD7-CCE9431645EC}">
                        <a14:shadowObscured xmlns:a14="http://schemas.microsoft.com/office/drawing/2010/main"/>
                      </a:ext>
                    </a:extLst>
                  </pic:spPr>
                </pic:pic>
              </a:graphicData>
            </a:graphic>
          </wp:inline>
        </w:drawing>
      </w:r>
    </w:p>
    <w:p w14:paraId="69CD5A8D" w14:textId="18E0A3A2" w:rsidR="007867D5" w:rsidRDefault="007867D5" w:rsidP="00F8184E">
      <w:pPr>
        <w:pStyle w:val="Captions"/>
      </w:pPr>
      <w:bookmarkStart w:id="88" w:name="_Ref22547238"/>
      <w:bookmarkStart w:id="89" w:name="_Toc54612625"/>
      <w:bookmarkStart w:id="90" w:name="_Toc69387673"/>
      <w:r>
        <w:t xml:space="preserve">Figure </w:t>
      </w:r>
      <w:r>
        <w:rPr>
          <w:noProof/>
        </w:rPr>
        <w:fldChar w:fldCharType="begin"/>
      </w:r>
      <w:r>
        <w:rPr>
          <w:noProof/>
        </w:rPr>
        <w:instrText xml:space="preserve"> SEQ Figure \* ARABIC </w:instrText>
      </w:r>
      <w:r>
        <w:rPr>
          <w:noProof/>
        </w:rPr>
        <w:fldChar w:fldCharType="separate"/>
      </w:r>
      <w:r w:rsidR="00025EB2">
        <w:rPr>
          <w:noProof/>
        </w:rPr>
        <w:t>9</w:t>
      </w:r>
      <w:r>
        <w:rPr>
          <w:noProof/>
        </w:rPr>
        <w:fldChar w:fldCharType="end"/>
      </w:r>
      <w:bookmarkEnd w:id="88"/>
      <w:r>
        <w:rPr>
          <w:noProof/>
        </w:rPr>
        <w:t>.</w:t>
      </w:r>
      <w:r>
        <w:t xml:space="preserve"> </w:t>
      </w:r>
      <w:r w:rsidRPr="00190A6E">
        <w:t>Modelled water level at the upstream end of each weir pool</w:t>
      </w:r>
      <w:r>
        <w:t xml:space="preserve"> in the L</w:t>
      </w:r>
      <w:r w:rsidR="00137D07">
        <w:t xml:space="preserve">ower </w:t>
      </w:r>
      <w:r>
        <w:t>M</w:t>
      </w:r>
      <w:r w:rsidR="00137D07">
        <w:t xml:space="preserve">urray </w:t>
      </w:r>
      <w:r>
        <w:t>R</w:t>
      </w:r>
      <w:r w:rsidR="00137D07">
        <w:t>iver</w:t>
      </w:r>
      <w:r w:rsidRPr="00190A6E">
        <w:t>.</w:t>
      </w:r>
      <w:bookmarkEnd w:id="89"/>
      <w:bookmarkEnd w:id="90"/>
    </w:p>
    <w:p w14:paraId="1130B2F1" w14:textId="77777777" w:rsidR="000929D2" w:rsidRDefault="000929D2" w:rsidP="000929D2">
      <w:pPr>
        <w:rPr>
          <w:lang w:val="en-US"/>
        </w:rPr>
      </w:pPr>
    </w:p>
    <w:p w14:paraId="7B337030" w14:textId="77777777" w:rsidR="000929D2" w:rsidRDefault="000929D2">
      <w:pPr>
        <w:spacing w:before="0" w:after="160" w:line="259" w:lineRule="auto"/>
        <w:jc w:val="left"/>
        <w:rPr>
          <w:rFonts w:eastAsiaTheme="majorEastAsia" w:cstheme="majorBidi"/>
          <w:b/>
          <w:i/>
          <w:color w:val="44546A" w:themeColor="text2"/>
          <w:sz w:val="24"/>
          <w:szCs w:val="24"/>
          <w:lang w:val="en-US"/>
        </w:rPr>
      </w:pPr>
      <w:r>
        <w:rPr>
          <w:lang w:val="en-US"/>
        </w:rPr>
        <w:br w:type="page"/>
      </w:r>
    </w:p>
    <w:p w14:paraId="0617B9CE" w14:textId="144D794E" w:rsidR="007867D5" w:rsidRDefault="007867D5" w:rsidP="007867D5">
      <w:pPr>
        <w:pStyle w:val="Heading3"/>
        <w:rPr>
          <w:lang w:val="en-US"/>
        </w:rPr>
      </w:pPr>
      <w:r>
        <w:rPr>
          <w:lang w:val="en-US"/>
        </w:rPr>
        <w:t>Evaluation</w:t>
      </w:r>
    </w:p>
    <w:p w14:paraId="573FD180" w14:textId="3FD8291B" w:rsidR="007867D5" w:rsidRPr="006E7799" w:rsidRDefault="007867D5" w:rsidP="007867D5">
      <w:pPr>
        <w:rPr>
          <w:lang w:val="en-US"/>
        </w:rPr>
      </w:pPr>
      <w:r w:rsidRPr="006E7799">
        <w:rPr>
          <w:lang w:val="en-US"/>
        </w:rPr>
        <w:t>To evaluate the contribution of Commonwealth environmental water towards a</w:t>
      </w:r>
      <w:r w:rsidR="008B5A70">
        <w:rPr>
          <w:lang w:val="en-US"/>
        </w:rPr>
        <w:t xml:space="preserve"> short- (annual) or long-term (multi-year)</w:t>
      </w:r>
      <w:r w:rsidRPr="006E7799">
        <w:rPr>
          <w:lang w:val="en-US"/>
        </w:rPr>
        <w:t xml:space="preserve"> outcome, a contribution significance level was assigned to each evaluation question. The level was viewed as ‘to what extent Commonwealth environmental water contributed towards that observed outcome, with the ecological significance of the outcome considered where possible’. For example, the level assigned may be similar for an ecologically significant </w:t>
      </w:r>
      <w:r w:rsidR="005E1757" w:rsidRPr="006E7799">
        <w:rPr>
          <w:lang w:val="en-US"/>
        </w:rPr>
        <w:t xml:space="preserve">outcome </w:t>
      </w:r>
      <w:r w:rsidR="005E1757">
        <w:rPr>
          <w:lang w:val="en-US"/>
        </w:rPr>
        <w:t>towards</w:t>
      </w:r>
      <w:r w:rsidR="005E1757" w:rsidRPr="006E7799">
        <w:rPr>
          <w:lang w:val="en-US"/>
        </w:rPr>
        <w:t xml:space="preserve"> which Commonwealth environmental water </w:t>
      </w:r>
      <w:r w:rsidR="005E1757">
        <w:rPr>
          <w:lang w:val="en-US"/>
        </w:rPr>
        <w:t xml:space="preserve">made a </w:t>
      </w:r>
      <w:r w:rsidR="005E1757" w:rsidRPr="006E7799">
        <w:rPr>
          <w:lang w:val="en-US"/>
        </w:rPr>
        <w:t xml:space="preserve">minor contribution versus an outcome that was considered </w:t>
      </w:r>
      <w:r w:rsidR="005E1757">
        <w:rPr>
          <w:lang w:val="en-US"/>
        </w:rPr>
        <w:t>minor</w:t>
      </w:r>
      <w:r w:rsidR="005E1757" w:rsidRPr="006E7799">
        <w:rPr>
          <w:lang w:val="en-US"/>
        </w:rPr>
        <w:t xml:space="preserve"> </w:t>
      </w:r>
      <w:r w:rsidR="005E1757">
        <w:rPr>
          <w:lang w:val="en-US"/>
        </w:rPr>
        <w:t xml:space="preserve">but towards </w:t>
      </w:r>
      <w:r w:rsidR="005E1757" w:rsidRPr="006E7799">
        <w:rPr>
          <w:lang w:val="en-US"/>
        </w:rPr>
        <w:t xml:space="preserve">which Commonwealth environmental water </w:t>
      </w:r>
      <w:r w:rsidR="005E1757">
        <w:rPr>
          <w:lang w:val="en-US"/>
        </w:rPr>
        <w:t>made a</w:t>
      </w:r>
      <w:r w:rsidR="005E1757" w:rsidRPr="006E7799">
        <w:rPr>
          <w:lang w:val="en-US"/>
        </w:rPr>
        <w:t xml:space="preserve"> major contribution. </w:t>
      </w:r>
      <w:r w:rsidRPr="006E7799">
        <w:rPr>
          <w:lang w:val="en-US"/>
        </w:rPr>
        <w:t>The thresholds for assigning the significance var</w:t>
      </w:r>
      <w:r>
        <w:rPr>
          <w:lang w:val="en-US"/>
        </w:rPr>
        <w:t>y</w:t>
      </w:r>
      <w:r w:rsidRPr="006E7799">
        <w:rPr>
          <w:lang w:val="en-US"/>
        </w:rPr>
        <w:t xml:space="preserve"> among indicators and questions, ranging from using </w:t>
      </w:r>
      <w:r w:rsidR="00251E83">
        <w:rPr>
          <w:lang w:val="en-US"/>
        </w:rPr>
        <w:t>defined</w:t>
      </w:r>
      <w:r w:rsidRPr="006E7799">
        <w:rPr>
          <w:lang w:val="en-US"/>
        </w:rPr>
        <w:t xml:space="preserve"> percentages or values</w:t>
      </w:r>
      <w:r w:rsidR="00251E83">
        <w:rPr>
          <w:lang w:val="en-US"/>
        </w:rPr>
        <w:t xml:space="preserve"> of change</w:t>
      </w:r>
      <w:r w:rsidRPr="006E7799">
        <w:rPr>
          <w:lang w:val="en-US"/>
        </w:rPr>
        <w:t>, to qualitative assessment based on expert opinion.</w:t>
      </w:r>
      <w:r w:rsidR="00040D61">
        <w:rPr>
          <w:lang w:val="en-US"/>
        </w:rPr>
        <w:t xml:space="preserve"> </w:t>
      </w:r>
    </w:p>
    <w:p w14:paraId="46550825" w14:textId="03D8BAED" w:rsidR="007867D5" w:rsidRPr="001D41FE" w:rsidRDefault="007867D5" w:rsidP="007867D5">
      <w:pPr>
        <w:pStyle w:val="Caption"/>
        <w:rPr>
          <w:lang w:val="en-US"/>
        </w:rPr>
      </w:pPr>
      <w:bookmarkStart w:id="91" w:name="_Ref22554285"/>
      <w:bookmarkStart w:id="92" w:name="_Toc54612663"/>
      <w:bookmarkStart w:id="93" w:name="_Toc69387732"/>
      <w:r>
        <w:t xml:space="preserve">Table </w:t>
      </w:r>
      <w:r>
        <w:rPr>
          <w:noProof/>
        </w:rPr>
        <w:fldChar w:fldCharType="begin"/>
      </w:r>
      <w:r>
        <w:rPr>
          <w:noProof/>
        </w:rPr>
        <w:instrText xml:space="preserve"> SEQ Table \* ARABIC </w:instrText>
      </w:r>
      <w:r>
        <w:rPr>
          <w:noProof/>
        </w:rPr>
        <w:fldChar w:fldCharType="separate"/>
      </w:r>
      <w:r w:rsidR="00CE5EF5">
        <w:rPr>
          <w:noProof/>
        </w:rPr>
        <w:t>3</w:t>
      </w:r>
      <w:r>
        <w:rPr>
          <w:noProof/>
        </w:rPr>
        <w:fldChar w:fldCharType="end"/>
      </w:r>
      <w:bookmarkEnd w:id="91"/>
      <w:r>
        <w:rPr>
          <w:noProof/>
        </w:rPr>
        <w:t>.</w:t>
      </w:r>
      <w:r>
        <w:t xml:space="preserve"> Hydr</w:t>
      </w:r>
      <w:r w:rsidR="001522FE">
        <w:t>aulic</w:t>
      </w:r>
      <w:r>
        <w:t xml:space="preserve"> Regime evaluation questions and answers. CEW = Commonwealth environmental water, eWater = environmental water.</w:t>
      </w:r>
      <w:bookmarkEnd w:id="92"/>
      <w:bookmarkEnd w:id="93"/>
    </w:p>
    <w:tbl>
      <w:tblPr>
        <w:tblW w:w="495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50"/>
        <w:gridCol w:w="841"/>
        <w:gridCol w:w="841"/>
        <w:gridCol w:w="841"/>
        <w:gridCol w:w="841"/>
        <w:gridCol w:w="876"/>
        <w:gridCol w:w="2535"/>
      </w:tblGrid>
      <w:tr w:rsidR="007867D5" w:rsidRPr="0041543F" w14:paraId="1C09A132" w14:textId="77777777" w:rsidTr="00624BCC">
        <w:trPr>
          <w:cantSplit/>
          <w:trHeight w:val="20"/>
          <w:tblHeader/>
        </w:trPr>
        <w:tc>
          <w:tcPr>
            <w:tcW w:w="1205" w:type="pct"/>
            <w:vMerge w:val="restart"/>
            <w:tcBorders>
              <w:top w:val="single" w:sz="4" w:space="0" w:color="auto"/>
              <w:left w:val="single" w:sz="4" w:space="0" w:color="auto"/>
              <w:right w:val="single" w:sz="4" w:space="0" w:color="auto"/>
            </w:tcBorders>
          </w:tcPr>
          <w:p w14:paraId="47265BD1" w14:textId="77777777" w:rsidR="007867D5" w:rsidRPr="0041543F" w:rsidRDefault="007867D5" w:rsidP="00CF50EC">
            <w:pPr>
              <w:pStyle w:val="TableHeading"/>
              <w:jc w:val="center"/>
              <w:rPr>
                <w:sz w:val="19"/>
                <w:szCs w:val="19"/>
              </w:rPr>
            </w:pPr>
            <w:r w:rsidRPr="0041543F">
              <w:rPr>
                <w:sz w:val="19"/>
                <w:szCs w:val="19"/>
              </w:rPr>
              <w:t xml:space="preserve">CEWO evaluation questions </w:t>
            </w:r>
          </w:p>
        </w:tc>
        <w:tc>
          <w:tcPr>
            <w:tcW w:w="3795" w:type="pct"/>
            <w:gridSpan w:val="6"/>
            <w:tcBorders>
              <w:top w:val="single" w:sz="4" w:space="0" w:color="auto"/>
              <w:left w:val="single" w:sz="4" w:space="0" w:color="auto"/>
              <w:right w:val="single" w:sz="4" w:space="0" w:color="auto"/>
            </w:tcBorders>
          </w:tcPr>
          <w:p w14:paraId="259D3BBE" w14:textId="77777777" w:rsidR="007867D5" w:rsidRPr="0041543F" w:rsidRDefault="007867D5" w:rsidP="00CF50EC">
            <w:pPr>
              <w:pStyle w:val="TableHeading"/>
              <w:jc w:val="center"/>
              <w:rPr>
                <w:sz w:val="19"/>
                <w:szCs w:val="19"/>
              </w:rPr>
            </w:pPr>
            <w:r w:rsidRPr="0041543F">
              <w:rPr>
                <w:sz w:val="19"/>
                <w:szCs w:val="19"/>
              </w:rPr>
              <w:t>Outcomes of CEW</w:t>
            </w:r>
            <w:r>
              <w:rPr>
                <w:sz w:val="19"/>
                <w:szCs w:val="19"/>
              </w:rPr>
              <w:t xml:space="preserve"> delivery</w:t>
            </w:r>
          </w:p>
        </w:tc>
      </w:tr>
      <w:tr w:rsidR="007867D5" w:rsidRPr="0041543F" w14:paraId="765DC88E" w14:textId="77777777" w:rsidTr="00624BCC">
        <w:trPr>
          <w:cantSplit/>
          <w:trHeight w:val="20"/>
          <w:tblHeader/>
        </w:trPr>
        <w:tc>
          <w:tcPr>
            <w:tcW w:w="1205" w:type="pct"/>
            <w:vMerge/>
            <w:tcBorders>
              <w:left w:val="single" w:sz="4" w:space="0" w:color="auto"/>
              <w:bottom w:val="single" w:sz="4" w:space="0" w:color="auto"/>
              <w:right w:val="single" w:sz="4" w:space="0" w:color="auto"/>
            </w:tcBorders>
          </w:tcPr>
          <w:p w14:paraId="3879C558" w14:textId="77777777" w:rsidR="007867D5" w:rsidRDefault="007867D5" w:rsidP="00CF50EC">
            <w:pPr>
              <w:pStyle w:val="TableHeading"/>
              <w:jc w:val="center"/>
              <w:rPr>
                <w:sz w:val="19"/>
                <w:szCs w:val="19"/>
              </w:rPr>
            </w:pPr>
          </w:p>
        </w:tc>
        <w:tc>
          <w:tcPr>
            <w:tcW w:w="471" w:type="pct"/>
            <w:tcBorders>
              <w:left w:val="single" w:sz="4" w:space="0" w:color="auto"/>
              <w:bottom w:val="single" w:sz="4" w:space="0" w:color="auto"/>
              <w:right w:val="single" w:sz="4" w:space="0" w:color="auto"/>
            </w:tcBorders>
            <w:vAlign w:val="bottom"/>
          </w:tcPr>
          <w:p w14:paraId="32949411" w14:textId="77777777" w:rsidR="007867D5" w:rsidRDefault="007867D5" w:rsidP="00CF50EC">
            <w:pPr>
              <w:pStyle w:val="TableHeading"/>
              <w:jc w:val="center"/>
              <w:rPr>
                <w:sz w:val="19"/>
                <w:szCs w:val="19"/>
              </w:rPr>
            </w:pPr>
            <w:r>
              <w:rPr>
                <w:sz w:val="19"/>
                <w:szCs w:val="19"/>
              </w:rPr>
              <w:t>2014-15</w:t>
            </w:r>
          </w:p>
        </w:tc>
        <w:tc>
          <w:tcPr>
            <w:tcW w:w="471" w:type="pct"/>
            <w:tcBorders>
              <w:top w:val="single" w:sz="4" w:space="0" w:color="auto"/>
              <w:left w:val="single" w:sz="4" w:space="0" w:color="auto"/>
              <w:bottom w:val="single" w:sz="4" w:space="0" w:color="auto"/>
            </w:tcBorders>
            <w:vAlign w:val="bottom"/>
          </w:tcPr>
          <w:p w14:paraId="09011484" w14:textId="77777777" w:rsidR="007867D5" w:rsidRPr="0041543F" w:rsidRDefault="007867D5" w:rsidP="00CF50EC">
            <w:pPr>
              <w:pStyle w:val="TableHeading"/>
              <w:jc w:val="center"/>
              <w:rPr>
                <w:sz w:val="19"/>
                <w:szCs w:val="19"/>
              </w:rPr>
            </w:pPr>
            <w:r>
              <w:rPr>
                <w:sz w:val="19"/>
                <w:szCs w:val="19"/>
              </w:rPr>
              <w:t>2015-16</w:t>
            </w:r>
          </w:p>
        </w:tc>
        <w:tc>
          <w:tcPr>
            <w:tcW w:w="471" w:type="pct"/>
            <w:tcBorders>
              <w:top w:val="single" w:sz="4" w:space="0" w:color="auto"/>
              <w:bottom w:val="single" w:sz="4" w:space="0" w:color="auto"/>
            </w:tcBorders>
            <w:vAlign w:val="bottom"/>
          </w:tcPr>
          <w:p w14:paraId="097CB23F" w14:textId="77777777" w:rsidR="007867D5" w:rsidRPr="0041543F" w:rsidRDefault="007867D5" w:rsidP="00CF50EC">
            <w:pPr>
              <w:pStyle w:val="TableHeading"/>
              <w:jc w:val="center"/>
              <w:rPr>
                <w:sz w:val="19"/>
                <w:szCs w:val="19"/>
              </w:rPr>
            </w:pPr>
            <w:r>
              <w:rPr>
                <w:sz w:val="19"/>
                <w:szCs w:val="19"/>
              </w:rPr>
              <w:t>2016-17</w:t>
            </w:r>
          </w:p>
        </w:tc>
        <w:tc>
          <w:tcPr>
            <w:tcW w:w="471" w:type="pct"/>
            <w:tcBorders>
              <w:top w:val="single" w:sz="4" w:space="0" w:color="auto"/>
              <w:bottom w:val="single" w:sz="4" w:space="0" w:color="auto"/>
            </w:tcBorders>
            <w:vAlign w:val="bottom"/>
          </w:tcPr>
          <w:p w14:paraId="0FCEC766" w14:textId="77777777" w:rsidR="007867D5" w:rsidRPr="0041543F" w:rsidRDefault="007867D5" w:rsidP="00CF50EC">
            <w:pPr>
              <w:pStyle w:val="TableHeading"/>
              <w:jc w:val="center"/>
              <w:rPr>
                <w:sz w:val="19"/>
                <w:szCs w:val="19"/>
              </w:rPr>
            </w:pPr>
            <w:r>
              <w:rPr>
                <w:sz w:val="19"/>
                <w:szCs w:val="19"/>
              </w:rPr>
              <w:t>2017-18</w:t>
            </w:r>
          </w:p>
        </w:tc>
        <w:tc>
          <w:tcPr>
            <w:tcW w:w="491" w:type="pct"/>
            <w:tcBorders>
              <w:top w:val="single" w:sz="4" w:space="0" w:color="auto"/>
              <w:bottom w:val="single" w:sz="4" w:space="0" w:color="auto"/>
            </w:tcBorders>
            <w:vAlign w:val="bottom"/>
          </w:tcPr>
          <w:p w14:paraId="0AC4437D" w14:textId="77777777" w:rsidR="007867D5" w:rsidRPr="0041543F" w:rsidRDefault="007867D5" w:rsidP="00CF50EC">
            <w:pPr>
              <w:pStyle w:val="TableHeading"/>
              <w:jc w:val="center"/>
              <w:rPr>
                <w:sz w:val="19"/>
                <w:szCs w:val="19"/>
              </w:rPr>
            </w:pPr>
            <w:r>
              <w:rPr>
                <w:sz w:val="19"/>
                <w:szCs w:val="19"/>
              </w:rPr>
              <w:t>2018-19</w:t>
            </w:r>
          </w:p>
        </w:tc>
        <w:tc>
          <w:tcPr>
            <w:tcW w:w="1420" w:type="pct"/>
            <w:tcBorders>
              <w:top w:val="single" w:sz="4" w:space="0" w:color="auto"/>
              <w:bottom w:val="single" w:sz="4" w:space="0" w:color="auto"/>
            </w:tcBorders>
            <w:vAlign w:val="bottom"/>
          </w:tcPr>
          <w:p w14:paraId="265DC510" w14:textId="77777777" w:rsidR="007867D5" w:rsidRDefault="007867D5" w:rsidP="00CF50EC">
            <w:pPr>
              <w:pStyle w:val="TableHeading"/>
              <w:jc w:val="center"/>
              <w:rPr>
                <w:sz w:val="19"/>
                <w:szCs w:val="19"/>
              </w:rPr>
            </w:pPr>
            <w:r>
              <w:rPr>
                <w:sz w:val="19"/>
                <w:szCs w:val="19"/>
              </w:rPr>
              <w:t>2019-20</w:t>
            </w:r>
          </w:p>
        </w:tc>
      </w:tr>
      <w:tr w:rsidR="007867D5" w:rsidRPr="0041543F" w14:paraId="06612256" w14:textId="77777777" w:rsidTr="00624BCC">
        <w:trPr>
          <w:cantSplit/>
          <w:trHeight w:val="20"/>
        </w:trPr>
        <w:tc>
          <w:tcPr>
            <w:tcW w:w="1205" w:type="pct"/>
            <w:vMerge w:val="restart"/>
            <w:tcBorders>
              <w:top w:val="single" w:sz="4" w:space="0" w:color="auto"/>
              <w:left w:val="single" w:sz="4" w:space="0" w:color="auto"/>
              <w:right w:val="single" w:sz="4" w:space="0" w:color="auto"/>
            </w:tcBorders>
          </w:tcPr>
          <w:p w14:paraId="06E3F650" w14:textId="77777777" w:rsidR="007867D5" w:rsidRPr="002B6ECA" w:rsidRDefault="007867D5" w:rsidP="00CF50EC">
            <w:pPr>
              <w:pStyle w:val="TableHeading"/>
              <w:jc w:val="left"/>
              <w:rPr>
                <w:b w:val="0"/>
                <w:sz w:val="19"/>
                <w:szCs w:val="19"/>
              </w:rPr>
            </w:pPr>
            <w:r w:rsidRPr="002B6ECA">
              <w:rPr>
                <w:b w:val="0"/>
                <w:sz w:val="19"/>
                <w:szCs w:val="19"/>
              </w:rPr>
              <w:t xml:space="preserve">What did CEW contribute to hydraulic diversity within weir pools? </w:t>
            </w:r>
          </w:p>
        </w:tc>
        <w:tc>
          <w:tcPr>
            <w:tcW w:w="471"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726CFEF3" w14:textId="77777777" w:rsidR="007867D5" w:rsidRPr="00065526" w:rsidRDefault="007867D5" w:rsidP="00CF50EC">
            <w:pPr>
              <w:pStyle w:val="TableHeading"/>
              <w:jc w:val="center"/>
              <w:rPr>
                <w:b w:val="0"/>
                <w:sz w:val="18"/>
                <w:szCs w:val="19"/>
              </w:rPr>
            </w:pPr>
            <w:r w:rsidRPr="00065526">
              <w:rPr>
                <w:b w:val="0"/>
                <w:sz w:val="18"/>
                <w:szCs w:val="19"/>
              </w:rPr>
              <w:t>13 km</w:t>
            </w:r>
            <w:r>
              <w:rPr>
                <w:b w:val="0"/>
                <w:sz w:val="18"/>
                <w:szCs w:val="19"/>
              </w:rPr>
              <w:t>, 4%</w:t>
            </w:r>
            <w:r w:rsidRPr="00065526">
              <w:rPr>
                <w:b w:val="0"/>
                <w:sz w:val="18"/>
                <w:szCs w:val="19"/>
              </w:rPr>
              <w:t xml:space="preserve"> (17</w:t>
            </w:r>
            <w:r>
              <w:rPr>
                <w:b w:val="0"/>
                <w:sz w:val="18"/>
                <w:szCs w:val="19"/>
              </w:rPr>
              <w:t> km, 5%</w:t>
            </w:r>
            <w:r w:rsidRPr="00065526">
              <w:rPr>
                <w:b w:val="0"/>
                <w:sz w:val="18"/>
                <w:szCs w:val="19"/>
              </w:rPr>
              <w:t>)</w:t>
            </w:r>
          </w:p>
        </w:tc>
        <w:tc>
          <w:tcPr>
            <w:tcW w:w="471"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5A7DB0B4" w14:textId="77777777" w:rsidR="007867D5" w:rsidRPr="00065526" w:rsidRDefault="007867D5" w:rsidP="00CF50EC">
            <w:pPr>
              <w:pStyle w:val="TableHeading"/>
              <w:jc w:val="center"/>
              <w:rPr>
                <w:b w:val="0"/>
                <w:sz w:val="18"/>
                <w:szCs w:val="19"/>
              </w:rPr>
            </w:pPr>
            <w:r w:rsidRPr="00065526">
              <w:rPr>
                <w:b w:val="0"/>
                <w:sz w:val="18"/>
                <w:szCs w:val="19"/>
              </w:rPr>
              <w:t>18 km</w:t>
            </w:r>
            <w:r>
              <w:rPr>
                <w:b w:val="0"/>
                <w:sz w:val="18"/>
                <w:szCs w:val="19"/>
              </w:rPr>
              <w:t>, 5%</w:t>
            </w:r>
            <w:r w:rsidRPr="00065526">
              <w:rPr>
                <w:b w:val="0"/>
                <w:sz w:val="18"/>
                <w:szCs w:val="19"/>
              </w:rPr>
              <w:t xml:space="preserve"> (22</w:t>
            </w:r>
            <w:r>
              <w:rPr>
                <w:b w:val="0"/>
                <w:sz w:val="18"/>
                <w:szCs w:val="19"/>
              </w:rPr>
              <w:t> km, 6%</w:t>
            </w:r>
            <w:r w:rsidRPr="00065526">
              <w:rPr>
                <w:b w:val="0"/>
                <w:sz w:val="18"/>
                <w:szCs w:val="19"/>
              </w:rPr>
              <w:t>)</w:t>
            </w:r>
          </w:p>
        </w:tc>
        <w:tc>
          <w:tcPr>
            <w:tcW w:w="471"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22F0D01F" w14:textId="77777777" w:rsidR="007867D5" w:rsidRPr="00065526" w:rsidRDefault="007867D5" w:rsidP="00CF50EC">
            <w:pPr>
              <w:pStyle w:val="TableHeading"/>
              <w:jc w:val="center"/>
              <w:rPr>
                <w:b w:val="0"/>
                <w:sz w:val="18"/>
                <w:szCs w:val="19"/>
              </w:rPr>
            </w:pPr>
            <w:r w:rsidRPr="00065526">
              <w:rPr>
                <w:b w:val="0"/>
                <w:sz w:val="18"/>
                <w:szCs w:val="19"/>
              </w:rPr>
              <w:t>20 km</w:t>
            </w:r>
            <w:r>
              <w:rPr>
                <w:b w:val="0"/>
                <w:sz w:val="18"/>
                <w:szCs w:val="19"/>
              </w:rPr>
              <w:t>, 6%</w:t>
            </w:r>
            <w:r w:rsidRPr="00065526">
              <w:rPr>
                <w:b w:val="0"/>
                <w:sz w:val="18"/>
                <w:szCs w:val="19"/>
              </w:rPr>
              <w:t xml:space="preserve"> (53</w:t>
            </w:r>
            <w:r>
              <w:rPr>
                <w:b w:val="0"/>
                <w:sz w:val="18"/>
                <w:szCs w:val="19"/>
              </w:rPr>
              <w:t> km, 15%</w:t>
            </w:r>
            <w:r w:rsidRPr="00065526">
              <w:rPr>
                <w:b w:val="0"/>
                <w:sz w:val="18"/>
                <w:szCs w:val="19"/>
              </w:rPr>
              <w:t>)</w:t>
            </w:r>
          </w:p>
        </w:tc>
        <w:tc>
          <w:tcPr>
            <w:tcW w:w="471" w:type="pct"/>
            <w:tcBorders>
              <w:top w:val="single" w:sz="4" w:space="0" w:color="auto"/>
              <w:left w:val="single" w:sz="4" w:space="0" w:color="auto"/>
              <w:bottom w:val="single" w:sz="4" w:space="0" w:color="auto"/>
              <w:right w:val="single" w:sz="4" w:space="0" w:color="auto"/>
            </w:tcBorders>
            <w:shd w:val="clear" w:color="auto" w:fill="70AD47" w:themeFill="accent6"/>
          </w:tcPr>
          <w:p w14:paraId="0B6CE9DD" w14:textId="77777777" w:rsidR="007867D5" w:rsidRPr="00065526" w:rsidRDefault="007867D5" w:rsidP="00CF50EC">
            <w:pPr>
              <w:pStyle w:val="TableHeading"/>
              <w:jc w:val="center"/>
              <w:rPr>
                <w:b w:val="0"/>
                <w:sz w:val="18"/>
                <w:szCs w:val="19"/>
              </w:rPr>
            </w:pPr>
            <w:r w:rsidRPr="00065526">
              <w:rPr>
                <w:b w:val="0"/>
                <w:sz w:val="18"/>
                <w:szCs w:val="19"/>
              </w:rPr>
              <w:t>36 km</w:t>
            </w:r>
            <w:r>
              <w:rPr>
                <w:b w:val="0"/>
                <w:sz w:val="18"/>
                <w:szCs w:val="19"/>
              </w:rPr>
              <w:t>, 10%</w:t>
            </w:r>
            <w:r w:rsidRPr="00065526">
              <w:rPr>
                <w:b w:val="0"/>
                <w:sz w:val="18"/>
                <w:szCs w:val="19"/>
              </w:rPr>
              <w:t xml:space="preserve"> (49</w:t>
            </w:r>
            <w:r>
              <w:rPr>
                <w:b w:val="0"/>
                <w:sz w:val="18"/>
                <w:szCs w:val="19"/>
              </w:rPr>
              <w:t> km, 14%</w:t>
            </w:r>
            <w:r w:rsidRPr="00065526">
              <w:rPr>
                <w:b w:val="0"/>
                <w:sz w:val="18"/>
                <w:szCs w:val="19"/>
              </w:rPr>
              <w:t>)</w:t>
            </w:r>
          </w:p>
        </w:tc>
        <w:tc>
          <w:tcPr>
            <w:tcW w:w="491"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6C548A64" w14:textId="77777777" w:rsidR="007867D5" w:rsidRPr="007770BB" w:rsidRDefault="007867D5" w:rsidP="00CF50EC">
            <w:pPr>
              <w:pStyle w:val="TableHeading"/>
              <w:jc w:val="left"/>
              <w:rPr>
                <w:b w:val="0"/>
                <w:sz w:val="19"/>
                <w:szCs w:val="19"/>
              </w:rPr>
            </w:pPr>
            <w:r>
              <w:rPr>
                <w:b w:val="0"/>
                <w:sz w:val="19"/>
                <w:szCs w:val="19"/>
              </w:rPr>
              <w:t>15 km, 4% (19 km, 6%)</w:t>
            </w:r>
          </w:p>
        </w:tc>
        <w:tc>
          <w:tcPr>
            <w:tcW w:w="1420" w:type="pct"/>
            <w:tcBorders>
              <w:top w:val="single" w:sz="4" w:space="0" w:color="auto"/>
              <w:left w:val="single" w:sz="4" w:space="0" w:color="auto"/>
              <w:bottom w:val="single" w:sz="4" w:space="0" w:color="auto"/>
              <w:right w:val="single" w:sz="4" w:space="0" w:color="auto"/>
            </w:tcBorders>
            <w:shd w:val="clear" w:color="auto" w:fill="70AD47" w:themeFill="accent6"/>
          </w:tcPr>
          <w:p w14:paraId="024E06A2" w14:textId="77777777" w:rsidR="007867D5" w:rsidRDefault="007867D5" w:rsidP="00CF50EC">
            <w:pPr>
              <w:pStyle w:val="TableHeading"/>
              <w:jc w:val="center"/>
              <w:rPr>
                <w:b w:val="0"/>
                <w:sz w:val="19"/>
                <w:szCs w:val="19"/>
              </w:rPr>
            </w:pPr>
            <w:r w:rsidRPr="00CE0940">
              <w:rPr>
                <w:b w:val="0"/>
                <w:sz w:val="18"/>
                <w:szCs w:val="19"/>
              </w:rPr>
              <w:t xml:space="preserve">An additional 34 km or </w:t>
            </w:r>
            <w:bookmarkStart w:id="94" w:name="_Hlk63975853"/>
            <w:r w:rsidRPr="00CE0940">
              <w:rPr>
                <w:b w:val="0"/>
                <w:sz w:val="18"/>
                <w:szCs w:val="19"/>
              </w:rPr>
              <w:t>10% of lotic conditions created by CEW for at least 30 days (An additional 74 km or 22% for at least 14 days</w:t>
            </w:r>
            <w:r>
              <w:rPr>
                <w:b w:val="0"/>
                <w:sz w:val="19"/>
                <w:szCs w:val="19"/>
              </w:rPr>
              <w:t>)</w:t>
            </w:r>
            <w:bookmarkEnd w:id="94"/>
          </w:p>
        </w:tc>
      </w:tr>
      <w:tr w:rsidR="007867D5" w:rsidRPr="0041543F" w14:paraId="1FC3D501" w14:textId="77777777" w:rsidTr="00624BCC">
        <w:trPr>
          <w:cantSplit/>
          <w:trHeight w:val="20"/>
        </w:trPr>
        <w:tc>
          <w:tcPr>
            <w:tcW w:w="1205" w:type="pct"/>
            <w:vMerge/>
            <w:tcBorders>
              <w:left w:val="single" w:sz="4" w:space="0" w:color="auto"/>
              <w:bottom w:val="single" w:sz="4" w:space="0" w:color="auto"/>
              <w:right w:val="single" w:sz="4" w:space="0" w:color="auto"/>
            </w:tcBorders>
          </w:tcPr>
          <w:p w14:paraId="576EFA89" w14:textId="77777777" w:rsidR="007867D5" w:rsidRPr="002B6ECA" w:rsidRDefault="007867D5" w:rsidP="00CF50EC">
            <w:pPr>
              <w:pStyle w:val="TableHeading"/>
              <w:jc w:val="left"/>
              <w:rPr>
                <w:b w:val="0"/>
                <w:sz w:val="19"/>
                <w:szCs w:val="19"/>
              </w:rPr>
            </w:pPr>
          </w:p>
        </w:tc>
        <w:tc>
          <w:tcPr>
            <w:tcW w:w="3795" w:type="pct"/>
            <w:gridSpan w:val="6"/>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578E3A91" w14:textId="0D871B43" w:rsidR="007867D5" w:rsidRPr="00637710" w:rsidRDefault="007867D5" w:rsidP="00CF50EC">
            <w:pPr>
              <w:pStyle w:val="TableHeading"/>
              <w:rPr>
                <w:b w:val="0"/>
                <w:sz w:val="19"/>
                <w:szCs w:val="19"/>
              </w:rPr>
            </w:pPr>
            <w:r w:rsidRPr="00637710">
              <w:rPr>
                <w:b w:val="0"/>
                <w:sz w:val="19"/>
                <w:szCs w:val="19"/>
              </w:rPr>
              <w:t xml:space="preserve">CEW provided </w:t>
            </w:r>
            <w:r>
              <w:rPr>
                <w:b w:val="0"/>
                <w:sz w:val="19"/>
                <w:szCs w:val="19"/>
              </w:rPr>
              <w:t xml:space="preserve">minor contributions </w:t>
            </w:r>
            <w:r w:rsidRPr="00637710">
              <w:rPr>
                <w:b w:val="0"/>
                <w:sz w:val="19"/>
                <w:szCs w:val="19"/>
              </w:rPr>
              <w:t>towards increasing</w:t>
            </w:r>
            <w:r>
              <w:rPr>
                <w:b w:val="0"/>
                <w:sz w:val="19"/>
                <w:szCs w:val="19"/>
              </w:rPr>
              <w:t xml:space="preserve"> lotic habitat in the LMR over the last six years, except in 2017-18 and 2019-20, when CEW had a moderate contribution (an additional 34–36</w:t>
            </w:r>
            <w:r w:rsidRPr="00637710">
              <w:rPr>
                <w:b w:val="0"/>
                <w:sz w:val="19"/>
                <w:szCs w:val="19"/>
              </w:rPr>
              <w:t xml:space="preserve"> km </w:t>
            </w:r>
            <w:r>
              <w:rPr>
                <w:b w:val="0"/>
                <w:sz w:val="19"/>
                <w:szCs w:val="19"/>
              </w:rPr>
              <w:t>of river (10%) for 30 days)</w:t>
            </w:r>
            <w:r w:rsidRPr="00637710">
              <w:rPr>
                <w:b w:val="0"/>
                <w:sz w:val="19"/>
                <w:szCs w:val="19"/>
              </w:rPr>
              <w:t xml:space="preserve">. </w:t>
            </w:r>
          </w:p>
          <w:p w14:paraId="0669B14F" w14:textId="029F95E2" w:rsidR="007867D5" w:rsidRPr="00637710" w:rsidRDefault="007867D5" w:rsidP="00CF50EC">
            <w:pPr>
              <w:pStyle w:val="TableHeading"/>
              <w:rPr>
                <w:b w:val="0"/>
                <w:sz w:val="19"/>
                <w:szCs w:val="19"/>
              </w:rPr>
            </w:pPr>
            <w:r w:rsidRPr="00637710">
              <w:rPr>
                <w:b w:val="0"/>
                <w:sz w:val="19"/>
                <w:szCs w:val="19"/>
              </w:rPr>
              <w:t xml:space="preserve">Length of river with lotic conditions (velocity &gt;0.3 m/s) has been used to represent hydraulic </w:t>
            </w:r>
            <w:r w:rsidR="00DD344A" w:rsidRPr="00637710">
              <w:rPr>
                <w:b w:val="0"/>
                <w:sz w:val="19"/>
                <w:szCs w:val="19"/>
              </w:rPr>
              <w:t>diversity. If there is some</w:t>
            </w:r>
            <w:r w:rsidR="00347B71">
              <w:rPr>
                <w:b w:val="0"/>
                <w:sz w:val="19"/>
                <w:szCs w:val="19"/>
              </w:rPr>
              <w:t xml:space="preserve"> </w:t>
            </w:r>
            <w:r w:rsidR="00DD344A" w:rsidRPr="00637710">
              <w:rPr>
                <w:b w:val="0"/>
                <w:sz w:val="19"/>
                <w:szCs w:val="19"/>
              </w:rPr>
              <w:t xml:space="preserve">flowing water, it </w:t>
            </w:r>
            <w:r w:rsidRPr="00637710">
              <w:rPr>
                <w:b w:val="0"/>
                <w:sz w:val="19"/>
                <w:szCs w:val="19"/>
              </w:rPr>
              <w:t>is expected there will be greater hydraulic diversity due to changes in habitat complexity (bends, backwaters, benches, etc.). Length of river with lotic conditions exceeded for 30 days over the year is presented, and 14 days in brackets</w:t>
            </w:r>
            <w:r>
              <w:rPr>
                <w:b w:val="0"/>
                <w:sz w:val="19"/>
                <w:szCs w:val="19"/>
              </w:rPr>
              <w:t xml:space="preserve">. </w:t>
            </w:r>
            <w:r w:rsidRPr="00E55C9C">
              <w:rPr>
                <w:b w:val="0"/>
                <w:sz w:val="19"/>
                <w:szCs w:val="19"/>
              </w:rPr>
              <w:t xml:space="preserve">The time periods represent </w:t>
            </w:r>
            <w:proofErr w:type="gramStart"/>
            <w:r w:rsidRPr="00E55C9C">
              <w:rPr>
                <w:b w:val="0"/>
                <w:sz w:val="19"/>
                <w:szCs w:val="19"/>
              </w:rPr>
              <w:t>a number of</w:t>
            </w:r>
            <w:proofErr w:type="gramEnd"/>
            <w:r w:rsidRPr="00E55C9C">
              <w:rPr>
                <w:b w:val="0"/>
                <w:sz w:val="19"/>
                <w:szCs w:val="19"/>
              </w:rPr>
              <w:t xml:space="preserve"> flow-related ecological </w:t>
            </w:r>
            <w:r>
              <w:rPr>
                <w:b w:val="0"/>
                <w:sz w:val="19"/>
                <w:szCs w:val="19"/>
              </w:rPr>
              <w:t>or life-history processes that c</w:t>
            </w:r>
            <w:r w:rsidRPr="00E55C9C">
              <w:rPr>
                <w:b w:val="0"/>
                <w:sz w:val="19"/>
                <w:szCs w:val="19"/>
              </w:rPr>
              <w:t>ould occur over periods of ~2</w:t>
            </w:r>
            <w:r>
              <w:rPr>
                <w:b w:val="0"/>
                <w:sz w:val="19"/>
                <w:szCs w:val="19"/>
              </w:rPr>
              <w:t>−</w:t>
            </w:r>
            <w:r w:rsidRPr="00E55C9C">
              <w:rPr>
                <w:b w:val="0"/>
                <w:sz w:val="19"/>
                <w:szCs w:val="19"/>
              </w:rPr>
              <w:t>4 weeks.</w:t>
            </w:r>
            <w:r>
              <w:rPr>
                <w:b w:val="0"/>
                <w:sz w:val="19"/>
                <w:szCs w:val="19"/>
              </w:rPr>
              <w:t xml:space="preserve"> </w:t>
            </w:r>
            <w:r w:rsidRPr="00637710">
              <w:rPr>
                <w:b w:val="0"/>
                <w:sz w:val="19"/>
                <w:szCs w:val="19"/>
              </w:rPr>
              <w:t>Total length of river assessed in the LMR = 345 km.</w:t>
            </w:r>
          </w:p>
        </w:tc>
      </w:tr>
      <w:tr w:rsidR="007867D5" w:rsidRPr="0041543F" w14:paraId="24E20797" w14:textId="77777777" w:rsidTr="00624BCC">
        <w:trPr>
          <w:cantSplit/>
          <w:trHeight w:val="20"/>
        </w:trPr>
        <w:tc>
          <w:tcPr>
            <w:tcW w:w="1205" w:type="pct"/>
            <w:vMerge w:val="restart"/>
            <w:tcBorders>
              <w:top w:val="single" w:sz="4" w:space="0" w:color="auto"/>
              <w:left w:val="single" w:sz="4" w:space="0" w:color="auto"/>
              <w:right w:val="single" w:sz="4" w:space="0" w:color="auto"/>
            </w:tcBorders>
          </w:tcPr>
          <w:p w14:paraId="36CF4EC5" w14:textId="77777777" w:rsidR="007867D5" w:rsidRPr="0041543F" w:rsidRDefault="007867D5" w:rsidP="00CF50EC">
            <w:pPr>
              <w:rPr>
                <w:sz w:val="19"/>
                <w:szCs w:val="19"/>
              </w:rPr>
            </w:pPr>
            <w:r w:rsidRPr="0041543F">
              <w:rPr>
                <w:sz w:val="19"/>
                <w:szCs w:val="19"/>
              </w:rPr>
              <w:t>What did CEW contribute to variability in water levels within weir pools?</w:t>
            </w:r>
            <w:r w:rsidRPr="0041543F">
              <w:rPr>
                <w:sz w:val="19"/>
                <w:szCs w:val="19"/>
                <w:vertAlign w:val="superscript"/>
              </w:rPr>
              <w:t xml:space="preserve"> </w:t>
            </w:r>
          </w:p>
        </w:tc>
        <w:tc>
          <w:tcPr>
            <w:tcW w:w="471" w:type="pct"/>
            <w:tcBorders>
              <w:top w:val="single" w:sz="4" w:space="0" w:color="auto"/>
              <w:left w:val="single" w:sz="4" w:space="0" w:color="auto"/>
              <w:right w:val="single" w:sz="4" w:space="0" w:color="auto"/>
            </w:tcBorders>
            <w:shd w:val="clear" w:color="auto" w:fill="A8D08D" w:themeFill="accent6" w:themeFillTint="99"/>
          </w:tcPr>
          <w:p w14:paraId="4A0DB960" w14:textId="77777777" w:rsidR="007867D5" w:rsidRPr="00065526" w:rsidRDefault="007867D5" w:rsidP="00CF50EC">
            <w:pPr>
              <w:rPr>
                <w:sz w:val="18"/>
                <w:szCs w:val="19"/>
              </w:rPr>
            </w:pPr>
            <w:r w:rsidRPr="00065526">
              <w:rPr>
                <w:sz w:val="18"/>
                <w:szCs w:val="19"/>
              </w:rPr>
              <w:t>0.10</w:t>
            </w:r>
            <w:r>
              <w:rPr>
                <w:sz w:val="18"/>
                <w:szCs w:val="19"/>
              </w:rPr>
              <w:t> </w:t>
            </w:r>
            <w:r w:rsidRPr="00065526">
              <w:rPr>
                <w:sz w:val="18"/>
                <w:szCs w:val="19"/>
              </w:rPr>
              <w:t>m</w:t>
            </w:r>
          </w:p>
        </w:tc>
        <w:tc>
          <w:tcPr>
            <w:tcW w:w="471" w:type="pct"/>
            <w:tcBorders>
              <w:top w:val="single" w:sz="4" w:space="0" w:color="auto"/>
              <w:left w:val="single" w:sz="4" w:space="0" w:color="auto"/>
              <w:bottom w:val="single" w:sz="4" w:space="0" w:color="auto"/>
              <w:right w:val="single" w:sz="4" w:space="0" w:color="auto"/>
            </w:tcBorders>
            <w:shd w:val="clear" w:color="auto" w:fill="70AD47" w:themeFill="accent6"/>
          </w:tcPr>
          <w:p w14:paraId="0B8D819A" w14:textId="77777777" w:rsidR="007867D5" w:rsidRPr="00065526" w:rsidRDefault="007867D5" w:rsidP="00CF50EC">
            <w:pPr>
              <w:rPr>
                <w:sz w:val="18"/>
                <w:szCs w:val="19"/>
              </w:rPr>
            </w:pPr>
            <w:r w:rsidRPr="00065526">
              <w:rPr>
                <w:sz w:val="18"/>
                <w:szCs w:val="19"/>
              </w:rPr>
              <w:t>0.15 m</w:t>
            </w:r>
          </w:p>
        </w:tc>
        <w:tc>
          <w:tcPr>
            <w:tcW w:w="471"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4EB1AFBC" w14:textId="77777777" w:rsidR="007867D5" w:rsidRPr="00637710" w:rsidRDefault="007867D5" w:rsidP="00CF50EC">
            <w:pPr>
              <w:rPr>
                <w:sz w:val="19"/>
                <w:szCs w:val="19"/>
              </w:rPr>
            </w:pPr>
            <w:r w:rsidRPr="00637710">
              <w:rPr>
                <w:sz w:val="19"/>
                <w:szCs w:val="19"/>
              </w:rPr>
              <w:t>0.08 m</w:t>
            </w:r>
          </w:p>
        </w:tc>
        <w:tc>
          <w:tcPr>
            <w:tcW w:w="471" w:type="pct"/>
            <w:tcBorders>
              <w:top w:val="single" w:sz="4" w:space="0" w:color="auto"/>
              <w:left w:val="single" w:sz="4" w:space="0" w:color="auto"/>
              <w:bottom w:val="single" w:sz="4" w:space="0" w:color="auto"/>
              <w:right w:val="single" w:sz="4" w:space="0" w:color="auto"/>
            </w:tcBorders>
            <w:shd w:val="clear" w:color="auto" w:fill="70AD47" w:themeFill="accent6"/>
          </w:tcPr>
          <w:p w14:paraId="11AFA162" w14:textId="77777777" w:rsidR="007867D5" w:rsidRPr="00637710" w:rsidRDefault="007867D5" w:rsidP="00CF50EC">
            <w:pPr>
              <w:rPr>
                <w:sz w:val="19"/>
                <w:szCs w:val="19"/>
              </w:rPr>
            </w:pPr>
            <w:r w:rsidRPr="00637710">
              <w:rPr>
                <w:sz w:val="19"/>
                <w:szCs w:val="19"/>
              </w:rPr>
              <w:t>0.17 m</w:t>
            </w:r>
          </w:p>
        </w:tc>
        <w:tc>
          <w:tcPr>
            <w:tcW w:w="491"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19CED72A" w14:textId="77777777" w:rsidR="007867D5" w:rsidRPr="0041543F" w:rsidRDefault="007867D5" w:rsidP="00CF50EC">
            <w:pPr>
              <w:rPr>
                <w:sz w:val="19"/>
                <w:szCs w:val="19"/>
              </w:rPr>
            </w:pPr>
            <w:r>
              <w:rPr>
                <w:sz w:val="19"/>
                <w:szCs w:val="19"/>
              </w:rPr>
              <w:t>0.10 m</w:t>
            </w:r>
          </w:p>
        </w:tc>
        <w:tc>
          <w:tcPr>
            <w:tcW w:w="1420" w:type="pct"/>
            <w:tcBorders>
              <w:top w:val="single" w:sz="4" w:space="0" w:color="auto"/>
              <w:left w:val="single" w:sz="4" w:space="0" w:color="auto"/>
              <w:bottom w:val="single" w:sz="4" w:space="0" w:color="auto"/>
              <w:right w:val="single" w:sz="4" w:space="0" w:color="auto"/>
            </w:tcBorders>
            <w:shd w:val="clear" w:color="auto" w:fill="70AD47" w:themeFill="accent6"/>
          </w:tcPr>
          <w:p w14:paraId="2F212054" w14:textId="16FC00F4" w:rsidR="007867D5" w:rsidRDefault="007867D5" w:rsidP="00CF50EC">
            <w:pPr>
              <w:rPr>
                <w:sz w:val="19"/>
                <w:szCs w:val="19"/>
              </w:rPr>
            </w:pPr>
            <w:bookmarkStart w:id="95" w:name="_Hlk63981457"/>
            <w:r>
              <w:rPr>
                <w:sz w:val="19"/>
                <w:szCs w:val="19"/>
              </w:rPr>
              <w:t xml:space="preserve">Interquartile range (IQR) in water level increased by 0.13 m </w:t>
            </w:r>
            <w:r w:rsidR="00251E83">
              <w:rPr>
                <w:sz w:val="19"/>
                <w:szCs w:val="19"/>
              </w:rPr>
              <w:t xml:space="preserve">due to </w:t>
            </w:r>
            <w:r>
              <w:rPr>
                <w:sz w:val="19"/>
                <w:szCs w:val="19"/>
              </w:rPr>
              <w:t>CEW in the tailwaters (i.e. just downstream of each weir) across Weir Pools 1–5.</w:t>
            </w:r>
            <w:bookmarkEnd w:id="95"/>
          </w:p>
        </w:tc>
      </w:tr>
      <w:tr w:rsidR="007867D5" w:rsidRPr="0041543F" w14:paraId="6AD5D7D1" w14:textId="77777777" w:rsidTr="00624BCC">
        <w:trPr>
          <w:cantSplit/>
          <w:trHeight w:val="20"/>
        </w:trPr>
        <w:tc>
          <w:tcPr>
            <w:tcW w:w="1205" w:type="pct"/>
            <w:vMerge/>
            <w:tcBorders>
              <w:left w:val="single" w:sz="4" w:space="0" w:color="auto"/>
              <w:bottom w:val="single" w:sz="4" w:space="0" w:color="auto"/>
              <w:right w:val="single" w:sz="4" w:space="0" w:color="auto"/>
            </w:tcBorders>
          </w:tcPr>
          <w:p w14:paraId="0E49F3DD" w14:textId="77777777" w:rsidR="007867D5" w:rsidRPr="0041543F" w:rsidRDefault="007867D5" w:rsidP="00CF50EC">
            <w:pPr>
              <w:rPr>
                <w:sz w:val="19"/>
                <w:szCs w:val="19"/>
              </w:rPr>
            </w:pPr>
          </w:p>
        </w:tc>
        <w:tc>
          <w:tcPr>
            <w:tcW w:w="3795" w:type="pct"/>
            <w:gridSpan w:val="6"/>
            <w:tcBorders>
              <w:left w:val="single" w:sz="4" w:space="0" w:color="auto"/>
              <w:bottom w:val="single" w:sz="4" w:space="0" w:color="auto"/>
              <w:right w:val="single" w:sz="4" w:space="0" w:color="auto"/>
            </w:tcBorders>
            <w:shd w:val="clear" w:color="auto" w:fill="A8D08D" w:themeFill="accent6" w:themeFillTint="99"/>
          </w:tcPr>
          <w:p w14:paraId="461D2E1E" w14:textId="285743AF" w:rsidR="007867D5" w:rsidRPr="00637710" w:rsidRDefault="007867D5" w:rsidP="00CF50EC">
            <w:pPr>
              <w:rPr>
                <w:sz w:val="19"/>
                <w:szCs w:val="19"/>
              </w:rPr>
            </w:pPr>
            <w:r w:rsidRPr="00637710">
              <w:rPr>
                <w:sz w:val="19"/>
                <w:szCs w:val="19"/>
              </w:rPr>
              <w:t>CEW increased water level variability (IQR) in the tailwaters of weir pools</w:t>
            </w:r>
            <w:r>
              <w:rPr>
                <w:sz w:val="19"/>
                <w:szCs w:val="19"/>
              </w:rPr>
              <w:t xml:space="preserve"> during each year of the assessment, with the greatest increase in variability during 2017-18</w:t>
            </w:r>
            <w:r w:rsidRPr="00637710">
              <w:rPr>
                <w:sz w:val="19"/>
                <w:szCs w:val="19"/>
              </w:rPr>
              <w:t>.</w:t>
            </w:r>
          </w:p>
          <w:p w14:paraId="687EFDA7" w14:textId="77777777" w:rsidR="007867D5" w:rsidRPr="00637710" w:rsidRDefault="007867D5" w:rsidP="00CF50EC">
            <w:pPr>
              <w:rPr>
                <w:sz w:val="19"/>
                <w:szCs w:val="19"/>
              </w:rPr>
            </w:pPr>
            <w:r w:rsidRPr="00637710">
              <w:rPr>
                <w:sz w:val="19"/>
                <w:szCs w:val="19"/>
              </w:rPr>
              <w:t>IQR is a measure of variability, as the difference between the 75</w:t>
            </w:r>
            <w:r w:rsidRPr="00637710">
              <w:rPr>
                <w:sz w:val="19"/>
                <w:szCs w:val="19"/>
                <w:vertAlign w:val="superscript"/>
              </w:rPr>
              <w:t>th</w:t>
            </w:r>
            <w:r w:rsidRPr="00637710">
              <w:rPr>
                <w:sz w:val="19"/>
                <w:szCs w:val="19"/>
              </w:rPr>
              <w:t xml:space="preserve"> and 25</w:t>
            </w:r>
            <w:r w:rsidRPr="00637710">
              <w:rPr>
                <w:sz w:val="19"/>
                <w:szCs w:val="19"/>
                <w:vertAlign w:val="superscript"/>
              </w:rPr>
              <w:t>th</w:t>
            </w:r>
            <w:r w:rsidRPr="00637710">
              <w:rPr>
                <w:sz w:val="19"/>
                <w:szCs w:val="19"/>
              </w:rPr>
              <w:t xml:space="preserve"> percentile values </w:t>
            </w:r>
            <w:r>
              <w:rPr>
                <w:sz w:val="19"/>
                <w:szCs w:val="19"/>
              </w:rPr>
              <w:t xml:space="preserve">for water level </w:t>
            </w:r>
            <w:r w:rsidRPr="00637710">
              <w:rPr>
                <w:sz w:val="19"/>
                <w:szCs w:val="19"/>
              </w:rPr>
              <w:t>over the year. If the IQR increases, the variability must have increased.</w:t>
            </w:r>
          </w:p>
        </w:tc>
      </w:tr>
      <w:tr w:rsidR="007867D5" w:rsidRPr="0041543F" w14:paraId="10C11697" w14:textId="77777777" w:rsidTr="00624BCC">
        <w:trPr>
          <w:cantSplit/>
          <w:trHeight w:val="20"/>
        </w:trPr>
        <w:tc>
          <w:tcPr>
            <w:tcW w:w="1205" w:type="pct"/>
            <w:vMerge w:val="restart"/>
            <w:tcBorders>
              <w:top w:val="single" w:sz="4" w:space="0" w:color="auto"/>
              <w:left w:val="single" w:sz="4" w:space="0" w:color="auto"/>
              <w:right w:val="single" w:sz="4" w:space="0" w:color="auto"/>
            </w:tcBorders>
          </w:tcPr>
          <w:p w14:paraId="28C55933" w14:textId="0703DD6D" w:rsidR="007867D5" w:rsidRPr="00E6622F" w:rsidRDefault="007867D5" w:rsidP="00CF50EC">
            <w:pPr>
              <w:rPr>
                <w:sz w:val="19"/>
                <w:szCs w:val="19"/>
              </w:rPr>
            </w:pPr>
            <w:r w:rsidRPr="00E6622F">
              <w:rPr>
                <w:sz w:val="19"/>
                <w:szCs w:val="19"/>
              </w:rPr>
              <w:t xml:space="preserve">What did CEW contribute to hydrological </w:t>
            </w:r>
            <w:proofErr w:type="gramStart"/>
            <w:r w:rsidRPr="00E6622F">
              <w:rPr>
                <w:sz w:val="19"/>
                <w:szCs w:val="19"/>
              </w:rPr>
              <w:t>connectivity?</w:t>
            </w:r>
            <w:r w:rsidR="00624BCC">
              <w:rPr>
                <w:sz w:val="19"/>
                <w:szCs w:val="19"/>
              </w:rPr>
              <w:t>*</w:t>
            </w:r>
            <w:proofErr w:type="gramEnd"/>
          </w:p>
        </w:tc>
        <w:tc>
          <w:tcPr>
            <w:tcW w:w="471"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35FBBF23" w14:textId="77777777" w:rsidR="007867D5" w:rsidRPr="00706317" w:rsidRDefault="007867D5" w:rsidP="00CF50EC">
            <w:pPr>
              <w:spacing w:after="660"/>
              <w:jc w:val="center"/>
              <w:rPr>
                <w:sz w:val="18"/>
                <w:szCs w:val="19"/>
              </w:rPr>
            </w:pPr>
            <w:r w:rsidRPr="00706317">
              <w:rPr>
                <w:sz w:val="18"/>
                <w:szCs w:val="19"/>
              </w:rPr>
              <w:t>28 ha</w:t>
            </w:r>
          </w:p>
          <w:p w14:paraId="15E071BE" w14:textId="77777777" w:rsidR="007867D5" w:rsidRPr="00706317" w:rsidRDefault="007867D5" w:rsidP="00CF50EC">
            <w:pPr>
              <w:spacing w:after="420"/>
              <w:jc w:val="center"/>
              <w:rPr>
                <w:sz w:val="18"/>
                <w:szCs w:val="19"/>
              </w:rPr>
            </w:pPr>
            <w:r w:rsidRPr="00706317">
              <w:rPr>
                <w:sz w:val="18"/>
                <w:szCs w:val="19"/>
              </w:rPr>
              <w:t>20%</w:t>
            </w:r>
          </w:p>
        </w:tc>
        <w:tc>
          <w:tcPr>
            <w:tcW w:w="471" w:type="pct"/>
            <w:tcBorders>
              <w:top w:val="single" w:sz="4" w:space="0" w:color="auto"/>
              <w:left w:val="single" w:sz="4" w:space="0" w:color="auto"/>
              <w:bottom w:val="single" w:sz="4" w:space="0" w:color="auto"/>
              <w:right w:val="single" w:sz="4" w:space="0" w:color="auto"/>
            </w:tcBorders>
            <w:shd w:val="clear" w:color="auto" w:fill="70AD47" w:themeFill="accent6"/>
          </w:tcPr>
          <w:p w14:paraId="5E783933" w14:textId="77777777" w:rsidR="007867D5" w:rsidRPr="00706317" w:rsidRDefault="007867D5" w:rsidP="00CF50EC">
            <w:pPr>
              <w:spacing w:after="660"/>
              <w:jc w:val="center"/>
              <w:rPr>
                <w:sz w:val="18"/>
                <w:szCs w:val="19"/>
              </w:rPr>
            </w:pPr>
            <w:r w:rsidRPr="00706317">
              <w:rPr>
                <w:sz w:val="18"/>
                <w:szCs w:val="19"/>
              </w:rPr>
              <w:t>963</w:t>
            </w:r>
            <w:r>
              <w:rPr>
                <w:sz w:val="18"/>
                <w:szCs w:val="19"/>
              </w:rPr>
              <w:t> </w:t>
            </w:r>
            <w:r w:rsidRPr="00706317">
              <w:rPr>
                <w:sz w:val="18"/>
                <w:szCs w:val="19"/>
              </w:rPr>
              <w:t>ha</w:t>
            </w:r>
          </w:p>
          <w:p w14:paraId="453735B0" w14:textId="77777777" w:rsidR="007867D5" w:rsidRPr="00706317" w:rsidRDefault="007867D5" w:rsidP="00CF50EC">
            <w:pPr>
              <w:spacing w:after="420"/>
              <w:jc w:val="center"/>
              <w:rPr>
                <w:sz w:val="18"/>
                <w:szCs w:val="19"/>
              </w:rPr>
            </w:pPr>
            <w:r w:rsidRPr="00706317">
              <w:rPr>
                <w:sz w:val="18"/>
                <w:szCs w:val="19"/>
              </w:rPr>
              <w:t>37%</w:t>
            </w:r>
          </w:p>
        </w:tc>
        <w:tc>
          <w:tcPr>
            <w:tcW w:w="471"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2138ACF" w14:textId="77777777" w:rsidR="007867D5" w:rsidRPr="00637710" w:rsidRDefault="007867D5" w:rsidP="00CF50EC">
            <w:pPr>
              <w:spacing w:after="660"/>
              <w:jc w:val="center"/>
              <w:rPr>
                <w:sz w:val="19"/>
                <w:szCs w:val="19"/>
              </w:rPr>
            </w:pPr>
            <w:r w:rsidRPr="00637710">
              <w:rPr>
                <w:sz w:val="19"/>
                <w:szCs w:val="19"/>
              </w:rPr>
              <w:t>0 ha</w:t>
            </w:r>
          </w:p>
          <w:p w14:paraId="72C11A49" w14:textId="77777777" w:rsidR="007867D5" w:rsidRPr="00637710" w:rsidRDefault="007867D5" w:rsidP="00CF50EC">
            <w:pPr>
              <w:spacing w:after="420"/>
              <w:jc w:val="center"/>
              <w:rPr>
                <w:sz w:val="19"/>
                <w:szCs w:val="19"/>
              </w:rPr>
            </w:pPr>
            <w:r w:rsidRPr="00637710">
              <w:rPr>
                <w:sz w:val="19"/>
                <w:szCs w:val="19"/>
              </w:rPr>
              <w:t>5%</w:t>
            </w:r>
          </w:p>
        </w:tc>
        <w:tc>
          <w:tcPr>
            <w:tcW w:w="471" w:type="pct"/>
            <w:tcBorders>
              <w:top w:val="single" w:sz="4" w:space="0" w:color="auto"/>
              <w:left w:val="single" w:sz="4" w:space="0" w:color="auto"/>
              <w:bottom w:val="single" w:sz="4" w:space="0" w:color="auto"/>
              <w:right w:val="single" w:sz="4" w:space="0" w:color="auto"/>
            </w:tcBorders>
            <w:shd w:val="clear" w:color="auto" w:fill="70AD47" w:themeFill="accent6"/>
          </w:tcPr>
          <w:p w14:paraId="751A62B8" w14:textId="77777777" w:rsidR="007867D5" w:rsidRPr="00637710" w:rsidRDefault="007867D5" w:rsidP="00CF50EC">
            <w:pPr>
              <w:spacing w:after="660"/>
              <w:jc w:val="center"/>
              <w:rPr>
                <w:sz w:val="19"/>
                <w:szCs w:val="19"/>
              </w:rPr>
            </w:pPr>
            <w:r w:rsidRPr="00637710">
              <w:rPr>
                <w:sz w:val="19"/>
                <w:szCs w:val="19"/>
              </w:rPr>
              <w:t>831 ha</w:t>
            </w:r>
          </w:p>
          <w:p w14:paraId="104A24F5" w14:textId="77777777" w:rsidR="007867D5" w:rsidRPr="00637710" w:rsidRDefault="007867D5" w:rsidP="00CF50EC">
            <w:pPr>
              <w:spacing w:after="420"/>
              <w:jc w:val="center"/>
              <w:rPr>
                <w:sz w:val="19"/>
                <w:szCs w:val="19"/>
              </w:rPr>
            </w:pPr>
            <w:r w:rsidRPr="00637710">
              <w:rPr>
                <w:sz w:val="19"/>
                <w:szCs w:val="19"/>
              </w:rPr>
              <w:t>39%</w:t>
            </w:r>
          </w:p>
        </w:tc>
        <w:tc>
          <w:tcPr>
            <w:tcW w:w="491"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07788514" w14:textId="77777777" w:rsidR="007867D5" w:rsidRDefault="007867D5" w:rsidP="00CF50EC">
            <w:pPr>
              <w:spacing w:after="660"/>
              <w:jc w:val="center"/>
              <w:rPr>
                <w:sz w:val="19"/>
                <w:szCs w:val="19"/>
              </w:rPr>
            </w:pPr>
            <w:r>
              <w:rPr>
                <w:sz w:val="19"/>
                <w:szCs w:val="19"/>
              </w:rPr>
              <w:t>484 ha</w:t>
            </w:r>
          </w:p>
          <w:p w14:paraId="3595FAFA" w14:textId="77777777" w:rsidR="007867D5" w:rsidRPr="0041543F" w:rsidRDefault="007867D5" w:rsidP="00CF50EC">
            <w:pPr>
              <w:jc w:val="center"/>
              <w:rPr>
                <w:sz w:val="19"/>
                <w:szCs w:val="19"/>
              </w:rPr>
            </w:pPr>
            <w:r>
              <w:rPr>
                <w:sz w:val="19"/>
                <w:szCs w:val="19"/>
              </w:rPr>
              <w:t>20%</w:t>
            </w:r>
          </w:p>
        </w:tc>
        <w:tc>
          <w:tcPr>
            <w:tcW w:w="1420" w:type="pct"/>
            <w:tcBorders>
              <w:top w:val="single" w:sz="4" w:space="0" w:color="auto"/>
              <w:left w:val="single" w:sz="4" w:space="0" w:color="auto"/>
              <w:bottom w:val="single" w:sz="4" w:space="0" w:color="auto"/>
              <w:right w:val="single" w:sz="4" w:space="0" w:color="auto"/>
            </w:tcBorders>
            <w:shd w:val="clear" w:color="auto" w:fill="70AD47" w:themeFill="accent6"/>
          </w:tcPr>
          <w:p w14:paraId="2FEB1E59" w14:textId="43E27F25" w:rsidR="00624BCC" w:rsidRDefault="00624BCC" w:rsidP="00624BCC">
            <w:pPr>
              <w:jc w:val="center"/>
              <w:rPr>
                <w:sz w:val="19"/>
                <w:szCs w:val="19"/>
              </w:rPr>
            </w:pPr>
            <w:r>
              <w:rPr>
                <w:sz w:val="19"/>
                <w:szCs w:val="19"/>
              </w:rPr>
              <w:t>Maximum area inundated increased by 517 ha due to eWater.</w:t>
            </w:r>
          </w:p>
          <w:p w14:paraId="43F45DD9" w14:textId="65157F0F" w:rsidR="007867D5" w:rsidRDefault="00624BCC" w:rsidP="00624BCC">
            <w:pPr>
              <w:jc w:val="center"/>
              <w:rPr>
                <w:sz w:val="19"/>
                <w:szCs w:val="19"/>
              </w:rPr>
            </w:pPr>
            <w:r>
              <w:rPr>
                <w:sz w:val="19"/>
                <w:szCs w:val="19"/>
              </w:rPr>
              <w:t>3</w:t>
            </w:r>
            <w:r w:rsidR="00347B71">
              <w:rPr>
                <w:sz w:val="19"/>
                <w:szCs w:val="19"/>
              </w:rPr>
              <w:t>2</w:t>
            </w:r>
            <w:r>
              <w:rPr>
                <w:sz w:val="19"/>
                <w:szCs w:val="19"/>
              </w:rPr>
              <w:t>% increase in volume at the SA border.</w:t>
            </w:r>
          </w:p>
        </w:tc>
      </w:tr>
      <w:tr w:rsidR="007867D5" w:rsidRPr="0041543F" w14:paraId="61246892" w14:textId="77777777" w:rsidTr="00624BCC">
        <w:trPr>
          <w:cantSplit/>
          <w:trHeight w:val="20"/>
        </w:trPr>
        <w:tc>
          <w:tcPr>
            <w:tcW w:w="1205" w:type="pct"/>
            <w:vMerge/>
            <w:tcBorders>
              <w:left w:val="single" w:sz="4" w:space="0" w:color="auto"/>
              <w:right w:val="single" w:sz="4" w:space="0" w:color="auto"/>
            </w:tcBorders>
          </w:tcPr>
          <w:p w14:paraId="5A8C60A4" w14:textId="77777777" w:rsidR="007867D5" w:rsidRPr="00C4364F" w:rsidRDefault="007867D5" w:rsidP="00CF50EC">
            <w:pPr>
              <w:rPr>
                <w:sz w:val="19"/>
                <w:szCs w:val="19"/>
              </w:rPr>
            </w:pPr>
          </w:p>
        </w:tc>
        <w:tc>
          <w:tcPr>
            <w:tcW w:w="3795" w:type="pct"/>
            <w:gridSpan w:val="6"/>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56645FD9" w14:textId="71BD75EA" w:rsidR="007867D5" w:rsidRDefault="007867D5" w:rsidP="00CF50EC">
            <w:pPr>
              <w:rPr>
                <w:sz w:val="19"/>
                <w:szCs w:val="19"/>
              </w:rPr>
            </w:pPr>
            <w:r w:rsidRPr="00637710">
              <w:rPr>
                <w:sz w:val="19"/>
                <w:szCs w:val="19"/>
              </w:rPr>
              <w:t xml:space="preserve">CEW contribution to connectivity has been assessed laterally, as the increase in maximum inundated area each year, and longitudinally, as the percentage increase in </w:t>
            </w:r>
            <w:r w:rsidR="00251E83">
              <w:rPr>
                <w:sz w:val="19"/>
                <w:szCs w:val="19"/>
              </w:rPr>
              <w:t xml:space="preserve">flow </w:t>
            </w:r>
            <w:r w:rsidRPr="00637710">
              <w:rPr>
                <w:sz w:val="19"/>
                <w:szCs w:val="19"/>
              </w:rPr>
              <w:t>volume each year (as used for Basin Scale assessme</w:t>
            </w:r>
            <w:r>
              <w:rPr>
                <w:sz w:val="19"/>
                <w:szCs w:val="19"/>
              </w:rPr>
              <w:t>nt). CEW contribution to lateral and longitudinal hydrological connectivity was variable over the last six years.</w:t>
            </w:r>
          </w:p>
          <w:p w14:paraId="7F60101E" w14:textId="62E50535" w:rsidR="00624BCC" w:rsidRDefault="00624BCC" w:rsidP="00624BCC">
            <w:pPr>
              <w:rPr>
                <w:sz w:val="19"/>
                <w:szCs w:val="19"/>
              </w:rPr>
            </w:pPr>
            <w:r>
              <w:rPr>
                <w:sz w:val="19"/>
                <w:szCs w:val="19"/>
              </w:rPr>
              <w:t>In 2019-20, CEW increased lateral</w:t>
            </w:r>
            <w:r w:rsidRPr="00637710">
              <w:rPr>
                <w:sz w:val="19"/>
                <w:szCs w:val="19"/>
              </w:rPr>
              <w:t xml:space="preserve"> </w:t>
            </w:r>
            <w:r>
              <w:rPr>
                <w:sz w:val="19"/>
                <w:szCs w:val="19"/>
              </w:rPr>
              <w:t>connectivity throughout the water year, and this was largely due to the increase</w:t>
            </w:r>
            <w:r w:rsidR="001F509A">
              <w:rPr>
                <w:sz w:val="19"/>
                <w:szCs w:val="19"/>
              </w:rPr>
              <w:t>d</w:t>
            </w:r>
            <w:r>
              <w:rPr>
                <w:sz w:val="19"/>
                <w:szCs w:val="19"/>
              </w:rPr>
              <w:t xml:space="preserve"> water levels in the Lower Lakes, as well as the Lock 2 weir pool raising.</w:t>
            </w:r>
          </w:p>
          <w:p w14:paraId="093C15FE" w14:textId="344B9647" w:rsidR="007867D5" w:rsidRPr="00637710" w:rsidRDefault="007867D5" w:rsidP="00CF50EC">
            <w:pPr>
              <w:rPr>
                <w:sz w:val="19"/>
                <w:szCs w:val="19"/>
              </w:rPr>
            </w:pPr>
            <w:r>
              <w:rPr>
                <w:sz w:val="19"/>
                <w:szCs w:val="19"/>
              </w:rPr>
              <w:t>L</w:t>
            </w:r>
            <w:r w:rsidRPr="00637710">
              <w:rPr>
                <w:sz w:val="19"/>
                <w:szCs w:val="19"/>
              </w:rPr>
              <w:t>ongitudinal hydrological connectivity was</w:t>
            </w:r>
            <w:r>
              <w:rPr>
                <w:sz w:val="19"/>
                <w:szCs w:val="19"/>
              </w:rPr>
              <w:t xml:space="preserve"> increased by CEW in 2019-20, where the </w:t>
            </w:r>
            <w:r w:rsidRPr="00637710">
              <w:rPr>
                <w:sz w:val="19"/>
                <w:szCs w:val="19"/>
              </w:rPr>
              <w:t xml:space="preserve">Basin-wide </w:t>
            </w:r>
            <w:r>
              <w:rPr>
                <w:sz w:val="19"/>
                <w:szCs w:val="19"/>
              </w:rPr>
              <w:t xml:space="preserve">eWater strategy </w:t>
            </w:r>
            <w:r w:rsidRPr="00637710">
              <w:rPr>
                <w:sz w:val="19"/>
                <w:szCs w:val="19"/>
              </w:rPr>
              <w:t>target for a 30% increase in flows in the Murray</w:t>
            </w:r>
            <w:r w:rsidR="00CC0BE2">
              <w:rPr>
                <w:sz w:val="19"/>
                <w:szCs w:val="19"/>
              </w:rPr>
              <w:t xml:space="preserve"> River</w:t>
            </w:r>
            <w:r>
              <w:rPr>
                <w:sz w:val="19"/>
                <w:szCs w:val="19"/>
              </w:rPr>
              <w:t xml:space="preserve"> was met.</w:t>
            </w:r>
            <w:r w:rsidRPr="00637710">
              <w:rPr>
                <w:sz w:val="19"/>
                <w:szCs w:val="19"/>
              </w:rPr>
              <w:t xml:space="preserve"> </w:t>
            </w:r>
            <w:r w:rsidR="00AE761A">
              <w:rPr>
                <w:sz w:val="19"/>
                <w:szCs w:val="19"/>
              </w:rPr>
              <w:t>Subsequently</w:t>
            </w:r>
            <w:r>
              <w:rPr>
                <w:sz w:val="19"/>
                <w:szCs w:val="19"/>
              </w:rPr>
              <w:t>, a ‘moderate’ contribution has been assigned for hydrological connectivity.</w:t>
            </w:r>
          </w:p>
        </w:tc>
      </w:tr>
    </w:tbl>
    <w:p w14:paraId="79139BAA" w14:textId="52082608" w:rsidR="007867D5" w:rsidRDefault="00624BCC" w:rsidP="007867D5">
      <w:pPr>
        <w:spacing w:before="0" w:after="0" w:line="240" w:lineRule="auto"/>
        <w:jc w:val="left"/>
        <w:rPr>
          <w:color w:val="auto"/>
          <w:kern w:val="0"/>
          <w:sz w:val="19"/>
          <w:szCs w:val="19"/>
          <w:lang w:val="en-US" w:bidi="en-US"/>
        </w:rPr>
      </w:pPr>
      <w:r>
        <w:rPr>
          <w:color w:val="auto"/>
          <w:kern w:val="0"/>
          <w:sz w:val="19"/>
          <w:szCs w:val="19"/>
          <w:lang w:val="en-US" w:bidi="en-US"/>
        </w:rPr>
        <w:t>* Inundation r</w:t>
      </w:r>
      <w:r w:rsidRPr="00624BCC">
        <w:rPr>
          <w:color w:val="auto"/>
          <w:kern w:val="0"/>
          <w:sz w:val="19"/>
          <w:szCs w:val="19"/>
          <w:lang w:val="en-US" w:bidi="en-US"/>
        </w:rPr>
        <w:t xml:space="preserve">esults </w:t>
      </w:r>
      <w:r w:rsidR="00086637">
        <w:rPr>
          <w:color w:val="auto"/>
          <w:kern w:val="0"/>
          <w:sz w:val="19"/>
          <w:szCs w:val="19"/>
          <w:lang w:val="en-US" w:bidi="en-US"/>
        </w:rPr>
        <w:t xml:space="preserve">for 2014-15 to 2018-19 </w:t>
      </w:r>
      <w:r w:rsidRPr="00624BCC">
        <w:rPr>
          <w:color w:val="auto"/>
          <w:kern w:val="0"/>
          <w:sz w:val="19"/>
          <w:szCs w:val="19"/>
          <w:lang w:val="en-US" w:bidi="en-US"/>
        </w:rPr>
        <w:t>do not include the river below Lock 1.</w:t>
      </w:r>
    </w:p>
    <w:p w14:paraId="6E672BAF" w14:textId="77777777" w:rsidR="00624BCC" w:rsidRDefault="00624BCC" w:rsidP="007867D5">
      <w:pPr>
        <w:spacing w:before="0" w:after="0" w:line="240" w:lineRule="auto"/>
        <w:jc w:val="left"/>
        <w:rPr>
          <w:color w:val="auto"/>
          <w:kern w:val="0"/>
          <w:sz w:val="19"/>
          <w:szCs w:val="19"/>
          <w:lang w:val="en-US" w:bidi="en-US"/>
        </w:rPr>
      </w:pPr>
    </w:p>
    <w:p w14:paraId="0047B1E3" w14:textId="77777777" w:rsidR="007867D5" w:rsidRPr="00BF0490" w:rsidRDefault="007867D5" w:rsidP="007867D5">
      <w:pPr>
        <w:spacing w:before="0" w:after="0" w:line="240" w:lineRule="auto"/>
        <w:jc w:val="left"/>
        <w:rPr>
          <w:color w:val="auto"/>
          <w:kern w:val="0"/>
          <w:sz w:val="19"/>
          <w:szCs w:val="19"/>
          <w:lang w:val="en-US" w:bidi="en-US"/>
        </w:rPr>
      </w:pPr>
      <w:r w:rsidRPr="00BF0490">
        <w:rPr>
          <w:color w:val="auto"/>
          <w:kern w:val="0"/>
          <w:sz w:val="19"/>
          <w:szCs w:val="19"/>
          <w:lang w:val="en-US" w:bidi="en-US"/>
        </w:rPr>
        <w:t>Contribution (to what extent CEW contributed towards the outcome, with the significance of the outcome considered):</w:t>
      </w:r>
    </w:p>
    <w:tbl>
      <w:tblPr>
        <w:tblW w:w="6784" w:type="dxa"/>
        <w:tblLook w:val="04A0" w:firstRow="1" w:lastRow="0" w:firstColumn="1" w:lastColumn="0" w:noHBand="0" w:noVBand="1"/>
      </w:tblPr>
      <w:tblGrid>
        <w:gridCol w:w="222"/>
        <w:gridCol w:w="1066"/>
        <w:gridCol w:w="222"/>
        <w:gridCol w:w="1069"/>
        <w:gridCol w:w="222"/>
        <w:gridCol w:w="1704"/>
        <w:gridCol w:w="222"/>
        <w:gridCol w:w="727"/>
        <w:gridCol w:w="222"/>
        <w:gridCol w:w="1144"/>
        <w:gridCol w:w="222"/>
        <w:gridCol w:w="1210"/>
      </w:tblGrid>
      <w:tr w:rsidR="007867D5" w:rsidRPr="00BF0490" w14:paraId="0A4E4BEA" w14:textId="77777777" w:rsidTr="00CF50EC">
        <w:tc>
          <w:tcPr>
            <w:tcW w:w="222" w:type="dxa"/>
            <w:shd w:val="clear" w:color="auto" w:fill="D9D9D9" w:themeFill="background1" w:themeFillShade="D9"/>
          </w:tcPr>
          <w:p w14:paraId="597FFEF2" w14:textId="77777777" w:rsidR="007867D5" w:rsidRPr="00BF0490" w:rsidRDefault="007867D5" w:rsidP="00CF50EC">
            <w:pPr>
              <w:contextualSpacing/>
              <w:rPr>
                <w:sz w:val="19"/>
                <w:szCs w:val="19"/>
              </w:rPr>
            </w:pPr>
          </w:p>
        </w:tc>
        <w:tc>
          <w:tcPr>
            <w:tcW w:w="1066" w:type="dxa"/>
            <w:vAlign w:val="center"/>
          </w:tcPr>
          <w:p w14:paraId="1E646D93" w14:textId="77777777" w:rsidR="007867D5" w:rsidRPr="00BF0490" w:rsidRDefault="007867D5" w:rsidP="00CF50EC">
            <w:pPr>
              <w:contextualSpacing/>
              <w:rPr>
                <w:sz w:val="19"/>
                <w:szCs w:val="19"/>
              </w:rPr>
            </w:pPr>
            <w:r w:rsidRPr="00BF0490">
              <w:rPr>
                <w:sz w:val="19"/>
                <w:szCs w:val="19"/>
              </w:rPr>
              <w:t>Unknown</w:t>
            </w:r>
          </w:p>
        </w:tc>
        <w:tc>
          <w:tcPr>
            <w:tcW w:w="222" w:type="dxa"/>
            <w:shd w:val="clear" w:color="auto" w:fill="FF0000"/>
            <w:vAlign w:val="center"/>
          </w:tcPr>
          <w:p w14:paraId="0DCC523C" w14:textId="77777777" w:rsidR="007867D5" w:rsidRPr="00BF0490" w:rsidRDefault="007867D5" w:rsidP="00CF50EC">
            <w:pPr>
              <w:contextualSpacing/>
              <w:rPr>
                <w:sz w:val="19"/>
                <w:szCs w:val="19"/>
              </w:rPr>
            </w:pPr>
          </w:p>
        </w:tc>
        <w:tc>
          <w:tcPr>
            <w:tcW w:w="1069" w:type="dxa"/>
            <w:vAlign w:val="center"/>
          </w:tcPr>
          <w:p w14:paraId="727B7341" w14:textId="77777777" w:rsidR="007867D5" w:rsidRPr="00BF0490" w:rsidRDefault="007867D5" w:rsidP="00CF50EC">
            <w:pPr>
              <w:contextualSpacing/>
              <w:rPr>
                <w:sz w:val="19"/>
                <w:szCs w:val="19"/>
              </w:rPr>
            </w:pPr>
            <w:r w:rsidRPr="00BF0490">
              <w:rPr>
                <w:sz w:val="19"/>
                <w:szCs w:val="19"/>
              </w:rPr>
              <w:t>Negative</w:t>
            </w:r>
          </w:p>
        </w:tc>
        <w:tc>
          <w:tcPr>
            <w:tcW w:w="222" w:type="dxa"/>
            <w:shd w:val="clear" w:color="auto" w:fill="E2EFD9" w:themeFill="accent6" w:themeFillTint="33"/>
            <w:vAlign w:val="center"/>
          </w:tcPr>
          <w:p w14:paraId="05016BF1" w14:textId="77777777" w:rsidR="007867D5" w:rsidRPr="00BF0490" w:rsidRDefault="007867D5" w:rsidP="00CF50EC">
            <w:pPr>
              <w:contextualSpacing/>
              <w:rPr>
                <w:sz w:val="19"/>
                <w:szCs w:val="19"/>
              </w:rPr>
            </w:pPr>
          </w:p>
        </w:tc>
        <w:tc>
          <w:tcPr>
            <w:tcW w:w="236" w:type="dxa"/>
            <w:vAlign w:val="center"/>
          </w:tcPr>
          <w:p w14:paraId="2296C29C" w14:textId="77777777" w:rsidR="007867D5" w:rsidRPr="00BF0490" w:rsidRDefault="007867D5" w:rsidP="00CF50EC">
            <w:pPr>
              <w:contextualSpacing/>
              <w:rPr>
                <w:sz w:val="19"/>
                <w:szCs w:val="19"/>
              </w:rPr>
            </w:pPr>
            <w:r w:rsidRPr="00BF0490">
              <w:rPr>
                <w:sz w:val="19"/>
                <w:szCs w:val="19"/>
              </w:rPr>
              <w:t>None/negligible</w:t>
            </w:r>
          </w:p>
        </w:tc>
        <w:tc>
          <w:tcPr>
            <w:tcW w:w="222" w:type="dxa"/>
            <w:shd w:val="clear" w:color="auto" w:fill="A8D08D" w:themeFill="accent6" w:themeFillTint="99"/>
            <w:vAlign w:val="center"/>
          </w:tcPr>
          <w:p w14:paraId="0CB4AE25" w14:textId="77777777" w:rsidR="007867D5" w:rsidRPr="00BF0490" w:rsidRDefault="007867D5" w:rsidP="00CF50EC">
            <w:pPr>
              <w:contextualSpacing/>
              <w:rPr>
                <w:sz w:val="19"/>
                <w:szCs w:val="19"/>
              </w:rPr>
            </w:pPr>
          </w:p>
        </w:tc>
        <w:tc>
          <w:tcPr>
            <w:tcW w:w="727" w:type="dxa"/>
            <w:vAlign w:val="center"/>
          </w:tcPr>
          <w:p w14:paraId="0A898242" w14:textId="77777777" w:rsidR="007867D5" w:rsidRPr="00BF0490" w:rsidRDefault="007867D5" w:rsidP="00CF50EC">
            <w:pPr>
              <w:contextualSpacing/>
              <w:rPr>
                <w:sz w:val="19"/>
                <w:szCs w:val="19"/>
              </w:rPr>
            </w:pPr>
            <w:r w:rsidRPr="00BF0490">
              <w:rPr>
                <w:sz w:val="19"/>
                <w:szCs w:val="19"/>
              </w:rPr>
              <w:t>Minor</w:t>
            </w:r>
          </w:p>
        </w:tc>
        <w:tc>
          <w:tcPr>
            <w:tcW w:w="222" w:type="dxa"/>
            <w:shd w:val="clear" w:color="auto" w:fill="70AD47" w:themeFill="accent6"/>
            <w:vAlign w:val="center"/>
          </w:tcPr>
          <w:p w14:paraId="5856D606" w14:textId="77777777" w:rsidR="007867D5" w:rsidRPr="00BF0490" w:rsidRDefault="007867D5" w:rsidP="00CF50EC">
            <w:pPr>
              <w:contextualSpacing/>
              <w:rPr>
                <w:sz w:val="19"/>
                <w:szCs w:val="19"/>
              </w:rPr>
            </w:pPr>
          </w:p>
        </w:tc>
        <w:tc>
          <w:tcPr>
            <w:tcW w:w="1144" w:type="dxa"/>
            <w:vAlign w:val="center"/>
          </w:tcPr>
          <w:p w14:paraId="165D78ED" w14:textId="77777777" w:rsidR="007867D5" w:rsidRPr="00772AD0" w:rsidRDefault="007867D5" w:rsidP="00CF50EC">
            <w:pPr>
              <w:contextualSpacing/>
              <w:rPr>
                <w:iCs/>
                <w:sz w:val="19"/>
                <w:szCs w:val="19"/>
              </w:rPr>
            </w:pPr>
            <w:r w:rsidRPr="00772AD0">
              <w:rPr>
                <w:iCs/>
                <w:sz w:val="19"/>
                <w:szCs w:val="19"/>
              </w:rPr>
              <w:t>Moderate</w:t>
            </w:r>
          </w:p>
        </w:tc>
        <w:tc>
          <w:tcPr>
            <w:tcW w:w="222" w:type="dxa"/>
            <w:shd w:val="clear" w:color="auto" w:fill="5B9BD5" w:themeFill="accent1"/>
          </w:tcPr>
          <w:p w14:paraId="1AF4E049" w14:textId="77777777" w:rsidR="007867D5" w:rsidRPr="00BF0490" w:rsidRDefault="007867D5" w:rsidP="00CF50EC">
            <w:pPr>
              <w:contextualSpacing/>
              <w:rPr>
                <w:i/>
                <w:sz w:val="19"/>
                <w:szCs w:val="19"/>
              </w:rPr>
            </w:pPr>
          </w:p>
        </w:tc>
        <w:tc>
          <w:tcPr>
            <w:tcW w:w="1210" w:type="dxa"/>
            <w:vAlign w:val="center"/>
          </w:tcPr>
          <w:p w14:paraId="3F4D0F3C" w14:textId="77777777" w:rsidR="007867D5" w:rsidRPr="00BF0490" w:rsidRDefault="007867D5" w:rsidP="00CF50EC">
            <w:pPr>
              <w:contextualSpacing/>
              <w:jc w:val="left"/>
              <w:rPr>
                <w:sz w:val="19"/>
                <w:szCs w:val="19"/>
              </w:rPr>
            </w:pPr>
            <w:r w:rsidRPr="00BF0490">
              <w:rPr>
                <w:sz w:val="19"/>
                <w:szCs w:val="19"/>
              </w:rPr>
              <w:t>Substantial</w:t>
            </w:r>
          </w:p>
        </w:tc>
      </w:tr>
    </w:tbl>
    <w:p w14:paraId="78C2FEAF" w14:textId="77777777" w:rsidR="007867D5" w:rsidRPr="00BF0490" w:rsidRDefault="007867D5" w:rsidP="007867D5"/>
    <w:p w14:paraId="6BB185FE" w14:textId="097E59DD" w:rsidR="007867D5" w:rsidRPr="00E35C12" w:rsidRDefault="007867D5" w:rsidP="007867D5">
      <w:pPr>
        <w:pStyle w:val="Heading3"/>
      </w:pPr>
      <w:r w:rsidRPr="00E35C12">
        <w:t>Discussion</w:t>
      </w:r>
      <w:bookmarkEnd w:id="77"/>
    </w:p>
    <w:p w14:paraId="146E5C62" w14:textId="5209ECDF" w:rsidR="007867D5" w:rsidRDefault="007867D5" w:rsidP="007867D5">
      <w:bookmarkStart w:id="96" w:name="_Toc524094750"/>
      <w:r>
        <w:t>2019-20 was a dry year, where 1,568 GL of the full 1,850 GL of South Australia’s entitlement flow was delivered, and there was no unregulated flow. In dry years like this</w:t>
      </w:r>
      <w:r w:rsidR="00DA6DA1">
        <w:t>,</w:t>
      </w:r>
      <w:r>
        <w:t xml:space="preserve"> Commonwealth environmental water provides a substantial contribution to longitudinal connectivity, with a 3</w:t>
      </w:r>
      <w:r w:rsidR="00347B71">
        <w:t>2</w:t>
      </w:r>
      <w:r>
        <w:t>% increase in</w:t>
      </w:r>
      <w:r w:rsidR="00ED6D8A">
        <w:t xml:space="preserve"> flow</w:t>
      </w:r>
      <w:r>
        <w:t xml:space="preserve"> volume at the South Australian border</w:t>
      </w:r>
      <w:r w:rsidR="00086637">
        <w:t xml:space="preserve">. </w:t>
      </w:r>
    </w:p>
    <w:p w14:paraId="68DADFDC" w14:textId="4D946C15" w:rsidR="007867D5" w:rsidRDefault="007867D5" w:rsidP="007867D5">
      <w:r>
        <w:t xml:space="preserve">The evaluation of </w:t>
      </w:r>
      <w:r w:rsidRPr="004001C1">
        <w:t>C</w:t>
      </w:r>
      <w:r>
        <w:t>ommonwealth environmental water</w:t>
      </w:r>
      <w:r w:rsidRPr="004001C1">
        <w:t xml:space="preserve"> contribut</w:t>
      </w:r>
      <w:r>
        <w:t>ion</w:t>
      </w:r>
      <w:r w:rsidRPr="004001C1">
        <w:t xml:space="preserve"> to hydraulic diversity within weir pools</w:t>
      </w:r>
      <w:r>
        <w:t xml:space="preserve"> is in line with previous years (Ye </w:t>
      </w:r>
      <w:r w:rsidRPr="00137D07">
        <w:rPr>
          <w:i/>
          <w:iCs/>
        </w:rPr>
        <w:t>et al.</w:t>
      </w:r>
      <w:r>
        <w:t xml:space="preserve"> 2020). </w:t>
      </w:r>
      <w:r>
        <w:fldChar w:fldCharType="begin"/>
      </w:r>
      <w:r>
        <w:instrText xml:space="preserve"> REF _Ref54615575 \h </w:instrText>
      </w:r>
      <w:r>
        <w:fldChar w:fldCharType="separate"/>
      </w:r>
      <w:r w:rsidR="00AD0721">
        <w:t xml:space="preserve">Figure </w:t>
      </w:r>
      <w:r w:rsidR="00AD0721">
        <w:rPr>
          <w:noProof/>
        </w:rPr>
        <w:t>10</w:t>
      </w:r>
      <w:r>
        <w:fldChar w:fldCharType="end"/>
      </w:r>
      <w:r>
        <w:t xml:space="preserve"> presents the flow to South Australia over the past six years to compare the </w:t>
      </w:r>
      <w:r w:rsidR="00ED6D8A">
        <w:t xml:space="preserve">events of flow delivery. </w:t>
      </w:r>
      <w:proofErr w:type="gramStart"/>
      <w:r w:rsidR="00ED6D8A">
        <w:t>It can be seen that events</w:t>
      </w:r>
      <w:proofErr w:type="gramEnd"/>
      <w:r w:rsidR="00ED6D8A">
        <w:t xml:space="preserve"> of similar magnitude and duration to 2019-20, despite </w:t>
      </w:r>
      <w:r w:rsidR="00F64316">
        <w:t xml:space="preserve">different </w:t>
      </w:r>
      <w:r w:rsidR="00ED6D8A">
        <w:t xml:space="preserve">timing, also </w:t>
      </w:r>
      <w:r>
        <w:t xml:space="preserve">occurred in 2014-15 and 2017-18.  Ye </w:t>
      </w:r>
      <w:r w:rsidRPr="00375253">
        <w:rPr>
          <w:i/>
          <w:iCs/>
        </w:rPr>
        <w:t>et al</w:t>
      </w:r>
      <w:r>
        <w:t>. (2020) demonstrated that t</w:t>
      </w:r>
      <w:r w:rsidRPr="009122DB">
        <w:t xml:space="preserve">he increase in discharge to </w:t>
      </w:r>
      <w:r>
        <w:t xml:space="preserve">this magnitude (e.g. </w:t>
      </w:r>
      <w:r w:rsidRPr="009122DB">
        <w:t>17,840 ML/d in 2017</w:t>
      </w:r>
      <w:r>
        <w:t>-</w:t>
      </w:r>
      <w:r w:rsidRPr="009122DB">
        <w:t>18</w:t>
      </w:r>
      <w:r>
        <w:t>)</w:t>
      </w:r>
      <w:r w:rsidRPr="009122DB">
        <w:t xml:space="preserve">, compared to ~12,000 ML/d in </w:t>
      </w:r>
      <w:r>
        <w:t>the two dry years of 2015-16 and 2018-19</w:t>
      </w:r>
      <w:r w:rsidRPr="009122DB">
        <w:t xml:space="preserve">, increased the </w:t>
      </w:r>
      <w:r>
        <w:t>length of the river</w:t>
      </w:r>
      <w:r w:rsidRPr="009122DB">
        <w:t xml:space="preserve"> </w:t>
      </w:r>
      <w:r>
        <w:t xml:space="preserve">with </w:t>
      </w:r>
      <w:r w:rsidRPr="009122DB">
        <w:t>lotic</w:t>
      </w:r>
      <w:r>
        <w:t xml:space="preserve"> velocities</w:t>
      </w:r>
      <w:r w:rsidRPr="009122DB">
        <w:t xml:space="preserve"> created by </w:t>
      </w:r>
      <w:r w:rsidRPr="004001C1">
        <w:t>C</w:t>
      </w:r>
      <w:r>
        <w:t>ommonwealth environmental water</w:t>
      </w:r>
      <w:r w:rsidRPr="009122DB">
        <w:t xml:space="preserve"> by a factor of 2</w:t>
      </w:r>
      <w:r>
        <w:t xml:space="preserve">.0–2.8. This result highlights the substantial increases in lotic habitat in the LMR by increasing flow to South Australia in the </w:t>
      </w:r>
      <w:r w:rsidR="00F64316">
        <w:t>order of ~20,000 ML/d</w:t>
      </w:r>
      <w:r>
        <w:t>.</w:t>
      </w:r>
    </w:p>
    <w:p w14:paraId="2FCAE6F8" w14:textId="5D787AAB" w:rsidR="007867D5" w:rsidRDefault="007867D5" w:rsidP="007867D5">
      <w:r>
        <w:t xml:space="preserve">A range of metrics </w:t>
      </w:r>
      <w:r w:rsidR="00DA6DA1">
        <w:t xml:space="preserve">have </w:t>
      </w:r>
      <w:r>
        <w:t xml:space="preserve">been considered to assess the evaluation questions in </w:t>
      </w:r>
      <w:r>
        <w:fldChar w:fldCharType="begin"/>
      </w:r>
      <w:r>
        <w:instrText xml:space="preserve"> REF _Ref22554285 \h </w:instrText>
      </w:r>
      <w:r>
        <w:fldChar w:fldCharType="separate"/>
      </w:r>
      <w:r w:rsidR="006045CA">
        <w:t xml:space="preserve">Table </w:t>
      </w:r>
      <w:r w:rsidR="006045CA">
        <w:rPr>
          <w:noProof/>
        </w:rPr>
        <w:t>3</w:t>
      </w:r>
      <w:r>
        <w:fldChar w:fldCharType="end"/>
      </w:r>
      <w:r>
        <w:t xml:space="preserve">. Relevant velocity thresholds, proportions of the river, time of year and duration required for different ecological processes to be promoted are the focus of further research, as the empirical evidence relating </w:t>
      </w:r>
      <w:r w:rsidR="00DA6DA1">
        <w:t xml:space="preserve">to </w:t>
      </w:r>
      <w:r>
        <w:t xml:space="preserve">the conditions occurring, and different ecological processes being promoted, </w:t>
      </w:r>
      <w:r w:rsidR="00F64316">
        <w:t>continues to improve</w:t>
      </w:r>
      <w:r>
        <w:t>. It is expected that this hydraulic information, and the methodology developed to derive it for the future, will help to develop eco-hydraulic relationships.</w:t>
      </w:r>
    </w:p>
    <w:p w14:paraId="160B8F17" w14:textId="5A402FAB" w:rsidR="007867D5" w:rsidRDefault="007A092B" w:rsidP="007867D5">
      <w:pPr>
        <w:keepNext/>
      </w:pPr>
      <w:r>
        <w:rPr>
          <w:noProof/>
        </w:rPr>
        <w:drawing>
          <wp:inline distT="0" distB="0" distL="0" distR="0" wp14:anchorId="23AB3DD6" wp14:editId="4B224191">
            <wp:extent cx="5727700" cy="2863850"/>
            <wp:effectExtent l="0" t="0" r="635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5727700" cy="2863850"/>
                    </a:xfrm>
                    <a:prstGeom prst="rect">
                      <a:avLst/>
                    </a:prstGeom>
                    <a:noFill/>
                    <a:ln>
                      <a:noFill/>
                    </a:ln>
                  </pic:spPr>
                </pic:pic>
              </a:graphicData>
            </a:graphic>
          </wp:inline>
        </w:drawing>
      </w:r>
    </w:p>
    <w:p w14:paraId="547D1469" w14:textId="7EC589C9" w:rsidR="007867D5" w:rsidRDefault="007867D5" w:rsidP="007867D5">
      <w:pPr>
        <w:pStyle w:val="Caption"/>
      </w:pPr>
      <w:bookmarkStart w:id="97" w:name="_Ref54615575"/>
      <w:bookmarkStart w:id="98" w:name="_Toc69387674"/>
      <w:r>
        <w:t xml:space="preserve">Figure </w:t>
      </w:r>
      <w:r w:rsidR="006C38E9">
        <w:fldChar w:fldCharType="begin"/>
      </w:r>
      <w:r w:rsidR="006C38E9">
        <w:instrText xml:space="preserve"> SEQ Figure \* ARABIC </w:instrText>
      </w:r>
      <w:r w:rsidR="006C38E9">
        <w:fldChar w:fldCharType="separate"/>
      </w:r>
      <w:r w:rsidR="00025EB2">
        <w:rPr>
          <w:noProof/>
        </w:rPr>
        <w:t>10</w:t>
      </w:r>
      <w:r w:rsidR="006C38E9">
        <w:rPr>
          <w:noProof/>
        </w:rPr>
        <w:fldChar w:fldCharType="end"/>
      </w:r>
      <w:bookmarkEnd w:id="97"/>
      <w:r>
        <w:rPr>
          <w:noProof/>
        </w:rPr>
        <w:t>.</w:t>
      </w:r>
      <w:r>
        <w:t xml:space="preserve"> Flow to South Australia over the past six years, where events of similar magnitude and duration have occurred in 2014-15, 2017-18 and 2019-20. The high flow year of 2016-17 peaked at </w:t>
      </w:r>
      <w:r w:rsidRPr="008A6C81">
        <w:t>94</w:t>
      </w:r>
      <w:r>
        <w:t>,</w:t>
      </w:r>
      <w:r w:rsidRPr="008A6C81">
        <w:t>350</w:t>
      </w:r>
      <w:r>
        <w:t> ML/d.</w:t>
      </w:r>
      <w:bookmarkEnd w:id="98"/>
      <w:r>
        <w:t xml:space="preserve"> </w:t>
      </w:r>
    </w:p>
    <w:p w14:paraId="7B43D0D0" w14:textId="77777777" w:rsidR="00971C28" w:rsidRPr="00971C28" w:rsidRDefault="00971C28" w:rsidP="00971C28"/>
    <w:p w14:paraId="42AD590D" w14:textId="77777777" w:rsidR="00ED72DB" w:rsidRDefault="00ED72DB" w:rsidP="00ED72DB">
      <w:pPr>
        <w:pStyle w:val="Heading3"/>
      </w:pPr>
      <w:r>
        <w:t>Management implications</w:t>
      </w:r>
    </w:p>
    <w:p w14:paraId="68FDA3CB" w14:textId="75707B6C" w:rsidR="007867D5" w:rsidRPr="004F5412" w:rsidRDefault="00F64316" w:rsidP="007867D5">
      <w:pPr>
        <w:rPr>
          <w:lang w:val="en-US"/>
        </w:rPr>
      </w:pPr>
      <w:r>
        <w:rPr>
          <w:lang w:val="en-US"/>
        </w:rPr>
        <w:t>The restoration of l</w:t>
      </w:r>
      <w:r w:rsidRPr="00994E49">
        <w:rPr>
          <w:lang w:val="en-US"/>
        </w:rPr>
        <w:t xml:space="preserve">otic habitats </w:t>
      </w:r>
      <w:r>
        <w:rPr>
          <w:lang w:val="en-US"/>
        </w:rPr>
        <w:t>is</w:t>
      </w:r>
      <w:r w:rsidRPr="00994E49">
        <w:rPr>
          <w:lang w:val="en-US"/>
        </w:rPr>
        <w:t xml:space="preserve"> important for </w:t>
      </w:r>
      <w:r>
        <w:rPr>
          <w:lang w:val="en-US"/>
        </w:rPr>
        <w:t>river ecosystem function</w:t>
      </w:r>
      <w:r w:rsidRPr="00994E49">
        <w:rPr>
          <w:lang w:val="en-US"/>
        </w:rPr>
        <w:t xml:space="preserve"> and </w:t>
      </w:r>
      <w:r>
        <w:rPr>
          <w:lang w:val="en-US"/>
        </w:rPr>
        <w:t xml:space="preserve">specifically to support key </w:t>
      </w:r>
      <w:r w:rsidRPr="00994E49">
        <w:rPr>
          <w:lang w:val="en-US"/>
        </w:rPr>
        <w:t xml:space="preserve">life history processes for many native </w:t>
      </w:r>
      <w:proofErr w:type="gramStart"/>
      <w:r w:rsidR="007867D5" w:rsidRPr="00994E49">
        <w:rPr>
          <w:lang w:val="en-US"/>
        </w:rPr>
        <w:t>biota</w:t>
      </w:r>
      <w:proofErr w:type="gramEnd"/>
      <w:r w:rsidR="007867D5" w:rsidRPr="00994E49">
        <w:rPr>
          <w:lang w:val="en-US"/>
        </w:rPr>
        <w:t xml:space="preserve"> that are adapted to flowing riverine </w:t>
      </w:r>
      <w:r w:rsidR="00DD344A" w:rsidRPr="00994E49">
        <w:rPr>
          <w:lang w:val="en-US"/>
        </w:rPr>
        <w:t xml:space="preserve">environments. For example, they provide stimuli for spawning of </w:t>
      </w:r>
      <w:r w:rsidR="00DD344A" w:rsidRPr="00994E49">
        <w:t xml:space="preserve">flow-cued species (e.g. </w:t>
      </w:r>
      <w:r w:rsidR="00300626">
        <w:t>silver perch</w:t>
      </w:r>
      <w:r w:rsidR="00DD344A" w:rsidRPr="00994E49">
        <w:t>) (</w:t>
      </w:r>
      <w:r w:rsidR="00300626">
        <w:t xml:space="preserve">Tonkin </w:t>
      </w:r>
      <w:r w:rsidR="00300626" w:rsidRPr="00300626">
        <w:rPr>
          <w:i/>
          <w:iCs/>
        </w:rPr>
        <w:t>et al.</w:t>
      </w:r>
      <w:r w:rsidR="00300626">
        <w:t xml:space="preserve"> 2019</w:t>
      </w:r>
      <w:r w:rsidR="00DD344A" w:rsidRPr="00994E49">
        <w:t xml:space="preserve">), facilitate </w:t>
      </w:r>
      <w:r w:rsidR="007867D5" w:rsidRPr="00994E49">
        <w:t>downstream drift and transportation of plankton, macroinvertebrates and fish larvae</w:t>
      </w:r>
      <w:r w:rsidR="007867D5">
        <w:t xml:space="preserve"> (Gibbs </w:t>
      </w:r>
      <w:r w:rsidR="007867D5" w:rsidRPr="00925DB1">
        <w:rPr>
          <w:i/>
        </w:rPr>
        <w:t>et al.</w:t>
      </w:r>
      <w:r w:rsidR="007867D5">
        <w:t xml:space="preserve"> 2020)</w:t>
      </w:r>
      <w:r w:rsidR="007867D5" w:rsidRPr="00994E49">
        <w:t xml:space="preserve">, and provide diverse hydraulic habitats that are suitable for a range of species (e.g. Murray cod) (Zampatti </w:t>
      </w:r>
      <w:r w:rsidR="007867D5" w:rsidRPr="00994E49">
        <w:rPr>
          <w:i/>
        </w:rPr>
        <w:t>et al.</w:t>
      </w:r>
      <w:r w:rsidR="007867D5" w:rsidRPr="00994E49">
        <w:t xml:space="preserve"> 2014). </w:t>
      </w:r>
      <w:r w:rsidR="007867D5" w:rsidRPr="00994E49">
        <w:rPr>
          <w:lang w:val="en-US"/>
        </w:rPr>
        <w:t xml:space="preserve">The reduction in the abundance and distribution of </w:t>
      </w:r>
      <w:r w:rsidR="007867D5">
        <w:rPr>
          <w:lang w:val="en-US"/>
        </w:rPr>
        <w:t xml:space="preserve">riverine (lotic) </w:t>
      </w:r>
      <w:r w:rsidR="007867D5" w:rsidRPr="00994E49">
        <w:rPr>
          <w:lang w:val="en-US"/>
        </w:rPr>
        <w:t xml:space="preserve">biota (e.g. Macquarie perch </w:t>
      </w:r>
      <w:proofErr w:type="spellStart"/>
      <w:r w:rsidR="007867D5" w:rsidRPr="00994E49">
        <w:rPr>
          <w:i/>
          <w:lang w:val="en-US"/>
        </w:rPr>
        <w:t>Macquaria</w:t>
      </w:r>
      <w:proofErr w:type="spellEnd"/>
      <w:r w:rsidR="007867D5" w:rsidRPr="00994E49">
        <w:rPr>
          <w:i/>
          <w:lang w:val="en-US"/>
        </w:rPr>
        <w:t xml:space="preserve"> </w:t>
      </w:r>
      <w:proofErr w:type="spellStart"/>
      <w:r w:rsidR="007867D5" w:rsidRPr="00994E49">
        <w:rPr>
          <w:i/>
          <w:lang w:val="en-US"/>
        </w:rPr>
        <w:t>australasica</w:t>
      </w:r>
      <w:proofErr w:type="spellEnd"/>
      <w:r w:rsidR="007867D5" w:rsidRPr="00994E49">
        <w:rPr>
          <w:lang w:val="en-US"/>
        </w:rPr>
        <w:t xml:space="preserve"> and Murray crayfish </w:t>
      </w:r>
      <w:proofErr w:type="spellStart"/>
      <w:r w:rsidR="007867D5" w:rsidRPr="00994E49">
        <w:rPr>
          <w:i/>
          <w:lang w:val="en-US"/>
        </w:rPr>
        <w:t>Euastacus</w:t>
      </w:r>
      <w:proofErr w:type="spellEnd"/>
      <w:r w:rsidR="007867D5" w:rsidRPr="00994E49">
        <w:rPr>
          <w:i/>
          <w:lang w:val="en-US"/>
        </w:rPr>
        <w:t xml:space="preserve"> </w:t>
      </w:r>
      <w:proofErr w:type="spellStart"/>
      <w:r w:rsidR="007867D5" w:rsidRPr="00994E49">
        <w:rPr>
          <w:i/>
          <w:lang w:val="en-US"/>
        </w:rPr>
        <w:t>armatus</w:t>
      </w:r>
      <w:proofErr w:type="spellEnd"/>
      <w:r w:rsidR="007867D5" w:rsidRPr="00994E49">
        <w:rPr>
          <w:lang w:val="en-US"/>
        </w:rPr>
        <w:t>) throughout the MDB (</w:t>
      </w:r>
      <w:proofErr w:type="spellStart"/>
      <w:r w:rsidR="007867D5" w:rsidRPr="00994E49">
        <w:rPr>
          <w:lang w:val="en-US"/>
        </w:rPr>
        <w:t>Lintermans</w:t>
      </w:r>
      <w:proofErr w:type="spellEnd"/>
      <w:r w:rsidR="007867D5" w:rsidRPr="00994E49">
        <w:rPr>
          <w:lang w:val="en-US"/>
        </w:rPr>
        <w:t xml:space="preserve"> 2007) highlights the importance of restoring hydraulic conditions (e.g. lotic habitats), which is particularly needed in the heavily regulated </w:t>
      </w:r>
      <w:r w:rsidR="007867D5">
        <w:rPr>
          <w:lang w:val="en-US"/>
        </w:rPr>
        <w:t xml:space="preserve">LMR. </w:t>
      </w:r>
    </w:p>
    <w:p w14:paraId="6581A4D2" w14:textId="6F53CD12" w:rsidR="007867D5" w:rsidRDefault="007867D5" w:rsidP="007867D5">
      <w:r>
        <w:t xml:space="preserve">In three of the past six years Commonwealth environmental water has contributed to flow events in the order of 15,000 ML/d at the South Australian border, demonstrating this is achievable within the current operating constraints and water availability. This has led to a substantial increase in the proportion of the river experiencing lotic velocities (&gt;0.3 m/s), comparing the 10,000 ML/d to 15,000 ML/d results in </w:t>
      </w:r>
      <w:r>
        <w:fldChar w:fldCharType="begin"/>
      </w:r>
      <w:r>
        <w:instrText xml:space="preserve"> REF _Ref55277435 \h </w:instrText>
      </w:r>
      <w:r>
        <w:fldChar w:fldCharType="separate"/>
      </w:r>
      <w:r w:rsidR="00AD0721">
        <w:t xml:space="preserve">Figure </w:t>
      </w:r>
      <w:r w:rsidR="00AD0721">
        <w:rPr>
          <w:noProof/>
        </w:rPr>
        <w:t>11</w:t>
      </w:r>
      <w:r>
        <w:fldChar w:fldCharType="end"/>
      </w:r>
      <w:r>
        <w:t xml:space="preserve"> and </w:t>
      </w:r>
      <w:r>
        <w:fldChar w:fldCharType="begin"/>
      </w:r>
      <w:r>
        <w:instrText xml:space="preserve"> REF _Ref22556671 \h </w:instrText>
      </w:r>
      <w:r>
        <w:fldChar w:fldCharType="separate"/>
      </w:r>
      <w:r w:rsidR="00AD0721">
        <w:t xml:space="preserve">Figure </w:t>
      </w:r>
      <w:r w:rsidR="00AD0721">
        <w:rPr>
          <w:noProof/>
        </w:rPr>
        <w:t>13</w:t>
      </w:r>
      <w:r>
        <w:fldChar w:fldCharType="end"/>
      </w:r>
      <w:r>
        <w:t>. However, these figures indicate the lower end of each weir pool does not reach lotic velocities at 15,000 ML/d, and monitoring has indicated these flows have not been sufficient to reliably trigger some ecological responses, most notably recruitment of flow-cued species such as golden perch (see Section</w:t>
      </w:r>
      <w:r w:rsidR="00137D07">
        <w:t xml:space="preserve"> 2.6</w:t>
      </w:r>
      <w:r>
        <w:t xml:space="preserve">). </w:t>
      </w:r>
    </w:p>
    <w:p w14:paraId="399CF2B7" w14:textId="1DFCDFB9" w:rsidR="007867D5" w:rsidRDefault="00F64316" w:rsidP="007867D5">
      <w:r>
        <w:t xml:space="preserve">To investigate management options to further increase lotic conditions closer to the full reach beyond flow events in the order of 15,000 ML/d, scenarios representing a further increase to flow or including weir </w:t>
      </w:r>
      <w:r w:rsidR="007867D5">
        <w:t xml:space="preserve">pool lowering have been considered. </w:t>
      </w:r>
      <w:r w:rsidR="007867D5">
        <w:fldChar w:fldCharType="begin"/>
      </w:r>
      <w:r w:rsidR="007867D5">
        <w:instrText xml:space="preserve"> REF _Ref22556670 \h </w:instrText>
      </w:r>
      <w:r w:rsidR="007867D5">
        <w:fldChar w:fldCharType="separate"/>
      </w:r>
      <w:r w:rsidR="00AD0721">
        <w:t xml:space="preserve">Figure </w:t>
      </w:r>
      <w:r w:rsidR="00AD0721">
        <w:rPr>
          <w:noProof/>
        </w:rPr>
        <w:t>12</w:t>
      </w:r>
      <w:r w:rsidR="007867D5">
        <w:fldChar w:fldCharType="end"/>
      </w:r>
      <w:r w:rsidR="007867D5">
        <w:t xml:space="preserve"> presents velocities along the </w:t>
      </w:r>
      <w:r w:rsidR="004F162F">
        <w:t>LMR</w:t>
      </w:r>
      <w:r w:rsidR="007867D5">
        <w:t xml:space="preserve"> between Locks 1 and 6 for a 15,000 ML/d flow with a 1 m weir pool lowering at each weir compared to a flow of </w:t>
      </w:r>
      <w:r w:rsidR="00ED72DB">
        <w:t xml:space="preserve">20,000 ML/d with no lowering. </w:t>
      </w:r>
      <w:r w:rsidR="007867D5">
        <w:t xml:space="preserve">While there are some differences due to the different mechanisms used to increase velocity, the two results are similar. The continuity </w:t>
      </w:r>
      <w:r w:rsidR="001F509A">
        <w:t xml:space="preserve">equation indicates that </w:t>
      </w:r>
      <w:r w:rsidR="007867D5">
        <w:t>velocity is equal to the flow divided by cross</w:t>
      </w:r>
      <w:r w:rsidR="00241910">
        <w:t>-</w:t>
      </w:r>
      <w:r w:rsidR="007867D5">
        <w:t>sectional area, and to achieve the same velocity as an increase in flow of 33% (from 15,000 ML/d to 20,</w:t>
      </w:r>
      <w:r w:rsidR="007867D5" w:rsidRPr="000B0B98">
        <w:t>000</w:t>
      </w:r>
      <w:r w:rsidR="007867D5">
        <w:t> </w:t>
      </w:r>
      <w:r w:rsidR="007867D5" w:rsidRPr="000B0B98">
        <w:t>ML</w:t>
      </w:r>
      <w:r w:rsidR="007867D5">
        <w:t>/d) a reduction in cross</w:t>
      </w:r>
      <w:r w:rsidR="00241910">
        <w:t>-</w:t>
      </w:r>
      <w:r w:rsidR="007867D5">
        <w:t>sectional area of the same magnitude is required. Due to the relatively deep sections in the LMR a large weir pool lowering such as this (i.e. 1 m) is required to provide a similar increase in velocity as an increase in flow from 15,000 ML/d to 20,000 ML/d.</w:t>
      </w:r>
    </w:p>
    <w:p w14:paraId="55183BEF" w14:textId="2B730BA1" w:rsidR="007867D5" w:rsidRDefault="007867D5" w:rsidP="007867D5">
      <w:r>
        <w:t xml:space="preserve">This comparison is further demonstrated in </w:t>
      </w:r>
      <w:r>
        <w:fldChar w:fldCharType="begin"/>
      </w:r>
      <w:r>
        <w:instrText xml:space="preserve"> REF _Ref22556671 \h </w:instrText>
      </w:r>
      <w:r>
        <w:fldChar w:fldCharType="separate"/>
      </w:r>
      <w:r w:rsidR="00AD0721">
        <w:t xml:space="preserve">Figure </w:t>
      </w:r>
      <w:r w:rsidR="00AD0721">
        <w:rPr>
          <w:noProof/>
        </w:rPr>
        <w:t>13</w:t>
      </w:r>
      <w:r>
        <w:fldChar w:fldCharType="end"/>
      </w:r>
      <w:r>
        <w:t xml:space="preserve">, presenting the velocities against river distance instead of as a map. It should be noted </w:t>
      </w:r>
      <w:r w:rsidR="001F509A">
        <w:t xml:space="preserve">that </w:t>
      </w:r>
      <w:r>
        <w:t xml:space="preserve">there is a difference in scale between Figures </w:t>
      </w:r>
      <w:r>
        <w:fldChar w:fldCharType="begin"/>
      </w:r>
      <w:r>
        <w:instrText xml:space="preserve"> REF _Ref55277435 \#0 \h </w:instrText>
      </w:r>
      <w:r>
        <w:fldChar w:fldCharType="separate"/>
      </w:r>
      <w:r w:rsidR="00AD0721">
        <w:t>11</w:t>
      </w:r>
      <w:r>
        <w:fldChar w:fldCharType="end"/>
      </w:r>
      <w:r>
        <w:t xml:space="preserve"> and </w:t>
      </w:r>
      <w:r>
        <w:fldChar w:fldCharType="begin"/>
      </w:r>
      <w:r>
        <w:instrText xml:space="preserve"> REF _Ref22556670 \#0 \h </w:instrText>
      </w:r>
      <w:r>
        <w:fldChar w:fldCharType="separate"/>
      </w:r>
      <w:r w:rsidR="00AD0721">
        <w:t>12</w:t>
      </w:r>
      <w:r>
        <w:fldChar w:fldCharType="end"/>
      </w:r>
      <w:r>
        <w:t xml:space="preserve"> </w:t>
      </w:r>
      <w:r w:rsidR="00DA6DA1">
        <w:t xml:space="preserve">compared to </w:t>
      </w:r>
      <w:r>
        <w:fldChar w:fldCharType="begin"/>
      </w:r>
      <w:r>
        <w:instrText xml:space="preserve"> REF _Ref22556671 \h </w:instrText>
      </w:r>
      <w:r>
        <w:fldChar w:fldCharType="separate"/>
      </w:r>
      <w:r w:rsidR="00AD0721">
        <w:t xml:space="preserve">Figure </w:t>
      </w:r>
      <w:r w:rsidR="00AD0721">
        <w:rPr>
          <w:noProof/>
        </w:rPr>
        <w:t>13</w:t>
      </w:r>
      <w:r>
        <w:fldChar w:fldCharType="end"/>
      </w:r>
      <w:r>
        <w:t>, where</w:t>
      </w:r>
      <w:r w:rsidRPr="007A4974">
        <w:t xml:space="preserve"> </w:t>
      </w:r>
      <w:r>
        <w:t xml:space="preserve">Figures </w:t>
      </w:r>
      <w:r>
        <w:fldChar w:fldCharType="begin"/>
      </w:r>
      <w:r>
        <w:instrText xml:space="preserve"> REF _Ref55277435 \#0 \h </w:instrText>
      </w:r>
      <w:r>
        <w:fldChar w:fldCharType="separate"/>
      </w:r>
      <w:r w:rsidR="00AD0721">
        <w:t>11</w:t>
      </w:r>
      <w:r>
        <w:fldChar w:fldCharType="end"/>
      </w:r>
      <w:r>
        <w:t xml:space="preserve"> and </w:t>
      </w:r>
      <w:r>
        <w:fldChar w:fldCharType="begin"/>
      </w:r>
      <w:r>
        <w:instrText xml:space="preserve"> REF _Ref22556670 \#0 \h </w:instrText>
      </w:r>
      <w:r>
        <w:fldChar w:fldCharType="separate"/>
      </w:r>
      <w:r w:rsidR="00AD0721">
        <w:t>12</w:t>
      </w:r>
      <w:r>
        <w:fldChar w:fldCharType="end"/>
      </w:r>
      <w:r>
        <w:t xml:space="preserve"> presents the average velocity every 100 m along the river, compared to an average every 1 km in </w:t>
      </w:r>
      <w:r>
        <w:fldChar w:fldCharType="begin"/>
      </w:r>
      <w:r>
        <w:instrText xml:space="preserve"> REF _Ref22556671 \h </w:instrText>
      </w:r>
      <w:r>
        <w:fldChar w:fldCharType="separate"/>
      </w:r>
      <w:r w:rsidR="00AD0721">
        <w:t xml:space="preserve">Figure </w:t>
      </w:r>
      <w:r w:rsidR="00AD0721">
        <w:rPr>
          <w:noProof/>
        </w:rPr>
        <w:t>13</w:t>
      </w:r>
      <w:r>
        <w:fldChar w:fldCharType="end"/>
      </w:r>
      <w:r>
        <w:t>. This increase in the averaging length reduces the variability in the results</w:t>
      </w:r>
      <w:r w:rsidR="00E34DFD">
        <w:t xml:space="preserve"> in</w:t>
      </w:r>
      <w:r>
        <w:t xml:space="preserve"> </w:t>
      </w:r>
      <w:r>
        <w:fldChar w:fldCharType="begin"/>
      </w:r>
      <w:r>
        <w:instrText xml:space="preserve"> REF _Ref22556671 \h </w:instrText>
      </w:r>
      <w:r>
        <w:fldChar w:fldCharType="separate"/>
      </w:r>
      <w:r w:rsidR="00AD0721">
        <w:t xml:space="preserve">Figure </w:t>
      </w:r>
      <w:r w:rsidR="00AD0721">
        <w:rPr>
          <w:noProof/>
        </w:rPr>
        <w:t>13</w:t>
      </w:r>
      <w:r>
        <w:fldChar w:fldCharType="end"/>
      </w:r>
      <w:r>
        <w:t xml:space="preserve">, however allows for a consistent comparison across multiple scenarios for the full length of river from Lock 1 to Lock 6. </w:t>
      </w:r>
      <w:r>
        <w:fldChar w:fldCharType="begin"/>
      </w:r>
      <w:r>
        <w:instrText xml:space="preserve"> REF _Ref22556671 \h </w:instrText>
      </w:r>
      <w:r>
        <w:fldChar w:fldCharType="separate"/>
      </w:r>
      <w:r w:rsidR="00AD0721">
        <w:t xml:space="preserve">Figure </w:t>
      </w:r>
      <w:r w:rsidR="00AD0721">
        <w:rPr>
          <w:noProof/>
        </w:rPr>
        <w:t>13</w:t>
      </w:r>
      <w:r>
        <w:fldChar w:fldCharType="end"/>
      </w:r>
      <w:r>
        <w:t xml:space="preserve"> also includes smaller weir pool </w:t>
      </w:r>
      <w:proofErr w:type="spellStart"/>
      <w:r>
        <w:t>lowerings</w:t>
      </w:r>
      <w:proofErr w:type="spellEnd"/>
      <w:r>
        <w:t>, of 0.3 and 0.6 m. The increase in the free</w:t>
      </w:r>
      <w:r w:rsidR="00137D07">
        <w:t>-</w:t>
      </w:r>
      <w:r>
        <w:t>flowing section of the river with increasing size of the weir pool low</w:t>
      </w:r>
      <w:r w:rsidR="00ED72DB">
        <w:t>er</w:t>
      </w:r>
      <w:r>
        <w:t xml:space="preserve">ing can be seen, as the higher velocities occur further downstream within each weir pool. The corresponding water levels can be seen in </w:t>
      </w:r>
      <w:r>
        <w:fldChar w:fldCharType="begin"/>
      </w:r>
      <w:r>
        <w:instrText xml:space="preserve"> REF _Ref55293800 \h </w:instrText>
      </w:r>
      <w:r>
        <w:fldChar w:fldCharType="separate"/>
      </w:r>
      <w:r w:rsidR="00AD0721">
        <w:t xml:space="preserve">Figure </w:t>
      </w:r>
      <w:r w:rsidR="00AD0721">
        <w:rPr>
          <w:noProof/>
        </w:rPr>
        <w:t>14</w:t>
      </w:r>
      <w:r>
        <w:fldChar w:fldCharType="end"/>
      </w:r>
      <w:r>
        <w:t>, where the water surface gradient (slope of the water level) increases with flow from 10,000 to 15,000</w:t>
      </w:r>
      <w:r w:rsidR="00E34DFD">
        <w:t>, and</w:t>
      </w:r>
      <w:r>
        <w:t xml:space="preserve"> to 20,000 ML/d, which also indicates sections of </w:t>
      </w:r>
      <w:proofErr w:type="gramStart"/>
      <w:r>
        <w:t>free flowing</w:t>
      </w:r>
      <w:proofErr w:type="gramEnd"/>
      <w:r>
        <w:t xml:space="preserve"> river with higher velocities. The 1 m weir pool lowering at 15,000 ML/d creates a water surface gradient similar (i.e. parallel) to the 20,000 ML/d flow, albeit at lower water levels. </w:t>
      </w:r>
    </w:p>
    <w:p w14:paraId="1DC0176B" w14:textId="1531BD9D" w:rsidR="007867D5" w:rsidRPr="00406842" w:rsidRDefault="007867D5" w:rsidP="007867D5">
      <w:pPr>
        <w:rPr>
          <w:lang w:val="en-US"/>
        </w:rPr>
      </w:pPr>
      <w:r>
        <w:t xml:space="preserve">Weir pool lowering events have value to increase velocities </w:t>
      </w:r>
      <w:proofErr w:type="gramStart"/>
      <w:r>
        <w:t>and also</w:t>
      </w:r>
      <w:proofErr w:type="gramEnd"/>
      <w:r w:rsidR="001F509A">
        <w:t xml:space="preserve"> to</w:t>
      </w:r>
      <w:r>
        <w:t xml:space="preserve"> increase variability </w:t>
      </w:r>
      <w:r w:rsidR="001F509A">
        <w:t>of</w:t>
      </w:r>
      <w:r>
        <w:t xml:space="preserve"> water levels. </w:t>
      </w:r>
      <w:r w:rsidRPr="00CE1C3A">
        <w:rPr>
          <w:lang w:val="en-US"/>
        </w:rPr>
        <w:t xml:space="preserve">Variable water levels, and the coinciding periods of exposure and submergence of substrates beyond the euphotic zone, can result in the regular “re-setting” of biofilms (Steinman and McIntire 1990). The biofilm is a key component of riverine food webs, and this re-setting of the biofilm algal community produces higher quality food resources dominated by diatoms and unicellular algae (Wallace and Cummings 2016). </w:t>
      </w:r>
      <w:r>
        <w:rPr>
          <w:lang w:val="en-US"/>
        </w:rPr>
        <w:t xml:space="preserve">These results have been presented to provide an indication of the scale of increase </w:t>
      </w:r>
      <w:r w:rsidR="00086637">
        <w:rPr>
          <w:lang w:val="en-US"/>
        </w:rPr>
        <w:t>i</w:t>
      </w:r>
      <w:r>
        <w:rPr>
          <w:lang w:val="en-US"/>
        </w:rPr>
        <w:t>n flow or weir pool lowering required to take the next step in providing lotic conditions in the LMR.</w:t>
      </w:r>
    </w:p>
    <w:p w14:paraId="6D4F244F" w14:textId="77777777" w:rsidR="007867D5" w:rsidRDefault="007867D5" w:rsidP="007867D5">
      <w:pPr>
        <w:pStyle w:val="Heading3"/>
      </w:pPr>
      <w:r w:rsidRPr="00E35C12">
        <w:t>Conclusion</w:t>
      </w:r>
      <w:bookmarkEnd w:id="96"/>
      <w:r>
        <w:t xml:space="preserve"> </w:t>
      </w:r>
    </w:p>
    <w:p w14:paraId="1030CCA2" w14:textId="3F45A338" w:rsidR="007867D5" w:rsidRDefault="00F64316" w:rsidP="007867D5">
      <w:r>
        <w:t>2019-20 was a dry year, where 1,568 GL of the full 1,850 GL of South Australia’s entitlement flow was delivered, and there was no unregulated flow. Under these flow conditions and in the absence of environmental water</w:t>
      </w:r>
      <w:r w:rsidRPr="009D6742">
        <w:t>,</w:t>
      </w:r>
      <w:r>
        <w:t xml:space="preserve"> </w:t>
      </w:r>
      <w:r w:rsidR="007867D5" w:rsidRPr="009D6742">
        <w:t xml:space="preserve">water levels would </w:t>
      </w:r>
      <w:r w:rsidR="007867D5">
        <w:t xml:space="preserve">have </w:t>
      </w:r>
      <w:r w:rsidR="007867D5" w:rsidRPr="009D6742">
        <w:t>been very stable throughout the year,</w:t>
      </w:r>
      <w:r w:rsidR="007867D5">
        <w:t xml:space="preserve"> with low hydraulic diversity and </w:t>
      </w:r>
      <w:r w:rsidR="00DD344A">
        <w:t xml:space="preserve">minimal </w:t>
      </w:r>
      <w:r w:rsidR="00CF3C3F">
        <w:t>lotic</w:t>
      </w:r>
      <w:r w:rsidR="00DD344A">
        <w:t xml:space="preserve"> conditions in</w:t>
      </w:r>
      <w:r w:rsidR="007867D5">
        <w:t xml:space="preserve"> the LMR. </w:t>
      </w:r>
      <w:r w:rsidR="00E34DFD">
        <w:t>In 2019-20, Commonwealth environmental water provided a substantial contribution to longitudinal connectivity, with a 3</w:t>
      </w:r>
      <w:r w:rsidR="00347B71">
        <w:t>2</w:t>
      </w:r>
      <w:r w:rsidR="00E34DFD">
        <w:t>% increase in flow volume at the South Australian border, and 100% of the barrage flow that occurred</w:t>
      </w:r>
      <w:r w:rsidR="007867D5">
        <w:t xml:space="preserve"> (see Section 2.3).</w:t>
      </w:r>
    </w:p>
    <w:p w14:paraId="3B2725EA" w14:textId="162BFCD4" w:rsidR="007867D5" w:rsidRDefault="007867D5" w:rsidP="007867D5">
      <w:r>
        <w:t xml:space="preserve">The evaluation of </w:t>
      </w:r>
      <w:r w:rsidRPr="004001C1">
        <w:t>C</w:t>
      </w:r>
      <w:r>
        <w:t>ommonwealth environmental water</w:t>
      </w:r>
      <w:r w:rsidRPr="004001C1">
        <w:t xml:space="preserve"> contribut</w:t>
      </w:r>
      <w:r>
        <w:t>ion</w:t>
      </w:r>
      <w:r w:rsidRPr="004001C1">
        <w:t xml:space="preserve"> to hydraulic diversity within weir pools</w:t>
      </w:r>
      <w:r>
        <w:t xml:space="preserve"> is in line with previous years, where in three of the past six years, Commonwealth environmental water created flow events similar to that occurring in 2019-20, exceeding 15,000 ML/d for a period of 7–14 days. These events lead to a substantial increase in the proportion of the river experiencing lotic velocities (&gt;0.3 m/s) compared to flow below 10,000 ML/d. However, the results indicate the lower end of each weir pool does not reach lotic velocities at 15,000 ML/d. This can be compared to the without development hydraulic conditions, where even in </w:t>
      </w:r>
      <w:r w:rsidR="00E34DFD">
        <w:t>such a</w:t>
      </w:r>
      <w:r>
        <w:t xml:space="preserve"> low flow year the full reach was expected to experience cross</w:t>
      </w:r>
      <w:r w:rsidR="00241910">
        <w:t>-</w:t>
      </w:r>
      <w:r>
        <w:t xml:space="preserve">section averaged velocities exceeding 0.3 m/s for approximately 60 days. </w:t>
      </w:r>
    </w:p>
    <w:p w14:paraId="67E64B49" w14:textId="77777777" w:rsidR="007867D5" w:rsidRDefault="007867D5" w:rsidP="007867D5">
      <w:r>
        <w:t xml:space="preserve">In combination with weir pool raisings, environmental water also increased water level variability, as demonstrated by time series of modelled water levels with and without the environmental water, and the resulting interquartile range. </w:t>
      </w:r>
    </w:p>
    <w:p w14:paraId="08E32217" w14:textId="77777777" w:rsidR="007867D5" w:rsidRDefault="007867D5" w:rsidP="007867D5">
      <w:pPr>
        <w:spacing w:before="0" w:after="160" w:line="259" w:lineRule="auto"/>
        <w:jc w:val="left"/>
        <w:sectPr w:rsidR="007867D5" w:rsidSect="00310F23">
          <w:footnotePr>
            <w:numFmt w:val="lowerLetter"/>
          </w:footnotePr>
          <w:pgSz w:w="11900" w:h="16840" w:code="9"/>
          <w:pgMar w:top="1440" w:right="1440" w:bottom="1440" w:left="1440" w:header="709" w:footer="709" w:gutter="0"/>
          <w:cols w:space="708"/>
          <w:docGrid w:linePitch="360"/>
        </w:sectPr>
      </w:pPr>
    </w:p>
    <w:p w14:paraId="0C9F756B" w14:textId="6468C57F" w:rsidR="007867D5" w:rsidRDefault="007867D5" w:rsidP="00137D07">
      <w:pPr>
        <w:keepNext/>
        <w:spacing w:before="0" w:after="160" w:line="259" w:lineRule="auto"/>
        <w:jc w:val="center"/>
      </w:pPr>
      <w:r>
        <w:rPr>
          <w:noProof/>
        </w:rPr>
        <w:drawing>
          <wp:inline distT="0" distB="0" distL="0" distR="0" wp14:anchorId="7021E0D7" wp14:editId="7C3A399B">
            <wp:extent cx="7483450" cy="5191125"/>
            <wp:effectExtent l="0" t="0" r="381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7507438" cy="5207765"/>
                    </a:xfrm>
                    <a:prstGeom prst="rect">
                      <a:avLst/>
                    </a:prstGeom>
                    <a:noFill/>
                    <a:ln>
                      <a:noFill/>
                    </a:ln>
                  </pic:spPr>
                </pic:pic>
              </a:graphicData>
            </a:graphic>
          </wp:inline>
        </w:drawing>
      </w:r>
    </w:p>
    <w:p w14:paraId="5C685207" w14:textId="4137E93A" w:rsidR="007867D5" w:rsidRDefault="007867D5" w:rsidP="007867D5">
      <w:pPr>
        <w:pStyle w:val="Caption"/>
        <w:jc w:val="left"/>
      </w:pPr>
      <w:bookmarkStart w:id="99" w:name="_Ref55277435"/>
      <w:bookmarkStart w:id="100" w:name="_Toc69387675"/>
      <w:r>
        <w:t xml:space="preserve">Figure </w:t>
      </w:r>
      <w:r w:rsidR="006C38E9">
        <w:fldChar w:fldCharType="begin"/>
      </w:r>
      <w:r w:rsidR="006C38E9">
        <w:instrText xml:space="preserve"> SEQ Figure \* ARABIC </w:instrText>
      </w:r>
      <w:r w:rsidR="006C38E9">
        <w:fldChar w:fldCharType="separate"/>
      </w:r>
      <w:r w:rsidR="00025EB2">
        <w:rPr>
          <w:noProof/>
        </w:rPr>
        <w:t>11</w:t>
      </w:r>
      <w:r w:rsidR="006C38E9">
        <w:rPr>
          <w:noProof/>
        </w:rPr>
        <w:fldChar w:fldCharType="end"/>
      </w:r>
      <w:bookmarkEnd w:id="99"/>
      <w:r>
        <w:rPr>
          <w:noProof/>
        </w:rPr>
        <w:t>.</w:t>
      </w:r>
      <w:r>
        <w:t xml:space="preserve"> 100m average velocity for flow to South Australia of 10,000 ML/d (above) and 15,000 ML/d (below). Locks are indicated as black squares, from Lock 1 to Lock 6.</w:t>
      </w:r>
      <w:bookmarkEnd w:id="100"/>
    </w:p>
    <w:p w14:paraId="291FAD50" w14:textId="78D13BC2" w:rsidR="007867D5" w:rsidRDefault="007867D5" w:rsidP="00137D07">
      <w:pPr>
        <w:jc w:val="center"/>
      </w:pPr>
      <w:r>
        <w:rPr>
          <w:noProof/>
        </w:rPr>
        <w:drawing>
          <wp:inline distT="0" distB="0" distL="0" distR="0" wp14:anchorId="5EBB880C" wp14:editId="60C0D8A8">
            <wp:extent cx="7319428" cy="51625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7346445" cy="5181605"/>
                    </a:xfrm>
                    <a:prstGeom prst="rect">
                      <a:avLst/>
                    </a:prstGeom>
                    <a:noFill/>
                    <a:ln>
                      <a:noFill/>
                    </a:ln>
                  </pic:spPr>
                </pic:pic>
              </a:graphicData>
            </a:graphic>
          </wp:inline>
        </w:drawing>
      </w:r>
    </w:p>
    <w:p w14:paraId="3F489693" w14:textId="69DC28EE" w:rsidR="007867D5" w:rsidRDefault="007867D5" w:rsidP="007867D5">
      <w:pPr>
        <w:pStyle w:val="Caption"/>
        <w:sectPr w:rsidR="007867D5" w:rsidSect="00CF50EC">
          <w:footnotePr>
            <w:numFmt w:val="lowerLetter"/>
          </w:footnotePr>
          <w:pgSz w:w="16840" w:h="11900" w:orient="landscape" w:code="9"/>
          <w:pgMar w:top="1440" w:right="1440" w:bottom="1440" w:left="1440" w:header="709" w:footer="709" w:gutter="0"/>
          <w:cols w:space="708"/>
          <w:docGrid w:linePitch="360"/>
        </w:sectPr>
      </w:pPr>
      <w:bookmarkStart w:id="101" w:name="_Ref22556670"/>
      <w:bookmarkStart w:id="102" w:name="_Toc54612626"/>
      <w:bookmarkStart w:id="103" w:name="_Toc69387676"/>
      <w:r>
        <w:t xml:space="preserve">Figure </w:t>
      </w:r>
      <w:r>
        <w:rPr>
          <w:noProof/>
        </w:rPr>
        <w:fldChar w:fldCharType="begin"/>
      </w:r>
      <w:r>
        <w:rPr>
          <w:noProof/>
        </w:rPr>
        <w:instrText xml:space="preserve"> SEQ Figure \* ARABIC </w:instrText>
      </w:r>
      <w:r>
        <w:rPr>
          <w:noProof/>
        </w:rPr>
        <w:fldChar w:fldCharType="separate"/>
      </w:r>
      <w:r w:rsidR="00025EB2">
        <w:rPr>
          <w:noProof/>
        </w:rPr>
        <w:t>12</w:t>
      </w:r>
      <w:r>
        <w:rPr>
          <w:noProof/>
        </w:rPr>
        <w:fldChar w:fldCharType="end"/>
      </w:r>
      <w:bookmarkEnd w:id="101"/>
      <w:r>
        <w:rPr>
          <w:noProof/>
        </w:rPr>
        <w:t>.</w:t>
      </w:r>
      <w:r>
        <w:t xml:space="preserve"> </w:t>
      </w:r>
      <w:bookmarkEnd w:id="102"/>
      <w:r>
        <w:t xml:space="preserve">100m average velocity for flow to South Australia of 15,000 ML/d and a 1 m weir pool lowering at each lock (above) and 20,000 ML/d </w:t>
      </w:r>
      <w:r w:rsidR="00ED72DB">
        <w:t xml:space="preserve">with no lowering </w:t>
      </w:r>
      <w:r>
        <w:t>(below). Locks are indicated as black squares, from Lock 1 to Lock 6.</w:t>
      </w:r>
      <w:bookmarkEnd w:id="103"/>
    </w:p>
    <w:p w14:paraId="5EC56E4D" w14:textId="45E88C38" w:rsidR="007867D5" w:rsidRDefault="007867D5" w:rsidP="007867D5">
      <w:pPr>
        <w:keepNext/>
      </w:pPr>
      <w:r>
        <w:rPr>
          <w:noProof/>
          <w:lang w:eastAsia="en-AU"/>
        </w:rPr>
        <w:drawing>
          <wp:inline distT="0" distB="0" distL="0" distR="0" wp14:anchorId="5B5F1C95" wp14:editId="61448DDB">
            <wp:extent cx="5591175" cy="28575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0" cstate="email">
                      <a:extLst>
                        <a:ext uri="{28A0092B-C50C-407E-A947-70E740481C1C}">
                          <a14:useLocalDpi xmlns:a14="http://schemas.microsoft.com/office/drawing/2010/main"/>
                        </a:ext>
                      </a:extLst>
                    </a:blip>
                    <a:srcRect/>
                    <a:stretch/>
                  </pic:blipFill>
                  <pic:spPr bwMode="auto">
                    <a:xfrm>
                      <a:off x="0" y="0"/>
                      <a:ext cx="5591175" cy="2857500"/>
                    </a:xfrm>
                    <a:prstGeom prst="rect">
                      <a:avLst/>
                    </a:prstGeom>
                    <a:noFill/>
                    <a:ln>
                      <a:noFill/>
                    </a:ln>
                    <a:extLst>
                      <a:ext uri="{53640926-AAD7-44D8-BBD7-CCE9431645EC}">
                        <a14:shadowObscured xmlns:a14="http://schemas.microsoft.com/office/drawing/2010/main"/>
                      </a:ext>
                    </a:extLst>
                  </pic:spPr>
                </pic:pic>
              </a:graphicData>
            </a:graphic>
          </wp:inline>
        </w:drawing>
      </w:r>
    </w:p>
    <w:p w14:paraId="57256533" w14:textId="7C444362" w:rsidR="007867D5" w:rsidRDefault="007867D5" w:rsidP="007867D5">
      <w:pPr>
        <w:pStyle w:val="Caption"/>
      </w:pPr>
      <w:bookmarkStart w:id="104" w:name="_Ref22556671"/>
      <w:bookmarkStart w:id="105" w:name="_Toc54612627"/>
      <w:bookmarkStart w:id="106" w:name="_Toc69387677"/>
      <w:r>
        <w:t xml:space="preserve">Figure </w:t>
      </w:r>
      <w:r>
        <w:rPr>
          <w:noProof/>
        </w:rPr>
        <w:fldChar w:fldCharType="begin"/>
      </w:r>
      <w:r>
        <w:rPr>
          <w:noProof/>
        </w:rPr>
        <w:instrText xml:space="preserve"> SEQ Figure \* ARABIC </w:instrText>
      </w:r>
      <w:r>
        <w:rPr>
          <w:noProof/>
        </w:rPr>
        <w:fldChar w:fldCharType="separate"/>
      </w:r>
      <w:r w:rsidR="00025EB2">
        <w:rPr>
          <w:noProof/>
        </w:rPr>
        <w:t>13</w:t>
      </w:r>
      <w:r>
        <w:rPr>
          <w:noProof/>
        </w:rPr>
        <w:fldChar w:fldCharType="end"/>
      </w:r>
      <w:bookmarkEnd w:id="104"/>
      <w:r>
        <w:rPr>
          <w:noProof/>
        </w:rPr>
        <w:t>.</w:t>
      </w:r>
      <w:r>
        <w:t xml:space="preserve"> </w:t>
      </w:r>
      <w:bookmarkEnd w:id="105"/>
      <w:r>
        <w:t>1 km average velocity from Lock 1 to Lock 6 for scenarios of different flows to South Australia and weir pool lowering.</w:t>
      </w:r>
      <w:bookmarkEnd w:id="106"/>
    </w:p>
    <w:p w14:paraId="61DA12DE" w14:textId="77777777" w:rsidR="00971C28" w:rsidRPr="00971C28" w:rsidRDefault="00971C28" w:rsidP="00971C28"/>
    <w:p w14:paraId="50A83E93" w14:textId="066C62D4" w:rsidR="007867D5" w:rsidRDefault="007867D5" w:rsidP="007867D5">
      <w:pPr>
        <w:keepNext/>
      </w:pPr>
      <w:r>
        <w:rPr>
          <w:noProof/>
        </w:rPr>
        <w:drawing>
          <wp:inline distT="0" distB="0" distL="0" distR="0" wp14:anchorId="6AD8735E" wp14:editId="1E02E8D2">
            <wp:extent cx="5629275" cy="285750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1" cstate="email">
                      <a:extLst>
                        <a:ext uri="{28A0092B-C50C-407E-A947-70E740481C1C}">
                          <a14:useLocalDpi xmlns:a14="http://schemas.microsoft.com/office/drawing/2010/main"/>
                        </a:ext>
                      </a:extLst>
                    </a:blip>
                    <a:srcRect r="1664"/>
                    <a:stretch/>
                  </pic:blipFill>
                  <pic:spPr bwMode="auto">
                    <a:xfrm>
                      <a:off x="0" y="0"/>
                      <a:ext cx="5629275" cy="2857500"/>
                    </a:xfrm>
                    <a:prstGeom prst="rect">
                      <a:avLst/>
                    </a:prstGeom>
                    <a:noFill/>
                    <a:ln>
                      <a:noFill/>
                    </a:ln>
                    <a:extLst>
                      <a:ext uri="{53640926-AAD7-44D8-BBD7-CCE9431645EC}">
                        <a14:shadowObscured xmlns:a14="http://schemas.microsoft.com/office/drawing/2010/main"/>
                      </a:ext>
                    </a:extLst>
                  </pic:spPr>
                </pic:pic>
              </a:graphicData>
            </a:graphic>
          </wp:inline>
        </w:drawing>
      </w:r>
    </w:p>
    <w:p w14:paraId="61758091" w14:textId="360C7C69" w:rsidR="007867D5" w:rsidRPr="00C21CAB" w:rsidRDefault="007867D5" w:rsidP="007867D5">
      <w:pPr>
        <w:pStyle w:val="Caption"/>
      </w:pPr>
      <w:bookmarkStart w:id="107" w:name="_Ref55293800"/>
      <w:bookmarkStart w:id="108" w:name="_Toc69387678"/>
      <w:r>
        <w:t xml:space="preserve">Figure </w:t>
      </w:r>
      <w:r w:rsidR="006C38E9">
        <w:fldChar w:fldCharType="begin"/>
      </w:r>
      <w:r w:rsidR="006C38E9">
        <w:instrText xml:space="preserve"> SEQ Figure \* ARABIC </w:instrText>
      </w:r>
      <w:r w:rsidR="006C38E9">
        <w:fldChar w:fldCharType="separate"/>
      </w:r>
      <w:r w:rsidR="00025EB2">
        <w:rPr>
          <w:noProof/>
        </w:rPr>
        <w:t>14</w:t>
      </w:r>
      <w:r w:rsidR="006C38E9">
        <w:rPr>
          <w:noProof/>
        </w:rPr>
        <w:fldChar w:fldCharType="end"/>
      </w:r>
      <w:bookmarkEnd w:id="107"/>
      <w:r>
        <w:rPr>
          <w:noProof/>
        </w:rPr>
        <w:t>.</w:t>
      </w:r>
      <w:r>
        <w:t xml:space="preserve"> Modelled water level profile along the Lower Murray, from Lock 1 (274 km) to Lock 6 (620 km), for scenarios with flow increasing from 10,000 ML/d (10 GL/d) to 20,000 ML/d (20</w:t>
      </w:r>
      <w:r w:rsidR="00137D07">
        <w:t> </w:t>
      </w:r>
      <w:r>
        <w:t>GL/d).</w:t>
      </w:r>
      <w:bookmarkEnd w:id="108"/>
    </w:p>
    <w:p w14:paraId="73D21B7B" w14:textId="77777777" w:rsidR="007867D5" w:rsidRDefault="007867D5" w:rsidP="007867D5">
      <w:pPr>
        <w:spacing w:before="0" w:after="160" w:line="259" w:lineRule="auto"/>
        <w:jc w:val="left"/>
        <w:rPr>
          <w:rFonts w:eastAsiaTheme="majorEastAsia" w:cstheme="majorBidi"/>
          <w:b/>
          <w:i/>
          <w:color w:val="44546A" w:themeColor="text2"/>
          <w:sz w:val="26"/>
          <w:szCs w:val="24"/>
        </w:rPr>
      </w:pPr>
      <w:r>
        <w:br w:type="page"/>
      </w:r>
    </w:p>
    <w:p w14:paraId="0D4BF4B7" w14:textId="240DDA62" w:rsidR="00341A35" w:rsidRPr="00E35C12" w:rsidRDefault="00341A35" w:rsidP="00341A35">
      <w:pPr>
        <w:pStyle w:val="Heading2"/>
      </w:pPr>
      <w:bookmarkStart w:id="109" w:name="_Ref533001074"/>
      <w:bookmarkStart w:id="110" w:name="_Ref533001120"/>
      <w:bookmarkStart w:id="111" w:name="_Toc3558337"/>
      <w:bookmarkStart w:id="112" w:name="_Toc69309237"/>
      <w:r w:rsidRPr="00E35C12">
        <w:t>Stream Metabolism</w:t>
      </w:r>
      <w:bookmarkEnd w:id="109"/>
      <w:bookmarkEnd w:id="110"/>
      <w:bookmarkEnd w:id="111"/>
      <w:r w:rsidR="00BE09D3">
        <w:t xml:space="preserve"> and Water Quality</w:t>
      </w:r>
      <w:bookmarkEnd w:id="112"/>
    </w:p>
    <w:p w14:paraId="6CCE4FFE" w14:textId="77777777" w:rsidR="00456CBA" w:rsidRPr="00E35C12" w:rsidRDefault="00456CBA" w:rsidP="00456CBA">
      <w:pPr>
        <w:pStyle w:val="Heading3"/>
      </w:pPr>
      <w:r w:rsidRPr="00E35C12">
        <w:t>Background</w:t>
      </w:r>
    </w:p>
    <w:p w14:paraId="41DFAD39" w14:textId="070D7C59" w:rsidR="00456CBA" w:rsidRDefault="00456CBA" w:rsidP="00456CBA">
      <w:r w:rsidRPr="00D4355A">
        <w:t xml:space="preserve">River metabolism measurements estimate </w:t>
      </w:r>
      <w:r>
        <w:t xml:space="preserve">the </w:t>
      </w:r>
      <w:r w:rsidRPr="00D4355A">
        <w:t xml:space="preserve">in-stream rates of </w:t>
      </w:r>
      <w:r>
        <w:t xml:space="preserve">gross primary production (GPP) </w:t>
      </w:r>
      <w:r w:rsidRPr="00D4355A">
        <w:t xml:space="preserve">and </w:t>
      </w:r>
      <w:r>
        <w:t xml:space="preserve">ecosystem </w:t>
      </w:r>
      <w:r w:rsidRPr="00D4355A">
        <w:t>respiration</w:t>
      </w:r>
      <w:r>
        <w:t xml:space="preserve"> (ER),</w:t>
      </w:r>
      <w:r w:rsidRPr="00D4355A">
        <w:t xml:space="preserve"> provid</w:t>
      </w:r>
      <w:r>
        <w:t>ing</w:t>
      </w:r>
      <w:r w:rsidRPr="00D4355A">
        <w:t xml:space="preserve"> information on the </w:t>
      </w:r>
      <w:r>
        <w:t>sources and utilisation of organic carbon by</w:t>
      </w:r>
      <w:r w:rsidRPr="00D4355A">
        <w:t xml:space="preserve"> riverine food webs (</w:t>
      </w:r>
      <w:proofErr w:type="spellStart"/>
      <w:r w:rsidRPr="00D4355A">
        <w:t>Odum</w:t>
      </w:r>
      <w:proofErr w:type="spellEnd"/>
      <w:r w:rsidRPr="00D4355A">
        <w:t xml:space="preserve"> 1956; Young and </w:t>
      </w:r>
      <w:proofErr w:type="spellStart"/>
      <w:r w:rsidRPr="00D4355A">
        <w:t>Huryn</w:t>
      </w:r>
      <w:proofErr w:type="spellEnd"/>
      <w:r w:rsidRPr="00D4355A">
        <w:t xml:space="preserve"> 1996; Oliver and Merrick 2006). </w:t>
      </w:r>
      <w:r>
        <w:t xml:space="preserve">Comparing rates of photosynthesis and respiration helps </w:t>
      </w:r>
      <w:r w:rsidRPr="00D4355A">
        <w:t>describe the fundamental trophic energy connections that characterise different food web types</w:t>
      </w:r>
      <w:r>
        <w:t>. It can indicate whether production or decomposition processes predominate, and</w:t>
      </w:r>
      <w:r w:rsidRPr="00D4355A">
        <w:t xml:space="preserve"> whether the organic </w:t>
      </w:r>
      <w:r>
        <w:t xml:space="preserve">food </w:t>
      </w:r>
      <w:r w:rsidRPr="00D4355A">
        <w:t>materials have come from within the river (autochthonous</w:t>
      </w:r>
      <w:r>
        <w:t xml:space="preserve"> sources</w:t>
      </w:r>
      <w:r w:rsidRPr="00D4355A">
        <w:t>) or from the surrounding landscape (allochthonous</w:t>
      </w:r>
      <w:r>
        <w:t xml:space="preserve"> sources</w:t>
      </w:r>
      <w:r w:rsidRPr="00D4355A">
        <w:t>)</w:t>
      </w:r>
      <w:r>
        <w:t>.</w:t>
      </w:r>
      <w:r w:rsidRPr="00D4355A">
        <w:t xml:space="preserve"> </w:t>
      </w:r>
      <w:r>
        <w:t>The magnitude and characteristics of the metabolic processes indicate</w:t>
      </w:r>
      <w:r w:rsidRPr="00D4355A">
        <w:t xml:space="preserve"> the size of the food web and its capacity to support higher trophic levels</w:t>
      </w:r>
      <w:r>
        <w:t>,</w:t>
      </w:r>
      <w:r w:rsidRPr="00D4355A">
        <w:t xml:space="preserve"> including fish</w:t>
      </w:r>
      <w:r>
        <w:t>,</w:t>
      </w:r>
      <w:r w:rsidRPr="00D4355A">
        <w:t xml:space="preserve"> </w:t>
      </w:r>
      <w:r>
        <w:t>which are key targets for ecosystem management</w:t>
      </w:r>
      <w:r w:rsidRPr="00D4355A">
        <w:t xml:space="preserve"> (</w:t>
      </w:r>
      <w:proofErr w:type="spellStart"/>
      <w:r w:rsidRPr="00D4355A">
        <w:t>Odum</w:t>
      </w:r>
      <w:proofErr w:type="spellEnd"/>
      <w:r w:rsidRPr="00D4355A">
        <w:t xml:space="preserve"> 1956; </w:t>
      </w:r>
      <w:r w:rsidR="00DA6DA1">
        <w:t xml:space="preserve">Sellars and </w:t>
      </w:r>
      <w:proofErr w:type="spellStart"/>
      <w:r w:rsidR="00DA6DA1">
        <w:t>Bukaveckas</w:t>
      </w:r>
      <w:proofErr w:type="spellEnd"/>
      <w:r w:rsidR="00DA6DA1">
        <w:t xml:space="preserve"> 2003; </w:t>
      </w:r>
      <w:r w:rsidRPr="00D4355A">
        <w:t>Oliver and Merrick 2006</w:t>
      </w:r>
      <w:r>
        <w:t>; Oliver and Lorenz 2010</w:t>
      </w:r>
      <w:r w:rsidRPr="00D4355A">
        <w:t>).</w:t>
      </w:r>
      <w:r>
        <w:t xml:space="preserve"> As concentrations of dissolved oxygen are monitored to estimate rates of stream metabolism, these measurements provide ancillary information on the suitability of oxygen levels to support aquatic biota.</w:t>
      </w:r>
    </w:p>
    <w:p w14:paraId="3D05378D" w14:textId="1AC38CBF" w:rsidR="00456CBA" w:rsidRPr="00A97482" w:rsidRDefault="003B7F79" w:rsidP="00456CBA">
      <w:pPr>
        <w:rPr>
          <w:iCs/>
        </w:rPr>
      </w:pPr>
      <w:r w:rsidRPr="00A97482">
        <w:rPr>
          <w:iCs/>
        </w:rPr>
        <w:t xml:space="preserve">Photosynthetic microbes, comprised of microalgae and cyanobacteria, </w:t>
      </w:r>
      <w:r>
        <w:rPr>
          <w:iCs/>
        </w:rPr>
        <w:t xml:space="preserve">are autotrophs and </w:t>
      </w:r>
      <w:r w:rsidRPr="00A97482">
        <w:rPr>
          <w:iCs/>
        </w:rPr>
        <w:t xml:space="preserve">fix </w:t>
      </w:r>
      <w:r w:rsidR="00456CBA" w:rsidRPr="00A97482">
        <w:rPr>
          <w:iCs/>
        </w:rPr>
        <w:t xml:space="preserve">dissolved carbon dioxide using the energy of sunlight to form organic materials for cell growth (Sellers and </w:t>
      </w:r>
      <w:proofErr w:type="spellStart"/>
      <w:r w:rsidR="00456CBA" w:rsidRPr="00A97482">
        <w:rPr>
          <w:iCs/>
        </w:rPr>
        <w:t>Bukaveckas</w:t>
      </w:r>
      <w:proofErr w:type="spellEnd"/>
      <w:r w:rsidR="00456CBA" w:rsidRPr="00A97482">
        <w:rPr>
          <w:iCs/>
        </w:rPr>
        <w:t xml:space="preserve"> 2003; Oliver and Merrick 2006; </w:t>
      </w:r>
      <w:proofErr w:type="spellStart"/>
      <w:r w:rsidR="00456CBA" w:rsidRPr="00A97482">
        <w:rPr>
          <w:iCs/>
        </w:rPr>
        <w:t>Várbíró</w:t>
      </w:r>
      <w:proofErr w:type="spellEnd"/>
      <w:r w:rsidR="00456CBA" w:rsidRPr="00A97482">
        <w:rPr>
          <w:iCs/>
        </w:rPr>
        <w:t xml:space="preserve"> </w:t>
      </w:r>
      <w:r w:rsidR="00456CBA" w:rsidRPr="00A97482">
        <w:rPr>
          <w:i/>
          <w:iCs/>
        </w:rPr>
        <w:t>et al.</w:t>
      </w:r>
      <w:r w:rsidR="00456CBA" w:rsidRPr="00A97482">
        <w:rPr>
          <w:iCs/>
        </w:rPr>
        <w:t xml:space="preserve"> 2018). The availability of light for phytoplankton photosynthesis is influenced by the depth of light penetration and the intensity of water mixing that circulates phytoplankton through the upper illuminated surface layers. The availability and concentrations of nutrients also influence photosynthesis and the formation of organic materials (Reynolds 1984). </w:t>
      </w:r>
      <w:r w:rsidR="00456CBA">
        <w:rPr>
          <w:iCs/>
        </w:rPr>
        <w:t>So p</w:t>
      </w:r>
      <w:r w:rsidR="00456CBA" w:rsidRPr="00A97482">
        <w:rPr>
          <w:iCs/>
        </w:rPr>
        <w:t>hotosynthetic processes are affected by flow rates and water quality, and these are influenced by the catchment water sources, including environmental water contributions.</w:t>
      </w:r>
    </w:p>
    <w:p w14:paraId="0C30FFE1" w14:textId="77777777" w:rsidR="00456CBA" w:rsidRDefault="00456CBA" w:rsidP="00456CBA">
      <w:pPr>
        <w:rPr>
          <w:lang w:val="en-US"/>
        </w:rPr>
      </w:pPr>
      <w:r w:rsidRPr="00A97482" w:rsidDel="00D07833">
        <w:t>Net ecosystem production</w:t>
      </w:r>
      <w:r w:rsidRPr="00A97482">
        <w:t xml:space="preserve"> (NEP)</w:t>
      </w:r>
      <w:r w:rsidRPr="00A97482" w:rsidDel="00D07833">
        <w:t xml:space="preserve">, the difference between GPP and </w:t>
      </w:r>
      <w:r w:rsidRPr="00A97482">
        <w:t>E</w:t>
      </w:r>
      <w:r w:rsidRPr="00A97482" w:rsidDel="00D07833">
        <w:t xml:space="preserve">R, is considered a measure of the overall carbon balance, </w:t>
      </w:r>
      <w:r w:rsidRPr="00A97482">
        <w:t>and frequently used as an estimate of the basal food resource supply (</w:t>
      </w:r>
      <w:proofErr w:type="spellStart"/>
      <w:r w:rsidRPr="00A97482">
        <w:t>Odum</w:t>
      </w:r>
      <w:proofErr w:type="spellEnd"/>
      <w:r w:rsidRPr="00A97482">
        <w:t xml:space="preserve"> 1956; Young and </w:t>
      </w:r>
      <w:proofErr w:type="spellStart"/>
      <w:r w:rsidRPr="00A97482">
        <w:t>Huryn</w:t>
      </w:r>
      <w:proofErr w:type="spellEnd"/>
      <w:r w:rsidRPr="00A97482">
        <w:t xml:space="preserve"> 1996; Oliver and Merrick 2006). I</w:t>
      </w:r>
      <w:r w:rsidRPr="00A97482" w:rsidDel="00D07833">
        <w:t>f GPP&gt;</w:t>
      </w:r>
      <w:r w:rsidRPr="00A97482">
        <w:t>E</w:t>
      </w:r>
      <w:r w:rsidRPr="00A97482" w:rsidDel="00D07833">
        <w:t>R</w:t>
      </w:r>
      <w:r w:rsidRPr="00A97482">
        <w:t>,</w:t>
      </w:r>
      <w:r w:rsidRPr="00A97482" w:rsidDel="00D07833">
        <w:t xml:space="preserve"> carbon is accumulating, while if GPP&lt;</w:t>
      </w:r>
      <w:r w:rsidRPr="00A97482">
        <w:t>E</w:t>
      </w:r>
      <w:r w:rsidRPr="00A97482" w:rsidDel="00D07833">
        <w:t>R</w:t>
      </w:r>
      <w:r w:rsidRPr="00A97482">
        <w:t>,</w:t>
      </w:r>
      <w:r w:rsidRPr="00A97482" w:rsidDel="00D07833">
        <w:t xml:space="preserve"> carbon is being lost from the system. </w:t>
      </w:r>
      <w:r w:rsidRPr="00A97482">
        <w:t>However, t</w:t>
      </w:r>
      <w:r w:rsidRPr="00A97482" w:rsidDel="00D07833">
        <w:t xml:space="preserve">his interpretation implicitly assumes that fixation of carbon through photosynthesis is the source of organic material fuelling respiration. </w:t>
      </w:r>
      <w:r w:rsidRPr="00A97482">
        <w:t>T</w:t>
      </w:r>
      <w:r w:rsidRPr="00A97482" w:rsidDel="00D07833">
        <w:t xml:space="preserve">his is not </w:t>
      </w:r>
      <w:r w:rsidRPr="00A97482">
        <w:t xml:space="preserve">usually </w:t>
      </w:r>
      <w:r w:rsidRPr="00A97482" w:rsidDel="00D07833">
        <w:t xml:space="preserve">the case, as respiration is also due to </w:t>
      </w:r>
      <w:r w:rsidRPr="00A97482">
        <w:t>the decomposition</w:t>
      </w:r>
      <w:r w:rsidRPr="00A97482" w:rsidDel="00D07833">
        <w:t xml:space="preserve"> of allochthonous organic carbon by heterotrophs</w:t>
      </w:r>
      <w:r w:rsidRPr="00A97482">
        <w:t xml:space="preserve"> which </w:t>
      </w:r>
      <w:r w:rsidRPr="00A97482" w:rsidDel="00D07833">
        <w:t xml:space="preserve">results in heterotrophic production, an additional </w:t>
      </w:r>
      <w:r w:rsidRPr="00A97482">
        <w:t>food re</w:t>
      </w:r>
      <w:r w:rsidRPr="00A97482" w:rsidDel="00D07833">
        <w:t xml:space="preserve">source not accounted for in the NEP calculation. </w:t>
      </w:r>
      <w:r w:rsidRPr="00A97482">
        <w:rPr>
          <w:iCs/>
        </w:rPr>
        <w:t xml:space="preserve">Terrestrial organic carbon enters rivers in particulate and dissolved forms, but dissolved organic carbon is most actively incorporated by heterotrophic microbes such as bacteria and is </w:t>
      </w:r>
      <w:r w:rsidRPr="00A97482">
        <w:rPr>
          <w:lang w:val="en-US"/>
        </w:rPr>
        <w:t xml:space="preserve">a major driver of heterotrophic respiration </w:t>
      </w:r>
      <w:r w:rsidRPr="00A97482">
        <w:rPr>
          <w:iCs/>
        </w:rPr>
        <w:t xml:space="preserve">(Graeber </w:t>
      </w:r>
      <w:r w:rsidRPr="00A97482">
        <w:rPr>
          <w:i/>
          <w:iCs/>
        </w:rPr>
        <w:t>et al.</w:t>
      </w:r>
      <w:r w:rsidRPr="00A97482">
        <w:rPr>
          <w:iCs/>
        </w:rPr>
        <w:t xml:space="preserve"> 2018). Flow patterns are important in determining the sources and supply of terrestrial organic carbon, and environmental flows and their management impact the carbon supply to the river food web (Oliver and Merrick 2006; Baldwin </w:t>
      </w:r>
      <w:r w:rsidRPr="00A97482">
        <w:rPr>
          <w:i/>
          <w:iCs/>
        </w:rPr>
        <w:t>et al.</w:t>
      </w:r>
      <w:r w:rsidRPr="00A97482">
        <w:rPr>
          <w:iCs/>
        </w:rPr>
        <w:t xml:space="preserve"> 2016). </w:t>
      </w:r>
    </w:p>
    <w:p w14:paraId="3B14FE12" w14:textId="77777777" w:rsidR="004A7F49" w:rsidRDefault="004A7F49" w:rsidP="0073261B">
      <w:pPr>
        <w:rPr>
          <w:i/>
          <w:u w:val="single"/>
        </w:rPr>
      </w:pPr>
    </w:p>
    <w:p w14:paraId="22C72DB5" w14:textId="77777777" w:rsidR="004A7F49" w:rsidRDefault="004A7F49">
      <w:pPr>
        <w:spacing w:before="0" w:after="160" w:line="259" w:lineRule="auto"/>
        <w:jc w:val="left"/>
        <w:rPr>
          <w:i/>
          <w:u w:val="single"/>
        </w:rPr>
      </w:pPr>
      <w:r>
        <w:rPr>
          <w:i/>
          <w:u w:val="single"/>
        </w:rPr>
        <w:br w:type="page"/>
      </w:r>
    </w:p>
    <w:p w14:paraId="29945F64" w14:textId="4C5EE1CC" w:rsidR="0073261B" w:rsidRPr="005708C8" w:rsidRDefault="0073261B" w:rsidP="0073261B">
      <w:pPr>
        <w:rPr>
          <w:i/>
          <w:u w:val="single"/>
        </w:rPr>
      </w:pPr>
      <w:r w:rsidRPr="005708C8">
        <w:rPr>
          <w:i/>
          <w:u w:val="single"/>
        </w:rPr>
        <w:t>Major hypotheses</w:t>
      </w:r>
    </w:p>
    <w:p w14:paraId="7D7B53DC" w14:textId="77777777" w:rsidR="006B32FF" w:rsidRDefault="006B32FF" w:rsidP="006B32FF">
      <w:r>
        <w:t>Increased flow (including the delivery of environmental water) into the LMR (peak and duration) in spring/summer will:</w:t>
      </w:r>
    </w:p>
    <w:p w14:paraId="7F4D2201" w14:textId="5251C94E" w:rsidR="006B32FF" w:rsidRDefault="006B32FF" w:rsidP="0072624D">
      <w:pPr>
        <w:pStyle w:val="ListParagraph"/>
        <w:numPr>
          <w:ilvl w:val="0"/>
          <w:numId w:val="28"/>
        </w:numPr>
        <w:ind w:left="714" w:hanging="357"/>
        <w:contextualSpacing w:val="0"/>
      </w:pPr>
      <w:r>
        <w:t>Alter phytoplankton photosynthesis and the supply of autochthonous organic carbon to food webs if changes in</w:t>
      </w:r>
      <w:r w:rsidR="00F426B8">
        <w:t>-</w:t>
      </w:r>
      <w:r>
        <w:t xml:space="preserve">channel flow volumes and water quality modify light and nutrient </w:t>
      </w:r>
      <w:proofErr w:type="gramStart"/>
      <w:r>
        <w:t>availability</w:t>
      </w:r>
      <w:r w:rsidR="005961D7">
        <w:t>;</w:t>
      </w:r>
      <w:proofErr w:type="gramEnd"/>
    </w:p>
    <w:p w14:paraId="4D1E8B5B" w14:textId="0391B329" w:rsidR="006B32FF" w:rsidRDefault="006B32FF" w:rsidP="0072624D">
      <w:pPr>
        <w:pStyle w:val="ListParagraph"/>
        <w:numPr>
          <w:ilvl w:val="0"/>
          <w:numId w:val="28"/>
        </w:numPr>
        <w:ind w:left="714" w:hanging="357"/>
        <w:contextualSpacing w:val="0"/>
      </w:pPr>
      <w:r>
        <w:t xml:space="preserve">Enhance ecosystem respiration (ER) rates and heterotrophic production if flows better connect the channel with riparian, </w:t>
      </w:r>
      <w:proofErr w:type="gramStart"/>
      <w:r>
        <w:t>wetland</w:t>
      </w:r>
      <w:proofErr w:type="gramEnd"/>
      <w:r>
        <w:t xml:space="preserve"> or floodplain areas, increasing the supply of allochthonous organic carbon</w:t>
      </w:r>
      <w:r w:rsidR="005961D7">
        <w:t>; and</w:t>
      </w:r>
    </w:p>
    <w:p w14:paraId="358D5CAA" w14:textId="77777777" w:rsidR="006B32FF" w:rsidRDefault="006B32FF" w:rsidP="0072624D">
      <w:pPr>
        <w:pStyle w:val="ListParagraph"/>
        <w:numPr>
          <w:ilvl w:val="0"/>
          <w:numId w:val="28"/>
        </w:numPr>
        <w:ind w:left="714" w:hanging="357"/>
        <w:contextualSpacing w:val="0"/>
      </w:pPr>
      <w:r>
        <w:t>Reduce the likelihood of low dissolved oxygen (DO) concentrations by increasing water mixing in otherwise low flow zones except if flows carry excessive loads of organic carbon.</w:t>
      </w:r>
    </w:p>
    <w:p w14:paraId="76EBA996" w14:textId="77777777" w:rsidR="00456CBA" w:rsidRPr="00E35C12" w:rsidRDefault="00456CBA" w:rsidP="00456CBA">
      <w:pPr>
        <w:pStyle w:val="Heading3"/>
      </w:pPr>
      <w:r w:rsidRPr="00E35C12">
        <w:t>Methods</w:t>
      </w:r>
    </w:p>
    <w:p w14:paraId="49D5E5C3" w14:textId="77777777" w:rsidR="00456CBA" w:rsidRPr="001536D0" w:rsidRDefault="00456CBA" w:rsidP="00456CBA">
      <w:pPr>
        <w:rPr>
          <w:i/>
          <w:u w:val="single"/>
        </w:rPr>
      </w:pPr>
      <w:r w:rsidRPr="001536D0">
        <w:rPr>
          <w:i/>
          <w:u w:val="single"/>
        </w:rPr>
        <w:t>Field sampling</w:t>
      </w:r>
    </w:p>
    <w:p w14:paraId="2DDC56DD" w14:textId="479DA9E1" w:rsidR="00456CBA" w:rsidRDefault="00456CBA" w:rsidP="00456CBA">
      <w:r>
        <w:t xml:space="preserve">Rates of stream metabolism were estimated from daily changes in concentrations of dissolved oxygen (DO), which </w:t>
      </w:r>
      <w:r w:rsidRPr="008B6DC2">
        <w:t xml:space="preserve">also provided information on the suitability of </w:t>
      </w:r>
      <w:r>
        <w:t>DO</w:t>
      </w:r>
      <w:r w:rsidRPr="008B6DC2">
        <w:t xml:space="preserve"> to support the aquatic biota.</w:t>
      </w:r>
      <w:r>
        <w:t xml:space="preserve"> Monitoring consisted of </w:t>
      </w:r>
      <w:r w:rsidRPr="00477E3D">
        <w:rPr>
          <w:i/>
        </w:rPr>
        <w:t>in situ</w:t>
      </w:r>
      <w:r w:rsidRPr="00EF7086">
        <w:rPr>
          <w:iCs/>
        </w:rPr>
        <w:t>,</w:t>
      </w:r>
      <w:r w:rsidRPr="00BA5258">
        <w:t xml:space="preserve"> </w:t>
      </w:r>
      <w:r>
        <w:t>c</w:t>
      </w:r>
      <w:r w:rsidRPr="00BA5258">
        <w:t>ontinuous</w:t>
      </w:r>
      <w:r>
        <w:t xml:space="preserve"> ten-minute interval </w:t>
      </w:r>
      <w:r w:rsidRPr="00BA5258">
        <w:t xml:space="preserve">logging of </w:t>
      </w:r>
      <w:r>
        <w:t>DO</w:t>
      </w:r>
      <w:r w:rsidRPr="00BA5258">
        <w:t>, water temperature</w:t>
      </w:r>
      <w:r>
        <w:t>,</w:t>
      </w:r>
      <w:r w:rsidRPr="00BA5258">
        <w:t xml:space="preserve"> and </w:t>
      </w:r>
      <w:r w:rsidRPr="00D80ED2">
        <w:t xml:space="preserve">incident </w:t>
      </w:r>
      <w:r w:rsidRPr="00BA5258">
        <w:t>light at t</w:t>
      </w:r>
      <w:r>
        <w:t>hree</w:t>
      </w:r>
      <w:r w:rsidRPr="00BA5258">
        <w:t xml:space="preserve"> </w:t>
      </w:r>
      <w:r w:rsidRPr="00D80ED2">
        <w:t>river sites</w:t>
      </w:r>
      <w:r>
        <w:t>. One</w:t>
      </w:r>
      <w:r w:rsidRPr="00D80ED2">
        <w:t xml:space="preserve"> </w:t>
      </w:r>
      <w:r>
        <w:t>site was downstream of</w:t>
      </w:r>
      <w:r w:rsidRPr="00D80ED2">
        <w:t xml:space="preserve"> Lock 6</w:t>
      </w:r>
      <w:r>
        <w:t xml:space="preserve"> (‘Lock 6’ herein) in the </w:t>
      </w:r>
      <w:r w:rsidRPr="00D80ED2">
        <w:t xml:space="preserve">floodplain </w:t>
      </w:r>
      <w:r>
        <w:t xml:space="preserve">geomorphic zone, the second was downstream of Lock 4 (‘Lock 4’ herein), and the third </w:t>
      </w:r>
      <w:r w:rsidRPr="00D80ED2">
        <w:t>downstream of Lock 1</w:t>
      </w:r>
      <w:r>
        <w:t xml:space="preserve"> (‘Lock 1’ herein) </w:t>
      </w:r>
      <w:r w:rsidRPr="00D80ED2">
        <w:t>in the gorge</w:t>
      </w:r>
      <w:r>
        <w:t xml:space="preserve"> geomorphic zone (</w:t>
      </w:r>
      <w:r>
        <w:fldChar w:fldCharType="begin"/>
      </w:r>
      <w:r>
        <w:instrText xml:space="preserve"> REF _Ref469926522 \h </w:instrText>
      </w:r>
      <w:r>
        <w:fldChar w:fldCharType="separate"/>
      </w:r>
      <w:r w:rsidR="00AD0721">
        <w:t xml:space="preserve">Figure </w:t>
      </w:r>
      <w:r w:rsidR="00AD0721">
        <w:rPr>
          <w:noProof/>
        </w:rPr>
        <w:t>1</w:t>
      </w:r>
      <w:r>
        <w:fldChar w:fldCharType="end"/>
      </w:r>
      <w:r>
        <w:t>)</w:t>
      </w:r>
      <w:r w:rsidRPr="00D80ED2">
        <w:t xml:space="preserve">. </w:t>
      </w:r>
      <w:r>
        <w:t xml:space="preserve">Monitoring occurred from </w:t>
      </w:r>
      <w:r w:rsidR="003B7F79">
        <w:t>3</w:t>
      </w:r>
      <w:r>
        <w:t xml:space="preserve"> September 2019 to 19 February 2020, with occasional interruptions (ca. one day) during probe maintenance.</w:t>
      </w:r>
    </w:p>
    <w:p w14:paraId="78FD1AC6" w14:textId="77777777" w:rsidR="00456CBA" w:rsidRDefault="00456CBA" w:rsidP="00456CBA">
      <w:r>
        <w:t>Two metre, depth-integrated</w:t>
      </w:r>
      <w:r w:rsidRPr="00BA5258">
        <w:t xml:space="preserve"> water samples were collected </w:t>
      </w:r>
      <w:r>
        <w:t xml:space="preserve">during the 10 probe maintenance field trips (ca. fortnightly), </w:t>
      </w:r>
      <w:r w:rsidRPr="00BA5258">
        <w:t xml:space="preserve">and analysed for chlorophyll </w:t>
      </w:r>
      <w:r w:rsidRPr="00477E3D">
        <w:rPr>
          <w:i/>
        </w:rPr>
        <w:t>a</w:t>
      </w:r>
      <w:r w:rsidRPr="00BA5258">
        <w:t xml:space="preserve">, total nitrogen, combined nitrate and nitrite, ammonium, total phosphorus, dissolved forms of phosphorus, and dissolved organic carbon. </w:t>
      </w:r>
      <w:r w:rsidRPr="00D80ED2">
        <w:t>The detailed monitoring and analy</w:t>
      </w:r>
      <w:r>
        <w:t>tical</w:t>
      </w:r>
      <w:r w:rsidRPr="00D80ED2">
        <w:t xml:space="preserve"> protocol</w:t>
      </w:r>
      <w:r>
        <w:t>s</w:t>
      </w:r>
      <w:r w:rsidRPr="00D80ED2">
        <w:t xml:space="preserve"> described in Hale </w:t>
      </w:r>
      <w:r w:rsidRPr="00477E3D">
        <w:rPr>
          <w:i/>
        </w:rPr>
        <w:t>et al.</w:t>
      </w:r>
      <w:r w:rsidRPr="00D80ED2">
        <w:t xml:space="preserve"> (2014) w</w:t>
      </w:r>
      <w:r>
        <w:t>ere</w:t>
      </w:r>
      <w:r w:rsidRPr="00D80ED2">
        <w:t xml:space="preserve"> followed</w:t>
      </w:r>
      <w:r>
        <w:t xml:space="preserve">, but with some minor adjustments as detailed in Ye </w:t>
      </w:r>
      <w:r w:rsidRPr="00477E3D">
        <w:rPr>
          <w:i/>
        </w:rPr>
        <w:t>et al.</w:t>
      </w:r>
      <w:r>
        <w:t xml:space="preserve"> (2018). In addition, the vertical light attenuation for Photosynthetically Active Radiation (PAR) was measured on each occasion using </w:t>
      </w:r>
      <w:proofErr w:type="spellStart"/>
      <w:r>
        <w:t>LiCOR</w:t>
      </w:r>
      <w:proofErr w:type="spellEnd"/>
      <w:r>
        <w:t xml:space="preserve"> underwater sensors. </w:t>
      </w:r>
    </w:p>
    <w:p w14:paraId="20F90A81" w14:textId="77777777" w:rsidR="00456CBA" w:rsidRDefault="00456CBA" w:rsidP="00456CBA">
      <w:r>
        <w:t>Water quality measurements and vertical attenuation coefficients were considered relevant for three days before and three days after sampling, and this extended data set (61 points) was used to explore relationships with metabolic rates. Collected water quality data were supplemented with monitoring data from nearby sites provided by the Australian Water Quality Centre of South Australia Water.</w:t>
      </w:r>
    </w:p>
    <w:p w14:paraId="0D14B1FC" w14:textId="77777777" w:rsidR="00456CBA" w:rsidRPr="001536D0" w:rsidRDefault="00456CBA" w:rsidP="00456CBA">
      <w:pPr>
        <w:rPr>
          <w:i/>
          <w:u w:val="single"/>
        </w:rPr>
      </w:pPr>
      <w:r w:rsidRPr="001536D0">
        <w:rPr>
          <w:i/>
          <w:u w:val="single"/>
        </w:rPr>
        <w:t>Estimating metabolic rates</w:t>
      </w:r>
    </w:p>
    <w:p w14:paraId="6DFCD015" w14:textId="3FC7B9A1" w:rsidR="00456CBA" w:rsidRDefault="00456CBA" w:rsidP="00456CBA">
      <w:pPr>
        <w:rPr>
          <w:iCs/>
          <w:szCs w:val="22"/>
          <w:highlight w:val="cyan"/>
          <w:lang w:val="en-US"/>
        </w:rPr>
      </w:pPr>
      <w:r>
        <w:t>Daily volumetric</w:t>
      </w:r>
      <w:r w:rsidRPr="00BA5258">
        <w:t xml:space="preserve"> rates for GPP</w:t>
      </w:r>
      <w:r>
        <w:t xml:space="preserve"> and</w:t>
      </w:r>
      <w:r w:rsidRPr="00BA5258">
        <w:t xml:space="preserve"> </w:t>
      </w:r>
      <w:r>
        <w:t>E</w:t>
      </w:r>
      <w:r w:rsidRPr="00BA5258">
        <w:t xml:space="preserve">R were estimated </w:t>
      </w:r>
      <w:r>
        <w:t>over 24-hour periods from midnight to midnight</w:t>
      </w:r>
      <w:r w:rsidRPr="00BA5258">
        <w:t xml:space="preserve"> </w:t>
      </w:r>
      <w:r>
        <w:t>with</w:t>
      </w:r>
      <w:r w:rsidRPr="00BA5258">
        <w:t xml:space="preserve"> the </w:t>
      </w:r>
      <w:r w:rsidRPr="00AC4288">
        <w:rPr>
          <w:i/>
          <w:iCs/>
        </w:rPr>
        <w:t>BASE</w:t>
      </w:r>
      <w:r w:rsidRPr="00BA5258">
        <w:t xml:space="preserve"> program (Grace </w:t>
      </w:r>
      <w:r w:rsidRPr="00477E3D">
        <w:rPr>
          <w:i/>
        </w:rPr>
        <w:t>et al.</w:t>
      </w:r>
      <w:r w:rsidRPr="00BA5258">
        <w:t xml:space="preserve"> 2015). This </w:t>
      </w:r>
      <w:r>
        <w:t>uses</w:t>
      </w:r>
      <w:r w:rsidRPr="00BA5258">
        <w:t xml:space="preserve"> Bayesian regression routines to fit the measured changes in </w:t>
      </w:r>
      <w:r>
        <w:t>DO</w:t>
      </w:r>
      <w:r w:rsidRPr="00BA5258">
        <w:t xml:space="preserve"> concentrations to a widely </w:t>
      </w:r>
      <w:r>
        <w:t>applied</w:t>
      </w:r>
      <w:r w:rsidRPr="00BA5258">
        <w:t xml:space="preserve"> model that describes the daily fluctuations in water column </w:t>
      </w:r>
      <w:r>
        <w:t>DO</w:t>
      </w:r>
      <w:r w:rsidRPr="00BA5258">
        <w:t xml:space="preserve"> concentrations </w:t>
      </w:r>
      <w:r>
        <w:t>(</w:t>
      </w:r>
      <w:proofErr w:type="spellStart"/>
      <w:r>
        <w:t>Odum</w:t>
      </w:r>
      <w:proofErr w:type="spellEnd"/>
      <w:r>
        <w:t xml:space="preserve"> 1956;</w:t>
      </w:r>
      <w:r w:rsidRPr="00404F2F">
        <w:t xml:space="preserve"> Young and </w:t>
      </w:r>
      <w:proofErr w:type="spellStart"/>
      <w:r w:rsidRPr="00404F2F">
        <w:t>Huryn</w:t>
      </w:r>
      <w:proofErr w:type="spellEnd"/>
      <w:r w:rsidRPr="00404F2F">
        <w:t xml:space="preserve"> 1996</w:t>
      </w:r>
      <w:r>
        <w:t>; Oliver and Merrick 2006)</w:t>
      </w:r>
      <w:r w:rsidRPr="00BA5258">
        <w:t>.</w:t>
      </w:r>
      <w:r>
        <w:t xml:space="preserve"> </w:t>
      </w:r>
      <w:r>
        <w:rPr>
          <w:szCs w:val="22"/>
        </w:rPr>
        <w:t>O</w:t>
      </w:r>
      <w:r w:rsidRPr="00256077">
        <w:rPr>
          <w:szCs w:val="22"/>
        </w:rPr>
        <w:t xml:space="preserve">xygen based metabolic rates were converted to carbon units by assuming that the photosynthetic and respiratory quotients </w:t>
      </w:r>
      <w:r>
        <w:rPr>
          <w:szCs w:val="22"/>
        </w:rPr>
        <w:t>we</w:t>
      </w:r>
      <w:r w:rsidRPr="00256077">
        <w:rPr>
          <w:szCs w:val="22"/>
        </w:rPr>
        <w:t xml:space="preserve">re </w:t>
      </w:r>
      <w:r>
        <w:rPr>
          <w:szCs w:val="22"/>
        </w:rPr>
        <w:t>equal to one, each</w:t>
      </w:r>
      <w:r w:rsidRPr="00256077">
        <w:rPr>
          <w:szCs w:val="22"/>
        </w:rPr>
        <w:t xml:space="preserve"> mole of oxygen transfer</w:t>
      </w:r>
      <w:r>
        <w:rPr>
          <w:szCs w:val="22"/>
        </w:rPr>
        <w:t xml:space="preserve"> </w:t>
      </w:r>
      <w:r w:rsidRPr="00256077">
        <w:rPr>
          <w:szCs w:val="22"/>
        </w:rPr>
        <w:t>matched by a mole of carbon dioxide.</w:t>
      </w:r>
    </w:p>
    <w:p w14:paraId="16C7B708" w14:textId="41B499B2" w:rsidR="00456CBA" w:rsidRDefault="00456CBA" w:rsidP="00456CBA">
      <w:r>
        <w:t>The measured volumetric rates of metabolism were i</w:t>
      </w:r>
      <w:r w:rsidRPr="00BA5258">
        <w:t>ntegrated</w:t>
      </w:r>
      <w:r>
        <w:t xml:space="preserve"> over river depth and width based on channel</w:t>
      </w:r>
      <w:r w:rsidRPr="00BA5258">
        <w:t xml:space="preserve"> </w:t>
      </w:r>
      <w:r>
        <w:t xml:space="preserve">characteristics derived from a </w:t>
      </w:r>
      <w:r w:rsidRPr="00BA5258">
        <w:t>morpho</w:t>
      </w:r>
      <w:r>
        <w:t>metric model linked to water level</w:t>
      </w:r>
      <w:r w:rsidR="003B7F79">
        <w:t xml:space="preserve"> (Section </w:t>
      </w:r>
      <w:r w:rsidR="003B7F79">
        <w:fldChar w:fldCharType="begin"/>
      </w:r>
      <w:r w:rsidR="003B7F79">
        <w:instrText xml:space="preserve"> REF _Ref58249886 \r \h </w:instrText>
      </w:r>
      <w:r w:rsidR="003B7F79">
        <w:fldChar w:fldCharType="separate"/>
      </w:r>
      <w:r w:rsidR="00241910">
        <w:t>2.1</w:t>
      </w:r>
      <w:r w:rsidR="003B7F79">
        <w:fldChar w:fldCharType="end"/>
      </w:r>
      <w:r w:rsidR="003B7F79">
        <w:t>)</w:t>
      </w:r>
      <w:r>
        <w:t xml:space="preserve">. The morphometric data included the average cross-sectional areas, average depths, and average widths at different flow levels for the river reaches at each monitoring site. Daily flows measured during the monitoring periods were adjusted using hydrological modelling to estimate the flows and water levels that would have occurred without </w:t>
      </w:r>
      <w:r>
        <w:rPr>
          <w:lang w:val="en-US"/>
        </w:rPr>
        <w:t>Commonwealth environmental water, and</w:t>
      </w:r>
      <w:r>
        <w:t xml:space="preserve"> without any environmental flows. </w:t>
      </w:r>
    </w:p>
    <w:p w14:paraId="06C57C0F" w14:textId="77777777" w:rsidR="00456CBA" w:rsidRDefault="00456CBA" w:rsidP="00456CBA">
      <w:r>
        <w:t>Cross-sectional metabolic</w:t>
      </w:r>
      <w:r w:rsidRPr="00BA5258">
        <w:t xml:space="preserve"> rate</w:t>
      </w:r>
      <w:r>
        <w:t xml:space="preserve">s were calculated as </w:t>
      </w:r>
      <w:r w:rsidRPr="00BA5258">
        <w:t>the product of the volumetric rate</w:t>
      </w:r>
      <w:r w:rsidRPr="008D7984">
        <w:t xml:space="preserve"> </w:t>
      </w:r>
      <w:r>
        <w:t xml:space="preserve">and the average </w:t>
      </w:r>
      <w:r w:rsidRPr="00BA5258">
        <w:t>cross-sectional area</w:t>
      </w:r>
      <w:r>
        <w:t xml:space="preserve">. </w:t>
      </w:r>
      <w:r w:rsidRPr="007079F1">
        <w:rPr>
          <w:iCs/>
          <w:szCs w:val="22"/>
          <w:lang w:val="en-US"/>
        </w:rPr>
        <w:t xml:space="preserve">The influence of flow on the average depth and cross-sectional area </w:t>
      </w:r>
      <w:r>
        <w:rPr>
          <w:iCs/>
          <w:szCs w:val="22"/>
          <w:lang w:val="en-US"/>
        </w:rPr>
        <w:t>wa</w:t>
      </w:r>
      <w:r w:rsidRPr="007079F1">
        <w:rPr>
          <w:iCs/>
          <w:szCs w:val="22"/>
          <w:lang w:val="en-US"/>
        </w:rPr>
        <w:t>s a function of the channel morphometry, and increased</w:t>
      </w:r>
      <w:r w:rsidRPr="007079F1">
        <w:rPr>
          <w:lang w:val="en-US"/>
        </w:rPr>
        <w:t xml:space="preserve"> flows increase</w:t>
      </w:r>
      <w:r>
        <w:rPr>
          <w:lang w:val="en-US"/>
        </w:rPr>
        <w:t>d</w:t>
      </w:r>
      <w:r w:rsidRPr="007079F1">
        <w:rPr>
          <w:lang w:val="en-US"/>
        </w:rPr>
        <w:t xml:space="preserve"> or decrease</w:t>
      </w:r>
      <w:r>
        <w:rPr>
          <w:lang w:val="en-US"/>
        </w:rPr>
        <w:t>d</w:t>
      </w:r>
      <w:r w:rsidRPr="007079F1">
        <w:rPr>
          <w:lang w:val="en-US"/>
        </w:rPr>
        <w:t xml:space="preserve"> these depending on channel shape. </w:t>
      </w:r>
      <w:r>
        <w:t>Volumetric rates are reported as gm/m</w:t>
      </w:r>
      <w:r>
        <w:rPr>
          <w:vertAlign w:val="superscript"/>
        </w:rPr>
        <w:t>3</w:t>
      </w:r>
      <w:r>
        <w:t>/day (numerically equal to mg/L/day), area as m</w:t>
      </w:r>
      <w:r>
        <w:rPr>
          <w:vertAlign w:val="superscript"/>
        </w:rPr>
        <w:t>2</w:t>
      </w:r>
      <w:r>
        <w:t xml:space="preserve"> and so cross-sectional rates are for a 1 m length of river. Metabolic rates were integrated over time by summing daily rates.</w:t>
      </w:r>
    </w:p>
    <w:p w14:paraId="6135103B" w14:textId="77777777" w:rsidR="00456CBA" w:rsidRPr="0040688F" w:rsidRDefault="00456CBA" w:rsidP="00456CBA">
      <w:pPr>
        <w:pStyle w:val="ListParagraph"/>
        <w:ind w:left="0"/>
        <w:rPr>
          <w:iCs/>
          <w:szCs w:val="22"/>
          <w:lang w:val="en-US"/>
        </w:rPr>
      </w:pPr>
      <w:r w:rsidRPr="0040688F">
        <w:rPr>
          <w:iCs/>
          <w:szCs w:val="22"/>
          <w:lang w:val="en-US"/>
        </w:rPr>
        <w:t xml:space="preserve">The influence of light on photosynthesis was </w:t>
      </w:r>
      <w:r>
        <w:rPr>
          <w:iCs/>
          <w:szCs w:val="22"/>
          <w:lang w:val="en-US"/>
        </w:rPr>
        <w:t>determined</w:t>
      </w:r>
      <w:r w:rsidRPr="0040688F">
        <w:rPr>
          <w:iCs/>
          <w:szCs w:val="22"/>
          <w:lang w:val="en-US"/>
        </w:rPr>
        <w:t xml:space="preserve"> using the mean light intensity encountered by phytoplankton mixed through the water column. The mean intensity depends on the incident irradiance (</w:t>
      </w:r>
      <w:r w:rsidRPr="00FB258E">
        <w:rPr>
          <w:i/>
          <w:szCs w:val="22"/>
          <w:lang w:val="en-US"/>
        </w:rPr>
        <w:t>Io</w:t>
      </w:r>
      <w:r w:rsidRPr="0040688F">
        <w:rPr>
          <w:iCs/>
          <w:szCs w:val="22"/>
          <w:lang w:val="en-US"/>
        </w:rPr>
        <w:t>), the vertical attenuation of light passing through the water column (</w:t>
      </w:r>
      <w:proofErr w:type="spellStart"/>
      <w:r w:rsidRPr="00FB258E">
        <w:rPr>
          <w:i/>
          <w:szCs w:val="22"/>
          <w:lang w:val="en-US"/>
        </w:rPr>
        <w:t>kd</w:t>
      </w:r>
      <w:proofErr w:type="spellEnd"/>
      <w:r w:rsidRPr="0040688F">
        <w:rPr>
          <w:iCs/>
          <w:szCs w:val="22"/>
          <w:lang w:val="en-US"/>
        </w:rPr>
        <w:t>), and the average depth (</w:t>
      </w:r>
      <w:proofErr w:type="spellStart"/>
      <w:r w:rsidRPr="00FB258E">
        <w:rPr>
          <w:i/>
          <w:szCs w:val="22"/>
          <w:lang w:val="en-US"/>
        </w:rPr>
        <w:t>zave</w:t>
      </w:r>
      <w:proofErr w:type="spellEnd"/>
      <w:r w:rsidRPr="0040688F">
        <w:rPr>
          <w:iCs/>
          <w:szCs w:val="22"/>
          <w:lang w:val="en-US"/>
        </w:rPr>
        <w:t>). If the average depth is greater than the depth of the illuminated surface layer, then the mean irradiance (</w:t>
      </w:r>
      <w:proofErr w:type="spellStart"/>
      <w:r w:rsidRPr="0040688F">
        <w:rPr>
          <w:i/>
          <w:iCs/>
          <w:szCs w:val="22"/>
          <w:lang w:val="en-US"/>
        </w:rPr>
        <w:t>Im</w:t>
      </w:r>
      <w:proofErr w:type="spellEnd"/>
      <w:r w:rsidRPr="0040688F">
        <w:rPr>
          <w:iCs/>
          <w:szCs w:val="22"/>
          <w:lang w:val="en-US"/>
        </w:rPr>
        <w:t>) is given by (Oliver and Merrick 2006):</w:t>
      </w:r>
    </w:p>
    <w:p w14:paraId="4BBC9DE5" w14:textId="77777777" w:rsidR="00456CBA" w:rsidRPr="0040688F" w:rsidRDefault="00456CBA" w:rsidP="00456CBA">
      <w:pPr>
        <w:pStyle w:val="ListParagraph"/>
        <w:ind w:left="0"/>
        <w:rPr>
          <w:iCs/>
          <w:szCs w:val="22"/>
          <w:lang w:val="en-US"/>
        </w:rPr>
      </w:pPr>
    </w:p>
    <w:p w14:paraId="1E023AB4" w14:textId="77777777" w:rsidR="00456CBA" w:rsidRPr="0040688F" w:rsidRDefault="00456CBA" w:rsidP="00456CBA">
      <w:pPr>
        <w:pStyle w:val="ListParagraph"/>
        <w:ind w:left="0"/>
        <w:rPr>
          <w:iCs/>
          <w:szCs w:val="22"/>
          <w:lang w:val="en-US"/>
        </w:rPr>
      </w:pPr>
      <m:oMathPara>
        <m:oMath>
          <m:r>
            <w:rPr>
              <w:rFonts w:ascii="Cambria Math" w:hAnsi="Cambria Math"/>
              <w:szCs w:val="22"/>
              <w:lang w:val="en-US"/>
            </w:rPr>
            <m:t>Im=</m:t>
          </m:r>
          <m:f>
            <m:fPr>
              <m:ctrlPr>
                <w:rPr>
                  <w:rFonts w:ascii="Cambria Math" w:hAnsi="Cambria Math"/>
                  <w:i/>
                  <w:iCs/>
                  <w:szCs w:val="22"/>
                  <w:lang w:val="en-US"/>
                </w:rPr>
              </m:ctrlPr>
            </m:fPr>
            <m:num>
              <m:r>
                <w:rPr>
                  <w:rFonts w:ascii="Cambria Math" w:hAnsi="Cambria Math"/>
                  <w:szCs w:val="22"/>
                  <w:lang w:val="en-US"/>
                </w:rPr>
                <m:t>Io</m:t>
              </m:r>
            </m:num>
            <m:den>
              <m:r>
                <w:rPr>
                  <w:rFonts w:ascii="Cambria Math" w:hAnsi="Cambria Math"/>
                  <w:szCs w:val="22"/>
                  <w:lang w:val="en-US"/>
                </w:rPr>
                <m:t>kd*zave</m:t>
              </m:r>
            </m:den>
          </m:f>
          <m:r>
            <w:rPr>
              <w:rFonts w:ascii="Cambria Math" w:hAnsi="Cambria Math"/>
              <w:szCs w:val="22"/>
              <w:lang w:val="en-US"/>
            </w:rPr>
            <m:t xml:space="preserve">                    </m:t>
          </m:r>
          <m:d>
            <m:dPr>
              <m:ctrlPr>
                <w:rPr>
                  <w:rFonts w:ascii="Cambria Math" w:hAnsi="Cambria Math"/>
                  <w:i/>
                  <w:iCs/>
                  <w:szCs w:val="22"/>
                  <w:lang w:val="en-US"/>
                </w:rPr>
              </m:ctrlPr>
            </m:dPr>
            <m:e>
              <m:r>
                <w:rPr>
                  <w:rFonts w:ascii="Cambria Math" w:hAnsi="Cambria Math"/>
                  <w:szCs w:val="22"/>
                  <w:lang w:val="en-US"/>
                </w:rPr>
                <m:t>1</m:t>
              </m:r>
            </m:e>
          </m:d>
        </m:oMath>
      </m:oMathPara>
    </w:p>
    <w:p w14:paraId="5692BD11" w14:textId="77777777" w:rsidR="00456CBA" w:rsidRPr="001C3B25" w:rsidRDefault="00456CBA" w:rsidP="00456CBA">
      <w:pPr>
        <w:rPr>
          <w:highlight w:val="yellow"/>
        </w:rPr>
      </w:pPr>
    </w:p>
    <w:p w14:paraId="566C1F6C" w14:textId="77777777" w:rsidR="00456CBA" w:rsidRPr="001E2D7F" w:rsidRDefault="00456CBA" w:rsidP="00456CBA">
      <w:r w:rsidRPr="001E2D7F">
        <w:rPr>
          <w:szCs w:val="22"/>
        </w:rPr>
        <w:t>T</w:t>
      </w:r>
      <w:r w:rsidRPr="001E2D7F">
        <w:rPr>
          <w:iCs/>
          <w:szCs w:val="22"/>
          <w:lang w:val="en-US"/>
        </w:rPr>
        <w:t xml:space="preserve">he amount of phytoplankton present was estimated from the chlorophyll concentration. </w:t>
      </w:r>
      <w:r w:rsidRPr="001E2D7F">
        <w:rPr>
          <w:lang w:val="en-US"/>
        </w:rPr>
        <w:t xml:space="preserve">Rates of GPP were </w:t>
      </w:r>
      <w:proofErr w:type="spellStart"/>
      <w:r w:rsidRPr="001E2D7F">
        <w:rPr>
          <w:lang w:val="en-US"/>
        </w:rPr>
        <w:t>standardised</w:t>
      </w:r>
      <w:proofErr w:type="spellEnd"/>
      <w:r w:rsidRPr="001E2D7F">
        <w:rPr>
          <w:lang w:val="en-US"/>
        </w:rPr>
        <w:t xml:space="preserve"> to chlorophyll concentrations (GPP(b)) and compared with the corresponding mean irradiances </w:t>
      </w:r>
      <w:proofErr w:type="spellStart"/>
      <w:r w:rsidRPr="001E2D7F">
        <w:rPr>
          <w:i/>
          <w:lang w:val="en-US"/>
        </w:rPr>
        <w:t>Im</w:t>
      </w:r>
      <w:proofErr w:type="spellEnd"/>
      <w:r w:rsidRPr="001E2D7F">
        <w:rPr>
          <w:lang w:val="en-US"/>
        </w:rPr>
        <w:t xml:space="preserve">. The relative changes in GPP(b) due to Commonwealth environmental water, and total environmental water were calculated from the </w:t>
      </w:r>
      <w:r>
        <w:rPr>
          <w:lang w:val="en-US"/>
        </w:rPr>
        <w:t xml:space="preserve">changes in </w:t>
      </w:r>
      <w:proofErr w:type="spellStart"/>
      <w:r w:rsidRPr="0040688F">
        <w:rPr>
          <w:i/>
          <w:iCs/>
          <w:szCs w:val="22"/>
          <w:lang w:val="en-US"/>
        </w:rPr>
        <w:t>Im</w:t>
      </w:r>
      <w:proofErr w:type="spellEnd"/>
      <w:r w:rsidRPr="001E2D7F">
        <w:rPr>
          <w:lang w:val="en-US"/>
        </w:rPr>
        <w:t xml:space="preserve"> resulting from these flows. Conversion of modelled GPP(b) estimates to GPP requires knowledge of the chlorophyll concentration. </w:t>
      </w:r>
      <w:r>
        <w:rPr>
          <w:lang w:val="en-US"/>
        </w:rPr>
        <w:t>I</w:t>
      </w:r>
      <w:r w:rsidRPr="001E2D7F">
        <w:rPr>
          <w:lang w:val="en-US"/>
        </w:rPr>
        <w:t xml:space="preserve">t is assumed that the chlorophyll concentration on each day remains the same with and without environmental flows, </w:t>
      </w:r>
      <w:r>
        <w:rPr>
          <w:lang w:val="en-US"/>
        </w:rPr>
        <w:t>and</w:t>
      </w:r>
      <w:r w:rsidRPr="001E2D7F">
        <w:rPr>
          <w:lang w:val="en-US"/>
        </w:rPr>
        <w:t xml:space="preserve"> relative changes in GPP(b) and GPP are equivalent.</w:t>
      </w:r>
      <w:r>
        <w:rPr>
          <w:lang w:val="en-US"/>
        </w:rPr>
        <w:t xml:space="preserve"> This assumption is necessary as predicting the chlorophyll concentrations of the counterfactual flows is not possible, in part because the relative contributions of different water sources to these flows is unknown.</w:t>
      </w:r>
    </w:p>
    <w:p w14:paraId="0CFE61CE" w14:textId="5D38DE45" w:rsidR="00456CBA" w:rsidRPr="001E2D7F" w:rsidRDefault="00456CBA" w:rsidP="00456CBA">
      <w:r w:rsidRPr="001E2D7F">
        <w:rPr>
          <w:lang w:val="en-US"/>
        </w:rPr>
        <w:t xml:space="preserve">The contributions to ER by photosynthetic and heterotrophic microbiota was investigated using multiple regression of </w:t>
      </w:r>
      <w:r>
        <w:rPr>
          <w:lang w:val="en-US"/>
        </w:rPr>
        <w:t>potential</w:t>
      </w:r>
      <w:r w:rsidRPr="001E2D7F">
        <w:rPr>
          <w:lang w:val="en-US"/>
        </w:rPr>
        <w:t xml:space="preserve"> respiratory sources. GPP provided a measure of the organic carbon produced by photosynthesis, which is a major source of phytoplankton respiration (</w:t>
      </w:r>
      <w:proofErr w:type="spellStart"/>
      <w:r w:rsidRPr="001E2D7F">
        <w:rPr>
          <w:lang w:val="en-US"/>
        </w:rPr>
        <w:t>Beardall</w:t>
      </w:r>
      <w:proofErr w:type="spellEnd"/>
      <w:r w:rsidRPr="001E2D7F">
        <w:rPr>
          <w:lang w:val="en-US"/>
        </w:rPr>
        <w:t xml:space="preserve"> and Raven 1990)</w:t>
      </w:r>
      <w:r>
        <w:rPr>
          <w:lang w:val="en-US"/>
        </w:rPr>
        <w:t>, while</w:t>
      </w:r>
      <w:r w:rsidRPr="001E2D7F">
        <w:rPr>
          <w:lang w:val="en-US"/>
        </w:rPr>
        <w:t xml:space="preserve"> </w:t>
      </w:r>
      <w:r w:rsidR="005E53ED">
        <w:rPr>
          <w:lang w:val="en-US"/>
        </w:rPr>
        <w:t>dissolved organic carbon (</w:t>
      </w:r>
      <w:r w:rsidRPr="001E2D7F">
        <w:rPr>
          <w:lang w:val="en-US"/>
        </w:rPr>
        <w:t>DOC</w:t>
      </w:r>
      <w:r w:rsidR="005E53ED">
        <w:rPr>
          <w:lang w:val="en-US"/>
        </w:rPr>
        <w:t xml:space="preserve">) </w:t>
      </w:r>
      <w:r w:rsidRPr="001E2D7F">
        <w:rPr>
          <w:lang w:val="en-US"/>
        </w:rPr>
        <w:t xml:space="preserve">concentrations provided a measure of the resource supply for respiration of heterotrophic microbes. Previous analyses identified these as major contributors to ER (Ye </w:t>
      </w:r>
      <w:r w:rsidRPr="009D6230">
        <w:rPr>
          <w:i/>
          <w:iCs/>
          <w:lang w:val="en-US"/>
        </w:rPr>
        <w:t>et al.</w:t>
      </w:r>
      <w:r w:rsidRPr="001E2D7F">
        <w:rPr>
          <w:lang w:val="en-US"/>
        </w:rPr>
        <w:t xml:space="preserve"> 20</w:t>
      </w:r>
      <w:r>
        <w:rPr>
          <w:lang w:val="en-US"/>
        </w:rPr>
        <w:t>20</w:t>
      </w:r>
      <w:r w:rsidRPr="001E2D7F">
        <w:rPr>
          <w:lang w:val="en-US"/>
        </w:rPr>
        <w:t xml:space="preserve">). Respiration rates were averaged for each three-day period before and after the field sampling dates </w:t>
      </w:r>
      <w:r>
        <w:rPr>
          <w:lang w:val="en-US"/>
        </w:rPr>
        <w:t xml:space="preserve">to align with </w:t>
      </w:r>
      <w:r w:rsidRPr="001E2D7F">
        <w:rPr>
          <w:lang w:val="en-US"/>
        </w:rPr>
        <w:t xml:space="preserve">water quality data and compared with similarly averaged GPP rates. Averaging helps to account for </w:t>
      </w:r>
      <w:r>
        <w:rPr>
          <w:lang w:val="en-US"/>
        </w:rPr>
        <w:t xml:space="preserve">lagged </w:t>
      </w:r>
      <w:r w:rsidRPr="001E2D7F">
        <w:rPr>
          <w:lang w:val="en-US"/>
        </w:rPr>
        <w:t xml:space="preserve">metabolic interactions such as respiration rate being influenced by the GPP of the preceding day. </w:t>
      </w:r>
    </w:p>
    <w:p w14:paraId="15FAE113" w14:textId="6B4E5F1E" w:rsidR="00456CBA" w:rsidRPr="00840257" w:rsidRDefault="00456CBA" w:rsidP="00456CBA">
      <w:pPr>
        <w:rPr>
          <w:lang w:val="en-US"/>
        </w:rPr>
      </w:pPr>
      <w:r>
        <w:rPr>
          <w:iCs/>
          <w:szCs w:val="22"/>
          <w:lang w:val="en-US"/>
        </w:rPr>
        <w:t>O</w:t>
      </w:r>
      <w:r w:rsidRPr="00840257">
        <w:rPr>
          <w:iCs/>
          <w:szCs w:val="22"/>
          <w:lang w:val="en-US"/>
        </w:rPr>
        <w:t>verall NEP was calculated as the difference between volumetric GPP and ER</w:t>
      </w:r>
      <w:r>
        <w:rPr>
          <w:iCs/>
          <w:szCs w:val="22"/>
          <w:lang w:val="en-US"/>
        </w:rPr>
        <w:t xml:space="preserve"> but is not considered an informative parameter</w:t>
      </w:r>
      <w:r w:rsidRPr="00840257">
        <w:rPr>
          <w:iCs/>
          <w:szCs w:val="22"/>
          <w:lang w:val="en-US"/>
        </w:rPr>
        <w:t xml:space="preserve">. </w:t>
      </w:r>
      <w:r w:rsidRPr="00840257">
        <w:rPr>
          <w:lang w:val="en-US"/>
        </w:rPr>
        <w:t>The phytoplankton net production (PNP) was calculated as the difference between the measured GPP and the estimated phytoplankton community respiration (PCR).</w:t>
      </w:r>
      <w:r>
        <w:rPr>
          <w:lang w:val="en-US"/>
        </w:rPr>
        <w:t xml:space="preserve"> M</w:t>
      </w:r>
      <w:r w:rsidRPr="00840257">
        <w:rPr>
          <w:lang w:val="en-US"/>
        </w:rPr>
        <w:t xml:space="preserve">etabolism measurements do not provide estimates of </w:t>
      </w:r>
      <w:r>
        <w:rPr>
          <w:lang w:val="en-US"/>
        </w:rPr>
        <w:t>the</w:t>
      </w:r>
      <w:r w:rsidRPr="009145F2">
        <w:rPr>
          <w:lang w:val="en-US"/>
        </w:rPr>
        <w:t xml:space="preserve"> </w:t>
      </w:r>
      <w:r w:rsidRPr="00840257">
        <w:rPr>
          <w:lang w:val="en-US"/>
        </w:rPr>
        <w:t>gross production</w:t>
      </w:r>
      <w:r w:rsidRPr="009145F2">
        <w:rPr>
          <w:lang w:val="en-US"/>
        </w:rPr>
        <w:t xml:space="preserve"> </w:t>
      </w:r>
      <w:r>
        <w:rPr>
          <w:lang w:val="en-US"/>
        </w:rPr>
        <w:t>of bacteria, and bacterial</w:t>
      </w:r>
      <w:r w:rsidRPr="00840257">
        <w:rPr>
          <w:lang w:val="en-US"/>
        </w:rPr>
        <w:t xml:space="preserve"> net production </w:t>
      </w:r>
      <w:r>
        <w:rPr>
          <w:lang w:val="en-US"/>
        </w:rPr>
        <w:t xml:space="preserve">rates </w:t>
      </w:r>
      <w:r w:rsidRPr="00840257">
        <w:rPr>
          <w:lang w:val="en-US"/>
        </w:rPr>
        <w:t>(BNP)</w:t>
      </w:r>
      <w:r w:rsidRPr="009145F2">
        <w:rPr>
          <w:lang w:val="en-US"/>
        </w:rPr>
        <w:t xml:space="preserve"> </w:t>
      </w:r>
      <w:r w:rsidRPr="00840257">
        <w:rPr>
          <w:lang w:val="en-US"/>
        </w:rPr>
        <w:t xml:space="preserve">were </w:t>
      </w:r>
      <w:r>
        <w:rPr>
          <w:lang w:val="en-US"/>
        </w:rPr>
        <w:t>determined from the</w:t>
      </w:r>
      <w:r w:rsidRPr="00840257">
        <w:rPr>
          <w:lang w:val="en-US"/>
        </w:rPr>
        <w:t xml:space="preserve"> relationship </w:t>
      </w:r>
      <w:r>
        <w:rPr>
          <w:lang w:val="en-US"/>
        </w:rPr>
        <w:t>between BNP, BCR and ba</w:t>
      </w:r>
      <w:r w:rsidRPr="00840257">
        <w:rPr>
          <w:lang w:val="en-US"/>
        </w:rPr>
        <w:t>cterial growth efficiency</w:t>
      </w:r>
      <w:r>
        <w:rPr>
          <w:lang w:val="en-US"/>
        </w:rPr>
        <w:t xml:space="preserve"> (BGE)</w:t>
      </w:r>
      <w:r w:rsidRPr="00840257">
        <w:rPr>
          <w:lang w:val="en-US"/>
        </w:rPr>
        <w:t>:</w:t>
      </w:r>
    </w:p>
    <w:p w14:paraId="54994315" w14:textId="77777777" w:rsidR="00456CBA" w:rsidRPr="00840257" w:rsidRDefault="00456CBA" w:rsidP="00456CBA">
      <w:pPr>
        <w:pStyle w:val="ListParagraph"/>
        <w:ind w:left="0"/>
        <w:rPr>
          <w:iCs/>
          <w:szCs w:val="21"/>
          <w:lang w:val="en-US"/>
        </w:rPr>
      </w:pPr>
    </w:p>
    <w:p w14:paraId="16AF6AC7" w14:textId="77777777" w:rsidR="00456CBA" w:rsidRPr="00840257" w:rsidRDefault="00456CBA" w:rsidP="00456CBA">
      <w:pPr>
        <w:pStyle w:val="ListParagraph"/>
        <w:ind w:left="0"/>
        <w:rPr>
          <w:iCs/>
          <w:szCs w:val="21"/>
          <w:lang w:val="en-US"/>
        </w:rPr>
      </w:pPr>
      <m:oMathPara>
        <m:oMath>
          <m:r>
            <w:rPr>
              <w:rFonts w:ascii="Cambria Math" w:hAnsi="Cambria Math"/>
              <w:szCs w:val="22"/>
              <w:lang w:val="en-US"/>
            </w:rPr>
            <m:t>BNP=</m:t>
          </m:r>
          <m:f>
            <m:fPr>
              <m:ctrlPr>
                <w:rPr>
                  <w:rFonts w:ascii="Cambria Math" w:hAnsi="Cambria Math"/>
                  <w:i/>
                  <w:iCs/>
                  <w:szCs w:val="22"/>
                  <w:lang w:val="en-US"/>
                </w:rPr>
              </m:ctrlPr>
            </m:fPr>
            <m:num>
              <m:r>
                <w:rPr>
                  <w:rFonts w:ascii="Cambria Math" w:hAnsi="Cambria Math"/>
                  <w:szCs w:val="22"/>
                  <w:lang w:val="en-US"/>
                </w:rPr>
                <m:t>BGE*BCR</m:t>
              </m:r>
            </m:num>
            <m:den>
              <m:r>
                <w:rPr>
                  <w:rFonts w:ascii="Cambria Math" w:hAnsi="Cambria Math"/>
                  <w:szCs w:val="22"/>
                  <w:lang w:val="en-US"/>
                </w:rPr>
                <m:t>1-BGE</m:t>
              </m:r>
            </m:den>
          </m:f>
          <m:r>
            <w:rPr>
              <w:rFonts w:ascii="Cambria Math" w:hAnsi="Cambria Math"/>
              <w:szCs w:val="22"/>
              <w:lang w:val="en-US"/>
            </w:rPr>
            <m:t xml:space="preserve">                          (2)</m:t>
          </m:r>
        </m:oMath>
      </m:oMathPara>
    </w:p>
    <w:p w14:paraId="62A00837" w14:textId="77777777" w:rsidR="00456CBA" w:rsidRPr="001C3B25" w:rsidRDefault="00456CBA" w:rsidP="00456CBA">
      <w:pPr>
        <w:pStyle w:val="ListParagraph"/>
        <w:ind w:left="0"/>
        <w:rPr>
          <w:iCs/>
          <w:szCs w:val="21"/>
          <w:highlight w:val="yellow"/>
          <w:lang w:val="en-US"/>
        </w:rPr>
      </w:pPr>
    </w:p>
    <w:p w14:paraId="30682177" w14:textId="69B3E1C5" w:rsidR="00456CBA" w:rsidRDefault="00456CBA" w:rsidP="00456CBA">
      <w:pPr>
        <w:rPr>
          <w:lang w:val="en-US"/>
        </w:rPr>
      </w:pPr>
      <w:r w:rsidRPr="00840257">
        <w:rPr>
          <w:lang w:val="en-US"/>
        </w:rPr>
        <w:t>The BGE is influenced by a range of environmental conditions including the chemical composition of DOC. However,</w:t>
      </w:r>
      <w:r w:rsidRPr="00840257">
        <w:rPr>
          <w:szCs w:val="21"/>
          <w:lang w:val="en-US"/>
        </w:rPr>
        <w:t xml:space="preserve"> </w:t>
      </w:r>
      <w:r w:rsidRPr="00840257">
        <w:rPr>
          <w:lang w:val="en-US"/>
        </w:rPr>
        <w:t>an average value of 0.2 was considered reasonable for the Murray River within its typical temperature range and water quality attributes (</w:t>
      </w:r>
      <w:r w:rsidR="005E53ED" w:rsidRPr="00840257">
        <w:rPr>
          <w:lang w:val="en-US"/>
        </w:rPr>
        <w:t>Rivkin and Legendre 2001</w:t>
      </w:r>
      <w:r w:rsidR="005E53ED">
        <w:rPr>
          <w:lang w:val="en-US"/>
        </w:rPr>
        <w:t xml:space="preserve">; </w:t>
      </w:r>
      <w:proofErr w:type="spellStart"/>
      <w:r w:rsidRPr="00840257">
        <w:rPr>
          <w:lang w:val="en-US"/>
        </w:rPr>
        <w:t>Marra</w:t>
      </w:r>
      <w:proofErr w:type="spellEnd"/>
      <w:r w:rsidRPr="00840257">
        <w:rPr>
          <w:lang w:val="en-US"/>
        </w:rPr>
        <w:t xml:space="preserve"> and Barber 2004; Berggren and del Giorgio 2015)</w:t>
      </w:r>
      <w:r>
        <w:rPr>
          <w:lang w:val="en-US"/>
        </w:rPr>
        <w:t>, and BNP was estimated as BCR/4.</w:t>
      </w:r>
    </w:p>
    <w:p w14:paraId="00882BAB" w14:textId="138E51EF" w:rsidR="00456CBA" w:rsidRDefault="00456CBA" w:rsidP="00456CBA">
      <w:pPr>
        <w:rPr>
          <w:lang w:val="en-US"/>
        </w:rPr>
      </w:pPr>
      <w:r w:rsidRPr="00DF109B">
        <w:rPr>
          <w:lang w:val="en-US"/>
        </w:rPr>
        <w:t>Hydrological modelling was used to estimate the flows that might have occurred if C</w:t>
      </w:r>
      <w:r>
        <w:rPr>
          <w:lang w:val="en-US"/>
        </w:rPr>
        <w:t>ommonwealth environmental water</w:t>
      </w:r>
      <w:r w:rsidRPr="00DF109B">
        <w:rPr>
          <w:lang w:val="en-US"/>
        </w:rPr>
        <w:t xml:space="preserve"> and </w:t>
      </w:r>
      <w:r>
        <w:rPr>
          <w:lang w:val="en-US"/>
        </w:rPr>
        <w:t>environmental water</w:t>
      </w:r>
      <w:r w:rsidRPr="00DF109B">
        <w:rPr>
          <w:lang w:val="en-US"/>
        </w:rPr>
        <w:t xml:space="preserve"> </w:t>
      </w:r>
      <w:r>
        <w:rPr>
          <w:lang w:val="en-US"/>
        </w:rPr>
        <w:t>had</w:t>
      </w:r>
      <w:r w:rsidRPr="00DF109B">
        <w:rPr>
          <w:lang w:val="en-US"/>
        </w:rPr>
        <w:t xml:space="preserve"> not </w:t>
      </w:r>
      <w:r>
        <w:rPr>
          <w:lang w:val="en-US"/>
        </w:rPr>
        <w:t>been delivered</w:t>
      </w:r>
      <w:r w:rsidRPr="00DF109B">
        <w:rPr>
          <w:lang w:val="en-US"/>
        </w:rPr>
        <w:t xml:space="preserve">. However, identifying the </w:t>
      </w:r>
      <w:r>
        <w:rPr>
          <w:lang w:val="en-US"/>
        </w:rPr>
        <w:t xml:space="preserve">water </w:t>
      </w:r>
      <w:r w:rsidRPr="00DF109B">
        <w:rPr>
          <w:lang w:val="en-US"/>
        </w:rPr>
        <w:t xml:space="preserve">sources </w:t>
      </w:r>
      <w:r>
        <w:rPr>
          <w:lang w:val="en-US"/>
        </w:rPr>
        <w:t xml:space="preserve">contributing to </w:t>
      </w:r>
      <w:r w:rsidRPr="00DF109B">
        <w:rPr>
          <w:lang w:val="en-US"/>
        </w:rPr>
        <w:t xml:space="preserve">these modelled flows </w:t>
      </w:r>
      <w:r>
        <w:rPr>
          <w:lang w:val="en-US"/>
        </w:rPr>
        <w:t>wa</w:t>
      </w:r>
      <w:r w:rsidRPr="00DF109B">
        <w:rPr>
          <w:lang w:val="en-US"/>
        </w:rPr>
        <w:t xml:space="preserve">s </w:t>
      </w:r>
      <w:r>
        <w:rPr>
          <w:lang w:val="en-US"/>
        </w:rPr>
        <w:t>not possible</w:t>
      </w:r>
      <w:r w:rsidRPr="00DF109B">
        <w:rPr>
          <w:lang w:val="en-US"/>
        </w:rPr>
        <w:t xml:space="preserve">, and so forecasting water quality characteristics such as turbidity and dissolved organic carbon, </w:t>
      </w:r>
      <w:r>
        <w:rPr>
          <w:lang w:val="en-US"/>
        </w:rPr>
        <w:t xml:space="preserve">or </w:t>
      </w:r>
      <w:r w:rsidRPr="00DF109B">
        <w:rPr>
          <w:lang w:val="en-US"/>
        </w:rPr>
        <w:t xml:space="preserve">biological attributes such as </w:t>
      </w:r>
      <w:r w:rsidR="003B7F79" w:rsidRPr="00DF109B">
        <w:rPr>
          <w:lang w:val="en-US"/>
        </w:rPr>
        <w:t xml:space="preserve">chlorophyll concentrations </w:t>
      </w:r>
      <w:r w:rsidR="003B7F79">
        <w:rPr>
          <w:lang w:val="en-US"/>
        </w:rPr>
        <w:t xml:space="preserve">could not be done, even though the analyses show these influence metabolism. </w:t>
      </w:r>
      <w:r w:rsidR="003B7F79" w:rsidRPr="00DF109B">
        <w:rPr>
          <w:lang w:val="en-US"/>
        </w:rPr>
        <w:t xml:space="preserve">To avoid this </w:t>
      </w:r>
      <w:r w:rsidR="003B7F79">
        <w:rPr>
          <w:lang w:val="en-US"/>
        </w:rPr>
        <w:t xml:space="preserve">issue </w:t>
      </w:r>
      <w:r w:rsidR="003B7F79" w:rsidRPr="00DF109B">
        <w:rPr>
          <w:lang w:val="en-US"/>
        </w:rPr>
        <w:t>and provide illustrative</w:t>
      </w:r>
      <w:r w:rsidR="003B7F79">
        <w:rPr>
          <w:lang w:val="en-US"/>
        </w:rPr>
        <w:t xml:space="preserve"> examples</w:t>
      </w:r>
      <w:r w:rsidR="003B7F79" w:rsidRPr="00DF109B">
        <w:rPr>
          <w:lang w:val="en-US"/>
        </w:rPr>
        <w:t xml:space="preserve"> of metabolic responses to flow changes, a simplifying scenario was adopted. </w:t>
      </w:r>
      <w:r w:rsidR="003B7F79">
        <w:rPr>
          <w:lang w:val="en-US"/>
        </w:rPr>
        <w:t>I</w:t>
      </w:r>
      <w:r w:rsidR="003B7F79" w:rsidRPr="00DF109B">
        <w:rPr>
          <w:lang w:val="en-US"/>
        </w:rPr>
        <w:t xml:space="preserve">t </w:t>
      </w:r>
      <w:r w:rsidR="003B7F79">
        <w:rPr>
          <w:lang w:val="en-US"/>
        </w:rPr>
        <w:t>was</w:t>
      </w:r>
      <w:r w:rsidR="003B7F79" w:rsidRPr="00DF109B">
        <w:rPr>
          <w:lang w:val="en-US"/>
        </w:rPr>
        <w:t xml:space="preserve"> </w:t>
      </w:r>
      <w:r w:rsidR="003B7F79">
        <w:rPr>
          <w:lang w:val="en-US"/>
        </w:rPr>
        <w:t>considered</w:t>
      </w:r>
      <w:r w:rsidR="003B7F79" w:rsidRPr="00DF109B">
        <w:rPr>
          <w:lang w:val="en-US"/>
        </w:rPr>
        <w:t xml:space="preserve"> that the mix of water sources remain</w:t>
      </w:r>
      <w:r w:rsidR="003B7F79">
        <w:rPr>
          <w:lang w:val="en-US"/>
        </w:rPr>
        <w:t>ed</w:t>
      </w:r>
      <w:r w:rsidR="003B7F79" w:rsidRPr="00DF109B">
        <w:rPr>
          <w:lang w:val="en-US"/>
        </w:rPr>
        <w:t xml:space="preserve"> the same</w:t>
      </w:r>
      <w:r w:rsidR="003B7F79">
        <w:rPr>
          <w:lang w:val="en-US"/>
        </w:rPr>
        <w:t xml:space="preserve"> without environmental flows</w:t>
      </w:r>
      <w:r w:rsidR="003B7F79" w:rsidRPr="007C275E">
        <w:rPr>
          <w:lang w:val="en-US"/>
        </w:rPr>
        <w:t xml:space="preserve"> </w:t>
      </w:r>
      <w:r w:rsidR="003B7F79">
        <w:rPr>
          <w:lang w:val="en-US"/>
        </w:rPr>
        <w:t xml:space="preserve">and </w:t>
      </w:r>
      <w:r w:rsidR="003B7F79" w:rsidRPr="00DF109B">
        <w:rPr>
          <w:lang w:val="en-US"/>
        </w:rPr>
        <w:t>their removal d</w:t>
      </w:r>
      <w:r w:rsidR="003B7F79">
        <w:rPr>
          <w:lang w:val="en-US"/>
        </w:rPr>
        <w:t>id</w:t>
      </w:r>
      <w:r w:rsidR="003B7F79" w:rsidRPr="00DF109B">
        <w:rPr>
          <w:lang w:val="en-US"/>
        </w:rPr>
        <w:t xml:space="preserve"> not have a major </w:t>
      </w:r>
      <w:r w:rsidR="003B7F79">
        <w:rPr>
          <w:lang w:val="en-US"/>
        </w:rPr>
        <w:t>effect</w:t>
      </w:r>
      <w:r w:rsidR="003B7F79" w:rsidRPr="00DF109B">
        <w:rPr>
          <w:lang w:val="en-US"/>
        </w:rPr>
        <w:t xml:space="preserve"> on water quality</w:t>
      </w:r>
      <w:r w:rsidR="003B7F79">
        <w:rPr>
          <w:lang w:val="en-US"/>
        </w:rPr>
        <w:t xml:space="preserve">. This </w:t>
      </w:r>
      <w:r w:rsidR="003B7F79" w:rsidRPr="00DF109B">
        <w:rPr>
          <w:lang w:val="en-US"/>
        </w:rPr>
        <w:t>rephras</w:t>
      </w:r>
      <w:r w:rsidR="003B7F79">
        <w:rPr>
          <w:lang w:val="en-US"/>
        </w:rPr>
        <w:t>es</w:t>
      </w:r>
      <w:r w:rsidR="003B7F79" w:rsidRPr="00DF109B">
        <w:rPr>
          <w:lang w:val="en-US"/>
        </w:rPr>
        <w:t xml:space="preserve"> the question to assessing the influence on metabolism of changing flows of matching water quality.</w:t>
      </w:r>
    </w:p>
    <w:p w14:paraId="02FFF5BF" w14:textId="77777777" w:rsidR="00456CBA" w:rsidRPr="00E35C12" w:rsidRDefault="00456CBA" w:rsidP="00456CBA">
      <w:pPr>
        <w:pStyle w:val="Heading3"/>
      </w:pPr>
      <w:r w:rsidRPr="00C53DC5">
        <w:t>Results</w:t>
      </w:r>
    </w:p>
    <w:p w14:paraId="308363D3" w14:textId="77777777" w:rsidR="00456CBA" w:rsidRDefault="00456CBA" w:rsidP="00456CBA">
      <w:pPr>
        <w:pStyle w:val="ListParagraph"/>
        <w:ind w:left="0"/>
        <w:rPr>
          <w:i/>
          <w:u w:val="single"/>
        </w:rPr>
      </w:pPr>
      <w:r>
        <w:rPr>
          <w:i/>
          <w:u w:val="single"/>
        </w:rPr>
        <w:t>Dissolved oxygen</w:t>
      </w:r>
    </w:p>
    <w:p w14:paraId="070DCE41" w14:textId="0991CE60" w:rsidR="00456CBA" w:rsidRPr="0040688F" w:rsidRDefault="00456CBA" w:rsidP="00741669">
      <w:pPr>
        <w:rPr>
          <w:lang w:val="en-US"/>
        </w:rPr>
      </w:pPr>
      <w:r w:rsidRPr="001C3B25">
        <w:rPr>
          <w:lang w:val="en-US"/>
        </w:rPr>
        <w:t xml:space="preserve">The time series of dissolved oxygen </w:t>
      </w:r>
      <w:r>
        <w:rPr>
          <w:lang w:val="en-US"/>
        </w:rPr>
        <w:t xml:space="preserve">(DO) </w:t>
      </w:r>
      <w:r w:rsidRPr="001C3B25">
        <w:rPr>
          <w:lang w:val="en-US"/>
        </w:rPr>
        <w:t>concentrations showed</w:t>
      </w:r>
      <w:r>
        <w:rPr>
          <w:lang w:val="en-US"/>
        </w:rPr>
        <w:t xml:space="preserve"> similar patterns across sites and were generally higher than saturation concentrations, indicating positive photosynthetic production (</w:t>
      </w:r>
      <w:r w:rsidR="00741669">
        <w:rPr>
          <w:highlight w:val="yellow"/>
          <w:lang w:val="en-US"/>
        </w:rPr>
        <w:fldChar w:fldCharType="begin"/>
      </w:r>
      <w:r w:rsidR="00741669">
        <w:rPr>
          <w:lang w:val="en-US"/>
        </w:rPr>
        <w:instrText xml:space="preserve"> REF _Ref59030272 \h </w:instrText>
      </w:r>
      <w:r w:rsidR="00741669">
        <w:rPr>
          <w:highlight w:val="yellow"/>
          <w:lang w:val="en-US"/>
        </w:rPr>
      </w:r>
      <w:r w:rsidR="00741669">
        <w:rPr>
          <w:highlight w:val="yellow"/>
          <w:lang w:val="en-US"/>
        </w:rPr>
        <w:fldChar w:fldCharType="separate"/>
      </w:r>
      <w:r w:rsidR="00AD0721" w:rsidRPr="00741669">
        <w:t xml:space="preserve">Figure </w:t>
      </w:r>
      <w:r w:rsidR="00AD0721">
        <w:rPr>
          <w:noProof/>
        </w:rPr>
        <w:t>15</w:t>
      </w:r>
      <w:r w:rsidR="00741669">
        <w:rPr>
          <w:highlight w:val="yellow"/>
          <w:lang w:val="en-US"/>
        </w:rPr>
        <w:fldChar w:fldCharType="end"/>
      </w:r>
      <w:r>
        <w:rPr>
          <w:lang w:val="en-US"/>
        </w:rPr>
        <w:t xml:space="preserve">). No consistent association was observed with flow, and the seasonal decline in DO concentration was attributed to the increasing water temperature. However, the high flow period in October appeared to slow the seasonal water temperature rise and </w:t>
      </w:r>
      <w:proofErr w:type="spellStart"/>
      <w:r>
        <w:rPr>
          <w:lang w:val="en-US"/>
        </w:rPr>
        <w:t>stabilised</w:t>
      </w:r>
      <w:proofErr w:type="spellEnd"/>
      <w:r>
        <w:rPr>
          <w:lang w:val="en-US"/>
        </w:rPr>
        <w:t xml:space="preserve"> the DO concentration over this period.</w:t>
      </w:r>
      <w:r w:rsidRPr="003021FC">
        <w:rPr>
          <w:lang w:val="en-US"/>
        </w:rPr>
        <w:t xml:space="preserve"> </w:t>
      </w:r>
    </w:p>
    <w:p w14:paraId="37AE4810" w14:textId="77777777" w:rsidR="00456CBA" w:rsidRPr="001C3B25" w:rsidRDefault="00456CBA" w:rsidP="00456CBA">
      <w:pPr>
        <w:pStyle w:val="ListParagraph"/>
        <w:ind w:left="0"/>
        <w:contextualSpacing w:val="0"/>
        <w:rPr>
          <w:iCs/>
          <w:szCs w:val="22"/>
          <w:lang w:val="en-US"/>
        </w:rPr>
      </w:pPr>
    </w:p>
    <w:p w14:paraId="340F6D59" w14:textId="77777777" w:rsidR="00456CBA" w:rsidRDefault="00456CBA" w:rsidP="00456CBA">
      <w:pPr>
        <w:pStyle w:val="ListParagraph"/>
        <w:ind w:left="0"/>
        <w:contextualSpacing w:val="0"/>
        <w:rPr>
          <w:iCs/>
          <w:szCs w:val="22"/>
          <w:lang w:val="en-US"/>
        </w:rPr>
      </w:pPr>
    </w:p>
    <w:p w14:paraId="4EE2B983" w14:textId="206F80BC" w:rsidR="00456CBA" w:rsidRDefault="003B7F79" w:rsidP="003B7F79">
      <w:pPr>
        <w:pStyle w:val="ListParagraph"/>
        <w:ind w:left="0"/>
        <w:jc w:val="center"/>
        <w:rPr>
          <w:iCs/>
          <w:szCs w:val="22"/>
          <w:lang w:val="en-US"/>
        </w:rPr>
      </w:pPr>
      <w:r w:rsidRPr="003B7F79">
        <w:rPr>
          <w:iCs/>
          <w:szCs w:val="22"/>
          <w:lang w:val="en-US"/>
        </w:rPr>
        <w:t xml:space="preserve"> </w:t>
      </w:r>
      <w:r w:rsidR="00EC715A">
        <w:rPr>
          <w:iCs/>
          <w:noProof/>
          <w:szCs w:val="22"/>
          <w:lang w:val="en-US"/>
        </w:rPr>
        <w:drawing>
          <wp:inline distT="0" distB="0" distL="0" distR="0" wp14:anchorId="70AA74AD" wp14:editId="564AFC85">
            <wp:extent cx="4791710" cy="636460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4791710" cy="6364605"/>
                    </a:xfrm>
                    <a:prstGeom prst="rect">
                      <a:avLst/>
                    </a:prstGeom>
                    <a:noFill/>
                  </pic:spPr>
                </pic:pic>
              </a:graphicData>
            </a:graphic>
          </wp:inline>
        </w:drawing>
      </w:r>
    </w:p>
    <w:p w14:paraId="3BBC0F15" w14:textId="6339E4DC" w:rsidR="00456CBA" w:rsidRPr="00741669" w:rsidRDefault="00C3722F" w:rsidP="00F8184E">
      <w:pPr>
        <w:pStyle w:val="Captions"/>
        <w:rPr>
          <w:iCs/>
          <w:szCs w:val="22"/>
        </w:rPr>
      </w:pPr>
      <w:bookmarkStart w:id="113" w:name="_Ref59030272"/>
      <w:bookmarkStart w:id="114" w:name="_Toc69387679"/>
      <w:r w:rsidRPr="00741669">
        <w:t xml:space="preserve">Figure </w:t>
      </w:r>
      <w:r w:rsidRPr="00741669">
        <w:fldChar w:fldCharType="begin"/>
      </w:r>
      <w:r w:rsidRPr="00741669">
        <w:instrText xml:space="preserve"> SEQ Figure \* ARABIC </w:instrText>
      </w:r>
      <w:r w:rsidRPr="00741669">
        <w:fldChar w:fldCharType="separate"/>
      </w:r>
      <w:r w:rsidR="00025EB2">
        <w:rPr>
          <w:noProof/>
        </w:rPr>
        <w:t>15</w:t>
      </w:r>
      <w:r w:rsidRPr="00741669">
        <w:fldChar w:fldCharType="end"/>
      </w:r>
      <w:bookmarkEnd w:id="113"/>
      <w:r w:rsidRPr="00741669">
        <w:t xml:space="preserve">. </w:t>
      </w:r>
      <w:r w:rsidR="00456CBA" w:rsidRPr="00741669">
        <w:t xml:space="preserve">Dissolved </w:t>
      </w:r>
      <w:r w:rsidR="00456CBA" w:rsidRPr="009A2686">
        <w:t>(</w:t>
      </w:r>
      <w:r w:rsidR="00040D61">
        <w:t xml:space="preserve">DO, </w:t>
      </w:r>
      <w:r w:rsidR="00456CBA" w:rsidRPr="00C3722F">
        <w:rPr>
          <w:color w:val="0070C0"/>
        </w:rPr>
        <w:t>●</w:t>
      </w:r>
      <w:r w:rsidR="00456CBA" w:rsidRPr="009A2686">
        <w:t>)</w:t>
      </w:r>
      <w:r w:rsidR="00456CBA">
        <w:t xml:space="preserve"> and</w:t>
      </w:r>
      <w:r w:rsidR="00456CBA" w:rsidRPr="009A2686">
        <w:t xml:space="preserve"> saturat</w:t>
      </w:r>
      <w:r w:rsidR="00456CBA">
        <w:t>ed (</w:t>
      </w:r>
      <w:r w:rsidR="00456CBA" w:rsidRPr="00C3722F">
        <w:rPr>
          <w:color w:val="ED7D31" w:themeColor="accent2"/>
        </w:rPr>
        <w:t>●</w:t>
      </w:r>
      <w:r w:rsidR="00456CBA">
        <w:t>)</w:t>
      </w:r>
      <w:r w:rsidR="00456CBA" w:rsidRPr="009A2686">
        <w:t xml:space="preserve"> oxygen concentration</w:t>
      </w:r>
      <w:r w:rsidR="00456CBA">
        <w:t xml:space="preserve">s, </w:t>
      </w:r>
      <w:r w:rsidR="00456CBA" w:rsidRPr="009A2686">
        <w:t>temperature</w:t>
      </w:r>
      <w:r w:rsidR="00456CBA">
        <w:t xml:space="preserve"> (</w:t>
      </w:r>
      <w:r w:rsidR="00456CBA" w:rsidRPr="00C3722F">
        <w:rPr>
          <w:color w:val="FFC000" w:themeColor="accent4"/>
        </w:rPr>
        <w:t>●</w:t>
      </w:r>
      <w:r w:rsidR="00456CBA">
        <w:t>)</w:t>
      </w:r>
      <w:r w:rsidR="00456CBA" w:rsidRPr="009A2686">
        <w:t xml:space="preserve"> and </w:t>
      </w:r>
      <w:r w:rsidR="00456CBA">
        <w:t xml:space="preserve">the daily </w:t>
      </w:r>
      <w:r w:rsidR="00456CBA" w:rsidRPr="009A2686">
        <w:t xml:space="preserve">discharge </w:t>
      </w:r>
      <w:r w:rsidR="00456CBA">
        <w:t>observed (</w:t>
      </w:r>
      <w:r w:rsidR="00456CBA" w:rsidRPr="00C3722F">
        <w:rPr>
          <w:color w:val="A6A6A6" w:themeColor="background1" w:themeShade="A6"/>
        </w:rPr>
        <w:t>●</w:t>
      </w:r>
      <w:r w:rsidR="00456CBA">
        <w:t>) and modelled without CEW (</w:t>
      </w:r>
      <w:r w:rsidR="00456CBA" w:rsidRPr="00C3722F">
        <w:rPr>
          <w:color w:val="5B9BD5" w:themeColor="accent1"/>
        </w:rPr>
        <w:t>●</w:t>
      </w:r>
      <w:r w:rsidR="00456CBA">
        <w:t>) and without environmental water (</w:t>
      </w:r>
      <w:r w:rsidR="00456CBA" w:rsidRPr="00C3722F">
        <w:rPr>
          <w:color w:val="70AD47" w:themeColor="accent6"/>
        </w:rPr>
        <w:t>●</w:t>
      </w:r>
      <w:r w:rsidR="00456CBA">
        <w:t xml:space="preserve">) </w:t>
      </w:r>
      <w:r w:rsidR="00456CBA" w:rsidRPr="009A2686">
        <w:t>at</w:t>
      </w:r>
      <w:r w:rsidR="00456CBA">
        <w:t xml:space="preserve"> </w:t>
      </w:r>
      <w:r w:rsidR="00456CBA" w:rsidRPr="009A2686">
        <w:t>Lock</w:t>
      </w:r>
      <w:r w:rsidR="00040D61">
        <w:t>s (Lk)</w:t>
      </w:r>
      <w:r w:rsidR="00456CBA" w:rsidRPr="009A2686">
        <w:t xml:space="preserve"> 6</w:t>
      </w:r>
      <w:r w:rsidR="003B7F79">
        <w:t>, 4 and 1</w:t>
      </w:r>
      <w:r w:rsidR="00456CBA" w:rsidRPr="009A2686">
        <w:t>.</w:t>
      </w:r>
      <w:bookmarkEnd w:id="114"/>
      <w:r w:rsidR="00456CBA" w:rsidRPr="009A2686">
        <w:t xml:space="preserve"> </w:t>
      </w:r>
    </w:p>
    <w:p w14:paraId="389B6B80" w14:textId="77777777" w:rsidR="00456CBA" w:rsidRPr="00227FE9" w:rsidRDefault="00456CBA" w:rsidP="00456CBA">
      <w:pPr>
        <w:pStyle w:val="ListParagraph"/>
        <w:ind w:left="0"/>
        <w:rPr>
          <w:i/>
          <w:u w:val="single"/>
        </w:rPr>
      </w:pPr>
      <w:r>
        <w:rPr>
          <w:i/>
          <w:u w:val="single"/>
        </w:rPr>
        <w:t>Water mixing, gas exchange and metabolism</w:t>
      </w:r>
    </w:p>
    <w:p w14:paraId="3D77E34B" w14:textId="2B1D675F" w:rsidR="00456CBA" w:rsidRDefault="00456CBA" w:rsidP="00456CBA">
      <w:pPr>
        <w:rPr>
          <w:lang w:val="en-US"/>
        </w:rPr>
      </w:pPr>
      <w:r>
        <w:rPr>
          <w:lang w:val="en-US"/>
        </w:rPr>
        <w:t xml:space="preserve">Low flows that result in reduced water velocities influence the reliability of metabolism estimates because turbulent mixing declines and the DO measurements no longer represent activity throughout the water column. This is demonstrated by the change in the gas exchange coefficient (k) in </w:t>
      </w:r>
      <w:r w:rsidR="00EF4FD8">
        <w:rPr>
          <w:lang w:val="en-US"/>
        </w:rPr>
        <w:t>response to average water velocity</w:t>
      </w:r>
      <w:r w:rsidR="009D6230">
        <w:rPr>
          <w:lang w:val="en-US"/>
        </w:rPr>
        <w:t>,</w:t>
      </w:r>
      <w:r w:rsidR="00EF4FD8">
        <w:rPr>
          <w:lang w:val="en-US"/>
        </w:rPr>
        <w:t xml:space="preserve"> calculated as the flow (m</w:t>
      </w:r>
      <w:r w:rsidR="00EF4FD8" w:rsidRPr="009D6230">
        <w:rPr>
          <w:vertAlign w:val="superscript"/>
          <w:lang w:val="en-US"/>
        </w:rPr>
        <w:t>3</w:t>
      </w:r>
      <w:r w:rsidR="00EF4FD8">
        <w:rPr>
          <w:lang w:val="en-US"/>
        </w:rPr>
        <w:t xml:space="preserve">/s) divided by the cross-sectional area </w:t>
      </w:r>
      <w:r>
        <w:rPr>
          <w:lang w:val="en-US"/>
        </w:rPr>
        <w:t>(</w:t>
      </w:r>
      <w:r w:rsidR="00741669">
        <w:rPr>
          <w:lang w:val="en-US"/>
        </w:rPr>
        <w:fldChar w:fldCharType="begin"/>
      </w:r>
      <w:r w:rsidR="00741669">
        <w:rPr>
          <w:lang w:val="en-US"/>
        </w:rPr>
        <w:instrText xml:space="preserve"> REF _Ref59030552 \h </w:instrText>
      </w:r>
      <w:r w:rsidR="00741669">
        <w:rPr>
          <w:lang w:val="en-US"/>
        </w:rPr>
      </w:r>
      <w:r w:rsidR="00741669">
        <w:rPr>
          <w:lang w:val="en-US"/>
        </w:rPr>
        <w:fldChar w:fldCharType="separate"/>
      </w:r>
      <w:r w:rsidR="00AD0721">
        <w:t xml:space="preserve">Figure </w:t>
      </w:r>
      <w:r w:rsidR="00AD0721">
        <w:rPr>
          <w:noProof/>
        </w:rPr>
        <w:t>16</w:t>
      </w:r>
      <w:r w:rsidR="00741669">
        <w:rPr>
          <w:lang w:val="en-US"/>
        </w:rPr>
        <w:fldChar w:fldCharType="end"/>
      </w:r>
      <w:r>
        <w:rPr>
          <w:lang w:val="en-US"/>
        </w:rPr>
        <w:t>). Although following different curves, the gas exchange coefficient reduces systematically at each site as velocity declines within the channel, until below ca. 0.18 m/s it becomes increasingly variable. This reflects the reduced influence of low velocities on turbulent mixing and the increased importance of daily meteorological conditions in modifying thermal and chemical stratification. The relatively consistent relationship between k and velocities above 0.18</w:t>
      </w:r>
      <w:r w:rsidR="00EF4FD8">
        <w:rPr>
          <w:lang w:val="en-US"/>
        </w:rPr>
        <w:t> </w:t>
      </w:r>
      <w:r>
        <w:rPr>
          <w:lang w:val="en-US"/>
        </w:rPr>
        <w:t>m/s breaks down once flows spread onto the floodplain, but this did not occur in the 2019-20 season.</w:t>
      </w:r>
    </w:p>
    <w:p w14:paraId="3B578D43" w14:textId="0FD939E4" w:rsidR="00456CBA" w:rsidRDefault="00456CBA" w:rsidP="00456CBA">
      <w:pPr>
        <w:pStyle w:val="ListParagraph"/>
        <w:ind w:left="0"/>
        <w:contextualSpacing w:val="0"/>
        <w:rPr>
          <w:iCs/>
          <w:szCs w:val="22"/>
          <w:lang w:val="en-US"/>
        </w:rPr>
      </w:pPr>
      <w:r>
        <w:rPr>
          <w:iCs/>
          <w:szCs w:val="22"/>
          <w:lang w:val="en-US"/>
        </w:rPr>
        <w:t>The magnitude of the gas exchange coefficient has an important influence on the likelihood of oxygen depletion. If the consumption of oxygen is greater than its resupply from the atmosphere, then the oxygen concentration falls until the consumption and resupply rates are in balance. Consequently, as flow and water velocity decline the respiration rates that can be offset by oxygen resupply also decline due to reductions in the gas exchange coefficient and can lead to deleterious oxygen concentrations. At Lock 6</w:t>
      </w:r>
      <w:r w:rsidR="0014354C">
        <w:rPr>
          <w:iCs/>
          <w:szCs w:val="22"/>
          <w:lang w:val="en-US"/>
        </w:rPr>
        <w:t>,</w:t>
      </w:r>
      <w:r>
        <w:rPr>
          <w:iCs/>
          <w:szCs w:val="22"/>
          <w:lang w:val="en-US"/>
        </w:rPr>
        <w:t xml:space="preserve"> velocities of 0.18 m/s occur at flows of 4,800 ML/d and 0.1 m/s at flows of 2,500 ML/d. </w:t>
      </w:r>
    </w:p>
    <w:p w14:paraId="28D31517" w14:textId="3DD3316D" w:rsidR="00456CBA" w:rsidRDefault="00456CBA" w:rsidP="00456CBA">
      <w:pPr>
        <w:pStyle w:val="ListParagraph"/>
        <w:ind w:left="0"/>
        <w:contextualSpacing w:val="0"/>
        <w:rPr>
          <w:iCs/>
          <w:szCs w:val="22"/>
          <w:lang w:val="en-US"/>
        </w:rPr>
      </w:pPr>
      <w:r>
        <w:rPr>
          <w:iCs/>
          <w:szCs w:val="22"/>
          <w:lang w:val="en-US"/>
        </w:rPr>
        <w:t>During September and early October 2019 at Lock 6 modelled flows without environmental water were half the observed flows and low enough to increase the likelihood of oxygen depletion, especially as temperatures increased (</w:t>
      </w:r>
      <w:r w:rsidR="00741669">
        <w:rPr>
          <w:iCs/>
          <w:szCs w:val="22"/>
          <w:lang w:val="en-US"/>
        </w:rPr>
        <w:fldChar w:fldCharType="begin"/>
      </w:r>
      <w:r w:rsidR="00741669">
        <w:rPr>
          <w:iCs/>
          <w:szCs w:val="22"/>
          <w:lang w:val="en-US"/>
        </w:rPr>
        <w:instrText xml:space="preserve"> REF _Ref59030272 \h </w:instrText>
      </w:r>
      <w:r w:rsidR="00741669">
        <w:rPr>
          <w:iCs/>
          <w:szCs w:val="22"/>
          <w:lang w:val="en-US"/>
        </w:rPr>
      </w:r>
      <w:r w:rsidR="00741669">
        <w:rPr>
          <w:iCs/>
          <w:szCs w:val="22"/>
          <w:lang w:val="en-US"/>
        </w:rPr>
        <w:fldChar w:fldCharType="separate"/>
      </w:r>
      <w:r w:rsidR="00AD0721" w:rsidRPr="00741669">
        <w:t xml:space="preserve">Figure </w:t>
      </w:r>
      <w:r w:rsidR="00AD0721">
        <w:rPr>
          <w:noProof/>
        </w:rPr>
        <w:t>15</w:t>
      </w:r>
      <w:r w:rsidR="00741669">
        <w:rPr>
          <w:iCs/>
          <w:szCs w:val="22"/>
          <w:lang w:val="en-US"/>
        </w:rPr>
        <w:fldChar w:fldCharType="end"/>
      </w:r>
      <w:r>
        <w:rPr>
          <w:iCs/>
          <w:szCs w:val="22"/>
          <w:lang w:val="en-US"/>
        </w:rPr>
        <w:t>). It was considered that environmental water contributed to the maintenance of DO concentrations during this period. In late October and during November</w:t>
      </w:r>
      <w:r w:rsidR="0014354C">
        <w:rPr>
          <w:iCs/>
          <w:szCs w:val="22"/>
          <w:lang w:val="en-US"/>
        </w:rPr>
        <w:t>,</w:t>
      </w:r>
      <w:r>
        <w:rPr>
          <w:iCs/>
          <w:szCs w:val="22"/>
          <w:lang w:val="en-US"/>
        </w:rPr>
        <w:t xml:space="preserve"> flows were at similar levels to September and oxygen depletion was considered likely based on water velocities, but there was no problematic oxygen depletion, suggesting low respiration rates were offset by the low gas exchange rates.</w:t>
      </w:r>
    </w:p>
    <w:p w14:paraId="44DCCD5A" w14:textId="77777777" w:rsidR="00456CBA" w:rsidRDefault="00456CBA" w:rsidP="00456CBA">
      <w:pPr>
        <w:pStyle w:val="ListParagraph"/>
        <w:ind w:left="0"/>
        <w:rPr>
          <w:iCs/>
          <w:szCs w:val="22"/>
          <w:lang w:val="en-US"/>
        </w:rPr>
      </w:pPr>
      <w:r>
        <w:rPr>
          <w:iCs/>
          <w:noProof/>
          <w:szCs w:val="22"/>
          <w:lang w:val="en-US"/>
        </w:rPr>
        <w:drawing>
          <wp:inline distT="0" distB="0" distL="0" distR="0" wp14:anchorId="2B299B52" wp14:editId="590D9682">
            <wp:extent cx="5344354" cy="3210894"/>
            <wp:effectExtent l="0" t="0" r="8890" b="889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a:picLocks noChangeAspect="1" noChangeArrowheads="1"/>
                    </pic:cNvPicPr>
                  </pic:nvPicPr>
                  <pic:blipFill>
                    <a:blip r:embed="rId53" cstate="email">
                      <a:extLst>
                        <a:ext uri="{28A0092B-C50C-407E-A947-70E740481C1C}">
                          <a14:useLocalDpi xmlns:a14="http://schemas.microsoft.com/office/drawing/2010/main"/>
                        </a:ext>
                      </a:extLst>
                    </a:blip>
                    <a:stretch>
                      <a:fillRect/>
                    </a:stretch>
                  </pic:blipFill>
                  <pic:spPr bwMode="auto">
                    <a:xfrm>
                      <a:off x="0" y="0"/>
                      <a:ext cx="5344354" cy="3210894"/>
                    </a:xfrm>
                    <a:prstGeom prst="rect">
                      <a:avLst/>
                    </a:prstGeom>
                    <a:noFill/>
                  </pic:spPr>
                </pic:pic>
              </a:graphicData>
            </a:graphic>
          </wp:inline>
        </w:drawing>
      </w:r>
    </w:p>
    <w:p w14:paraId="65BEBFCC" w14:textId="2EEC0845" w:rsidR="00456CBA" w:rsidRDefault="00741669" w:rsidP="00741669">
      <w:pPr>
        <w:pStyle w:val="Caption"/>
      </w:pPr>
      <w:bookmarkStart w:id="115" w:name="_Ref59030552"/>
      <w:bookmarkStart w:id="116" w:name="_Toc69387680"/>
      <w:r>
        <w:t xml:space="preserve">Figure </w:t>
      </w:r>
      <w:r w:rsidR="006C38E9">
        <w:fldChar w:fldCharType="begin"/>
      </w:r>
      <w:r w:rsidR="006C38E9">
        <w:instrText xml:space="preserve"> SEQ Figure \* ARABIC </w:instrText>
      </w:r>
      <w:r w:rsidR="006C38E9">
        <w:fldChar w:fldCharType="separate"/>
      </w:r>
      <w:r w:rsidR="00025EB2">
        <w:rPr>
          <w:noProof/>
        </w:rPr>
        <w:t>16</w:t>
      </w:r>
      <w:r w:rsidR="006C38E9">
        <w:rPr>
          <w:noProof/>
        </w:rPr>
        <w:fldChar w:fldCharType="end"/>
      </w:r>
      <w:bookmarkEnd w:id="115"/>
      <w:r>
        <w:t xml:space="preserve">. </w:t>
      </w:r>
      <w:r w:rsidR="00456CBA" w:rsidRPr="005A1619">
        <w:t xml:space="preserve">The </w:t>
      </w:r>
      <w:r w:rsidR="00456CBA">
        <w:t xml:space="preserve">relationship between the </w:t>
      </w:r>
      <w:r w:rsidR="00456CBA" w:rsidRPr="005A1619">
        <w:t xml:space="preserve">gas exchange coefficient </w:t>
      </w:r>
      <w:r w:rsidR="00456CBA">
        <w:t>(k) and</w:t>
      </w:r>
      <w:r w:rsidR="00456CBA" w:rsidRPr="005A1619">
        <w:t xml:space="preserve"> water velocit</w:t>
      </w:r>
      <w:r w:rsidR="00456CBA">
        <w:t xml:space="preserve">y at </w:t>
      </w:r>
      <w:r w:rsidR="00456CBA" w:rsidRPr="00C3722F">
        <w:rPr>
          <w:szCs w:val="20"/>
        </w:rPr>
        <w:t>Lock 6 (</w:t>
      </w:r>
      <w:r w:rsidR="00456CBA" w:rsidRPr="00C3722F">
        <w:rPr>
          <w:color w:val="0070C0"/>
          <w:szCs w:val="20"/>
        </w:rPr>
        <w:t>●</w:t>
      </w:r>
      <w:r w:rsidR="00456CBA" w:rsidRPr="00C3722F">
        <w:rPr>
          <w:szCs w:val="20"/>
        </w:rPr>
        <w:t>), Lock 4 (</w:t>
      </w:r>
      <w:r w:rsidR="00456CBA" w:rsidRPr="00C3722F">
        <w:rPr>
          <w:color w:val="808080" w:themeColor="background1" w:themeShade="80"/>
          <w:szCs w:val="20"/>
        </w:rPr>
        <w:t>●</w:t>
      </w:r>
      <w:r w:rsidR="00456CBA" w:rsidRPr="00C3722F">
        <w:rPr>
          <w:szCs w:val="20"/>
        </w:rPr>
        <w:t>) and Lock 1 (</w:t>
      </w:r>
      <w:r w:rsidR="00456CBA" w:rsidRPr="00C3722F">
        <w:rPr>
          <w:color w:val="ED7D31" w:themeColor="accent2"/>
          <w:szCs w:val="20"/>
        </w:rPr>
        <w:t>●</w:t>
      </w:r>
      <w:r w:rsidR="00456CBA" w:rsidRPr="00C3722F">
        <w:rPr>
          <w:szCs w:val="20"/>
        </w:rPr>
        <w:t>) during 2019-</w:t>
      </w:r>
      <w:r w:rsidR="00456CBA">
        <w:t>20.</w:t>
      </w:r>
      <w:bookmarkEnd w:id="116"/>
    </w:p>
    <w:p w14:paraId="61D0E799" w14:textId="77777777" w:rsidR="00456CBA" w:rsidRDefault="00456CBA" w:rsidP="00456CBA">
      <w:pPr>
        <w:pStyle w:val="ListParagraph"/>
        <w:ind w:left="0"/>
        <w:rPr>
          <w:lang w:val="en-US"/>
        </w:rPr>
      </w:pPr>
    </w:p>
    <w:p w14:paraId="2651C767" w14:textId="77777777" w:rsidR="00456CBA" w:rsidRDefault="00456CBA" w:rsidP="00456CBA">
      <w:pPr>
        <w:pStyle w:val="ListParagraph"/>
        <w:ind w:left="0"/>
        <w:rPr>
          <w:i/>
          <w:u w:val="single"/>
        </w:rPr>
      </w:pPr>
      <w:r w:rsidRPr="00E35C12">
        <w:rPr>
          <w:i/>
          <w:u w:val="single"/>
        </w:rPr>
        <w:t>Daily metabolic rates</w:t>
      </w:r>
    </w:p>
    <w:p w14:paraId="2A5B86B2" w14:textId="35EB22AA" w:rsidR="00456CBA" w:rsidRDefault="00456CBA" w:rsidP="00456CBA">
      <w:pPr>
        <w:rPr>
          <w:lang w:val="en-US"/>
        </w:rPr>
      </w:pPr>
      <w:r w:rsidRPr="00A763B3">
        <w:rPr>
          <w:lang w:val="en-US"/>
        </w:rPr>
        <w:t>Patterns of daily GPP</w:t>
      </w:r>
      <w:r>
        <w:rPr>
          <w:lang w:val="en-US"/>
        </w:rPr>
        <w:t xml:space="preserve"> (photosynthesis)</w:t>
      </w:r>
      <w:r w:rsidRPr="00A763B3">
        <w:rPr>
          <w:lang w:val="en-US"/>
        </w:rPr>
        <w:t xml:space="preserve"> and </w:t>
      </w:r>
      <w:r>
        <w:rPr>
          <w:lang w:val="en-US"/>
        </w:rPr>
        <w:t>E</w:t>
      </w:r>
      <w:r w:rsidRPr="00A763B3">
        <w:rPr>
          <w:lang w:val="en-US"/>
        </w:rPr>
        <w:t>R</w:t>
      </w:r>
      <w:r>
        <w:rPr>
          <w:lang w:val="en-US"/>
        </w:rPr>
        <w:t xml:space="preserve"> (respiration)</w:t>
      </w:r>
      <w:r w:rsidRPr="00A763B3">
        <w:rPr>
          <w:lang w:val="en-US"/>
        </w:rPr>
        <w:t xml:space="preserve"> </w:t>
      </w:r>
      <w:r>
        <w:rPr>
          <w:lang w:val="en-US"/>
        </w:rPr>
        <w:t>were similar across sites over the monitoring period (</w:t>
      </w:r>
      <w:r w:rsidR="00741669">
        <w:rPr>
          <w:lang w:val="en-US"/>
        </w:rPr>
        <w:fldChar w:fldCharType="begin"/>
      </w:r>
      <w:r w:rsidR="00741669">
        <w:rPr>
          <w:lang w:val="en-US"/>
        </w:rPr>
        <w:instrText xml:space="preserve"> REF _Ref59030607 \h </w:instrText>
      </w:r>
      <w:r w:rsidR="00741669">
        <w:rPr>
          <w:lang w:val="en-US"/>
        </w:rPr>
      </w:r>
      <w:r w:rsidR="00741669">
        <w:rPr>
          <w:lang w:val="en-US"/>
        </w:rPr>
        <w:fldChar w:fldCharType="separate"/>
      </w:r>
      <w:r w:rsidR="00AD0721">
        <w:t xml:space="preserve">Figure </w:t>
      </w:r>
      <w:r w:rsidR="00AD0721">
        <w:rPr>
          <w:noProof/>
        </w:rPr>
        <w:t>17</w:t>
      </w:r>
      <w:r w:rsidR="00741669">
        <w:rPr>
          <w:lang w:val="en-US"/>
        </w:rPr>
        <w:fldChar w:fldCharType="end"/>
      </w:r>
      <w:r>
        <w:rPr>
          <w:lang w:val="en-US"/>
        </w:rPr>
        <w:t xml:space="preserve">) and comparable with rates measured in previous years (Ye </w:t>
      </w:r>
      <w:r w:rsidRPr="009D6230">
        <w:rPr>
          <w:i/>
          <w:iCs/>
          <w:lang w:val="en-US"/>
        </w:rPr>
        <w:t>et al.</w:t>
      </w:r>
      <w:r>
        <w:rPr>
          <w:lang w:val="en-US"/>
        </w:rPr>
        <w:t xml:space="preserve"> 2020). A spike in metabolic activity in January at the Lock 1 site requires further investigation as it is suspected biofouling. </w:t>
      </w:r>
    </w:p>
    <w:p w14:paraId="144B310F" w14:textId="77E9ADF4" w:rsidR="00456CBA" w:rsidRDefault="00456CBA" w:rsidP="00456CBA">
      <w:pPr>
        <w:pStyle w:val="ListParagraph"/>
        <w:ind w:left="0"/>
        <w:contextualSpacing w:val="0"/>
        <w:rPr>
          <w:iCs/>
          <w:szCs w:val="22"/>
          <w:lang w:val="en-US"/>
        </w:rPr>
      </w:pPr>
      <w:r>
        <w:rPr>
          <w:iCs/>
          <w:szCs w:val="22"/>
          <w:lang w:val="en-US"/>
        </w:rPr>
        <w:t>Despite large fluctuations in discharge (</w:t>
      </w:r>
      <w:r w:rsidR="00741669">
        <w:rPr>
          <w:iCs/>
          <w:szCs w:val="22"/>
          <w:lang w:val="en-US"/>
        </w:rPr>
        <w:fldChar w:fldCharType="begin"/>
      </w:r>
      <w:r w:rsidR="00741669">
        <w:rPr>
          <w:iCs/>
          <w:szCs w:val="22"/>
          <w:lang w:val="en-US"/>
        </w:rPr>
        <w:instrText xml:space="preserve"> REF _Ref59030272 \h </w:instrText>
      </w:r>
      <w:r w:rsidR="00741669">
        <w:rPr>
          <w:iCs/>
          <w:szCs w:val="22"/>
          <w:lang w:val="en-US"/>
        </w:rPr>
      </w:r>
      <w:r w:rsidR="00741669">
        <w:rPr>
          <w:iCs/>
          <w:szCs w:val="22"/>
          <w:lang w:val="en-US"/>
        </w:rPr>
        <w:fldChar w:fldCharType="separate"/>
      </w:r>
      <w:r w:rsidR="00AD0721" w:rsidRPr="00741669">
        <w:t xml:space="preserve">Figure </w:t>
      </w:r>
      <w:r w:rsidR="00AD0721">
        <w:rPr>
          <w:noProof/>
        </w:rPr>
        <w:t>15</w:t>
      </w:r>
      <w:r w:rsidR="00741669">
        <w:rPr>
          <w:iCs/>
          <w:szCs w:val="22"/>
          <w:lang w:val="en-US"/>
        </w:rPr>
        <w:fldChar w:fldCharType="end"/>
      </w:r>
      <w:r>
        <w:rPr>
          <w:iCs/>
          <w:szCs w:val="22"/>
          <w:lang w:val="en-US"/>
        </w:rPr>
        <w:t xml:space="preserve">), volumetric rates of metabolism over the monitoring period seemed largely unaffected by flows. GPP ranged from 1 to </w:t>
      </w:r>
      <w:r w:rsidR="00EF4FD8">
        <w:rPr>
          <w:iCs/>
          <w:szCs w:val="22"/>
          <w:lang w:val="en-US"/>
        </w:rPr>
        <w:t>5</w:t>
      </w:r>
      <w:r>
        <w:rPr>
          <w:iCs/>
          <w:szCs w:val="22"/>
          <w:lang w:val="en-US"/>
        </w:rPr>
        <w:t xml:space="preserve"> mgO</w:t>
      </w:r>
      <w:r w:rsidRPr="00BC4730">
        <w:rPr>
          <w:iCs/>
          <w:szCs w:val="22"/>
          <w:vertAlign w:val="subscript"/>
          <w:lang w:val="en-US"/>
        </w:rPr>
        <w:t>2</w:t>
      </w:r>
      <w:r>
        <w:rPr>
          <w:iCs/>
          <w:szCs w:val="22"/>
          <w:lang w:val="en-US"/>
        </w:rPr>
        <w:t>/L/d, gradually increasing over the monitoring season, and was mirrored by changes in ER. If it is assumed that ER was largely associated with phytoplankton, then the average daily NEP (mgO</w:t>
      </w:r>
      <w:r w:rsidRPr="00BC4730">
        <w:rPr>
          <w:iCs/>
          <w:szCs w:val="22"/>
          <w:vertAlign w:val="subscript"/>
          <w:lang w:val="en-US"/>
        </w:rPr>
        <w:t>2</w:t>
      </w:r>
      <w:r>
        <w:rPr>
          <w:iCs/>
          <w:szCs w:val="22"/>
          <w:lang w:val="en-US"/>
        </w:rPr>
        <w:t>/L/d) calculated as the difference in GPP and ER, was 0.54 at Lock 6, 0.23 at Lock 4, and 0.47 at Lock 1. The cumulative NEP over the monitoring period was 83, 34 and 69 mgO</w:t>
      </w:r>
      <w:r w:rsidRPr="009A2686">
        <w:rPr>
          <w:iCs/>
          <w:szCs w:val="22"/>
          <w:vertAlign w:val="subscript"/>
          <w:lang w:val="en-US"/>
        </w:rPr>
        <w:t>2</w:t>
      </w:r>
      <w:r>
        <w:rPr>
          <w:iCs/>
          <w:szCs w:val="22"/>
          <w:lang w:val="en-US"/>
        </w:rPr>
        <w:t xml:space="preserve">/L, or approximately 31, 13 and 26 </w:t>
      </w:r>
      <w:proofErr w:type="spellStart"/>
      <w:r>
        <w:rPr>
          <w:iCs/>
          <w:szCs w:val="22"/>
          <w:lang w:val="en-US"/>
        </w:rPr>
        <w:t>mgC</w:t>
      </w:r>
      <w:proofErr w:type="spellEnd"/>
      <w:r>
        <w:rPr>
          <w:iCs/>
          <w:szCs w:val="22"/>
          <w:lang w:val="en-US"/>
        </w:rPr>
        <w:t xml:space="preserve">/L respectively. </w:t>
      </w:r>
    </w:p>
    <w:p w14:paraId="2B3BFC31" w14:textId="4C29D888" w:rsidR="00456CBA" w:rsidRDefault="00315346" w:rsidP="00A00A6E">
      <w:pPr>
        <w:pStyle w:val="ListParagraph"/>
        <w:ind w:left="0"/>
        <w:contextualSpacing w:val="0"/>
        <w:jc w:val="center"/>
        <w:rPr>
          <w:iCs/>
          <w:szCs w:val="22"/>
          <w:lang w:val="en-US"/>
        </w:rPr>
      </w:pPr>
      <w:r>
        <w:rPr>
          <w:iCs/>
          <w:noProof/>
          <w:szCs w:val="22"/>
          <w:lang w:val="en-US"/>
        </w:rPr>
        <mc:AlternateContent>
          <mc:Choice Requires="wpg">
            <w:drawing>
              <wp:inline distT="0" distB="0" distL="0" distR="0" wp14:anchorId="0DACCB22" wp14:editId="6C3BC60D">
                <wp:extent cx="5097145" cy="3256915"/>
                <wp:effectExtent l="0" t="0" r="8255" b="635"/>
                <wp:docPr id="85" name="Group 85"/>
                <wp:cNvGraphicFramePr/>
                <a:graphic xmlns:a="http://schemas.openxmlformats.org/drawingml/2006/main">
                  <a:graphicData uri="http://schemas.microsoft.com/office/word/2010/wordprocessingGroup">
                    <wpg:wgp>
                      <wpg:cNvGrpSpPr/>
                      <wpg:grpSpPr>
                        <a:xfrm>
                          <a:off x="0" y="0"/>
                          <a:ext cx="5097145" cy="3256915"/>
                          <a:chOff x="0" y="0"/>
                          <a:chExt cx="5097145" cy="3256915"/>
                        </a:xfrm>
                      </wpg:grpSpPr>
                      <pic:pic xmlns:pic="http://schemas.openxmlformats.org/drawingml/2006/picture">
                        <pic:nvPicPr>
                          <pic:cNvPr id="39" name="Picture 3">
                            <a:extLst>
                              <a:ext uri="{FF2B5EF4-FFF2-40B4-BE49-F238E27FC236}">
                                <a16:creationId xmlns:a16="http://schemas.microsoft.com/office/drawing/2014/main" id="{FDDF9C84-490D-4DA2-A2F9-B2AEBEA4C25A}"/>
                              </a:ext>
                            </a:extLst>
                          </pic:cNvPr>
                          <pic:cNvPicPr/>
                        </pic:nvPicPr>
                        <pic:blipFill rotWithShape="1">
                          <a:blip r:embed="rId54" cstate="email">
                            <a:extLst>
                              <a:ext uri="{28A0092B-C50C-407E-A947-70E740481C1C}">
                                <a14:useLocalDpi xmlns:a14="http://schemas.microsoft.com/office/drawing/2010/main"/>
                              </a:ext>
                            </a:extLst>
                          </a:blip>
                          <a:srcRect/>
                          <a:stretch/>
                        </pic:blipFill>
                        <pic:spPr bwMode="auto">
                          <a:xfrm>
                            <a:off x="3895725" y="1628775"/>
                            <a:ext cx="1201420" cy="245110"/>
                          </a:xfrm>
                          <a:prstGeom prst="rect">
                            <a:avLst/>
                          </a:prstGeom>
                          <a:noFill/>
                        </pic:spPr>
                      </pic:pic>
                      <pic:pic xmlns:pic="http://schemas.openxmlformats.org/drawingml/2006/picture">
                        <pic:nvPicPr>
                          <pic:cNvPr id="40" name="Picture 4">
                            <a:extLst>
                              <a:ext uri="{FF2B5EF4-FFF2-40B4-BE49-F238E27FC236}">
                                <a16:creationId xmlns:a16="http://schemas.microsoft.com/office/drawing/2014/main" id="{5B4F4DE8-8AD4-49FB-9B2D-37E8402696F9}"/>
                              </a:ext>
                            </a:extLst>
                          </pic:cNvPr>
                          <pic:cNvPicPr/>
                        </pic:nvPicPr>
                        <pic:blipFill rotWithShape="1">
                          <a:blip r:embed="rId55" cstate="email">
                            <a:extLst>
                              <a:ext uri="{28A0092B-C50C-407E-A947-70E740481C1C}">
                                <a14:useLocalDpi xmlns:a14="http://schemas.microsoft.com/office/drawing/2010/main"/>
                              </a:ext>
                            </a:extLst>
                          </a:blip>
                          <a:srcRect/>
                          <a:stretch/>
                        </pic:blipFill>
                        <pic:spPr bwMode="auto">
                          <a:xfrm>
                            <a:off x="3895725" y="619125"/>
                            <a:ext cx="1201420" cy="334010"/>
                          </a:xfrm>
                          <a:prstGeom prst="rect">
                            <a:avLst/>
                          </a:prstGeom>
                          <a:noFill/>
                        </pic:spPr>
                      </pic:pic>
                      <pic:pic xmlns:pic="http://schemas.openxmlformats.org/drawingml/2006/picture">
                        <pic:nvPicPr>
                          <pic:cNvPr id="42" name="Picture 5">
                            <a:extLst>
                              <a:ext uri="{FF2B5EF4-FFF2-40B4-BE49-F238E27FC236}">
                                <a16:creationId xmlns:a16="http://schemas.microsoft.com/office/drawing/2014/main" id="{CBE78DDB-D3EE-429E-A982-C7955C25D1A7}"/>
                              </a:ext>
                            </a:extLst>
                          </pic:cNvPr>
                          <pic:cNvPicPr/>
                        </pic:nvPicPr>
                        <pic:blipFill rotWithShape="1">
                          <a:blip r:embed="rId56" cstate="email">
                            <a:extLst>
                              <a:ext uri="{28A0092B-C50C-407E-A947-70E740481C1C}">
                                <a14:useLocalDpi xmlns:a14="http://schemas.microsoft.com/office/drawing/2010/main"/>
                              </a:ext>
                            </a:extLst>
                          </a:blip>
                          <a:srcRect/>
                          <a:stretch/>
                        </pic:blipFill>
                        <pic:spPr bwMode="auto">
                          <a:xfrm>
                            <a:off x="3895725" y="1171575"/>
                            <a:ext cx="1201420" cy="233680"/>
                          </a:xfrm>
                          <a:prstGeom prst="rect">
                            <a:avLst/>
                          </a:prstGeom>
                          <a:noFill/>
                        </pic:spPr>
                      </pic:pic>
                      <pic:pic xmlns:pic="http://schemas.openxmlformats.org/drawingml/2006/picture">
                        <pic:nvPicPr>
                          <pic:cNvPr id="44" name="Picture 6">
                            <a:extLst>
                              <a:ext uri="{FF2B5EF4-FFF2-40B4-BE49-F238E27FC236}">
                                <a16:creationId xmlns:a16="http://schemas.microsoft.com/office/drawing/2014/main" id="{039A21BF-CC05-4076-B13F-ED58B6D6BA05}"/>
                              </a:ext>
                            </a:extLst>
                          </pic:cNvPr>
                          <pic:cNvPicPr/>
                        </pic:nvPicPr>
                        <pic:blipFill rotWithShape="1">
                          <a:blip r:embed="rId57" cstate="email">
                            <a:extLst>
                              <a:ext uri="{28A0092B-C50C-407E-A947-70E740481C1C}">
                                <a14:useLocalDpi xmlns:a14="http://schemas.microsoft.com/office/drawing/2010/main"/>
                              </a:ext>
                            </a:extLst>
                          </a:blip>
                          <a:srcRect/>
                          <a:stretch/>
                        </pic:blipFill>
                        <pic:spPr bwMode="auto">
                          <a:xfrm>
                            <a:off x="3895725" y="2085975"/>
                            <a:ext cx="1201420" cy="233680"/>
                          </a:xfrm>
                          <a:prstGeom prst="rect">
                            <a:avLst/>
                          </a:prstGeom>
                          <a:noFill/>
                        </pic:spPr>
                      </pic:pic>
                      <pic:pic xmlns:pic="http://schemas.openxmlformats.org/drawingml/2006/picture">
                        <pic:nvPicPr>
                          <pic:cNvPr id="47" name="Picture 7">
                            <a:extLst>
                              <a:ext uri="{FF2B5EF4-FFF2-40B4-BE49-F238E27FC236}">
                                <a16:creationId xmlns:a16="http://schemas.microsoft.com/office/drawing/2014/main" id="{80F9A20E-8CD5-43B8-8CED-54BA438C3FD7}"/>
                              </a:ext>
                            </a:extLst>
                          </pic:cNvPr>
                          <pic:cNvPicPr/>
                        </pic:nvPicPr>
                        <pic:blipFill rotWithShape="1">
                          <a:blip r:embed="rId58" cstate="email">
                            <a:extLst>
                              <a:ext uri="{28A0092B-C50C-407E-A947-70E740481C1C}">
                                <a14:useLocalDpi xmlns:a14="http://schemas.microsoft.com/office/drawing/2010/main"/>
                              </a:ext>
                            </a:extLst>
                          </a:blip>
                          <a:srcRect/>
                          <a:stretch/>
                        </pic:blipFill>
                        <pic:spPr bwMode="auto">
                          <a:xfrm>
                            <a:off x="3895725" y="1876425"/>
                            <a:ext cx="1201420" cy="222885"/>
                          </a:xfrm>
                          <a:prstGeom prst="rect">
                            <a:avLst/>
                          </a:prstGeom>
                          <a:noFill/>
                        </pic:spPr>
                      </pic:pic>
                      <pic:pic xmlns:pic="http://schemas.openxmlformats.org/drawingml/2006/picture">
                        <pic:nvPicPr>
                          <pic:cNvPr id="57" name="Picture 8">
                            <a:extLst>
                              <a:ext uri="{FF2B5EF4-FFF2-40B4-BE49-F238E27FC236}">
                                <a16:creationId xmlns:a16="http://schemas.microsoft.com/office/drawing/2014/main" id="{A306E5F9-3F9D-4470-BDAE-B9B05B86CC5E}"/>
                              </a:ext>
                            </a:extLst>
                          </pic:cNvPr>
                          <pic:cNvPicPr/>
                        </pic:nvPicPr>
                        <pic:blipFill rotWithShape="1">
                          <a:blip r:embed="rId59" cstate="email">
                            <a:extLst>
                              <a:ext uri="{28A0092B-C50C-407E-A947-70E740481C1C}">
                                <a14:useLocalDpi xmlns:a14="http://schemas.microsoft.com/office/drawing/2010/main"/>
                              </a:ext>
                            </a:extLst>
                          </a:blip>
                          <a:srcRect/>
                          <a:stretch/>
                        </pic:blipFill>
                        <pic:spPr bwMode="auto">
                          <a:xfrm>
                            <a:off x="3895725" y="952500"/>
                            <a:ext cx="1201420" cy="222885"/>
                          </a:xfrm>
                          <a:prstGeom prst="rect">
                            <a:avLst/>
                          </a:prstGeom>
                          <a:noFill/>
                        </pic:spPr>
                      </pic:pic>
                      <pic:pic xmlns:pic="http://schemas.openxmlformats.org/drawingml/2006/picture">
                        <pic:nvPicPr>
                          <pic:cNvPr id="84" name="Picture 9">
                            <a:extLst>
                              <a:ext uri="{FF2B5EF4-FFF2-40B4-BE49-F238E27FC236}">
                                <a16:creationId xmlns:a16="http://schemas.microsoft.com/office/drawing/2014/main" id="{9C715565-1B0A-460E-8726-6CF394EA5448}"/>
                              </a:ext>
                            </a:extLst>
                          </pic:cNvPr>
                          <pic:cNvPicPr/>
                        </pic:nvPicPr>
                        <pic:blipFill rotWithShape="1">
                          <a:blip r:embed="rId60" cstate="email">
                            <a:extLst>
                              <a:ext uri="{28A0092B-C50C-407E-A947-70E740481C1C}">
                                <a14:useLocalDpi xmlns:a14="http://schemas.microsoft.com/office/drawing/2010/main"/>
                              </a:ext>
                            </a:extLst>
                          </a:blip>
                          <a:srcRect/>
                          <a:stretch/>
                        </pic:blipFill>
                        <pic:spPr bwMode="auto">
                          <a:xfrm>
                            <a:off x="0" y="0"/>
                            <a:ext cx="4105275" cy="3256915"/>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w:pict>
              <v:group w14:anchorId="1ED7B2A9" id="Group 85" o:spid="_x0000_s1026" style="width:401.35pt;height:256.45pt;mso-position-horizontal-relative:char;mso-position-vertical-relative:line" coordsize="50971,325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VmElawMAAIoTAAAOAAAAZHJzL2Uyb0RvYy54bWzsmEtv4yAQgO8r7X9A&#10;vre2Mfilpr10t1ppH9U+tGdCcIzWNgiTpv33O4CTbpPuuz1EyiGOMTDMDB8zwNnFbd+hG2FGqYZZ&#10;lJ4mERIDVws5LGfRl8+vT8oIjZYNC9apQcyiOzFGF+cvX5ytdS2walW3EAaBkGGs13oWtdbqOo5H&#10;3oqejadKiwEqG2V6ZqFolvHCsDVI77sYJ0ker5VZaKO4GEf4ehkqo3Mvv2kEtx+aZhQWdbMIdLP+&#10;afxz7p7x+Rmrl4bpVvJJDfYPWvRMDjDoVtQlswytjNwT1Utu1Kgae8pVH6umkVx4G8CaNNmx5sqo&#10;lfa2LOv1Um/dBK7d8dM/i+Xvb64NkotZVNIIDayHOfLDIiiDc9Z6WUObK6M/6WszfViGkrP3tjG9&#10;+wdL0K13693WreLWIg4faVIVKQHxHOoyTPMq9bJZzVuYnb1+vH31m57xZuDY6bdVR0tew2/yE7zt&#10;+en3PEEvuzIimoT0fySjZ+bbSp/AlGpm5Vx20t55PGHynFLDzbXk1yYU7l2eVRuXQ7UbFWXO566H&#10;a+S6QDF25QcS5p3Ur2XXIaPsV2nbTy3TMG+pJ9BVTsoD5zucPGJ/YPBS8VUvBhsWlREd2KGGsZV6&#10;jJCpRT8XwIh5s0idhqweDf8Ii8stq6IoM+yXVkYIJhGChUXLBCY8tLRGWN5uDNnoHswcASo0X79T&#10;C9CfrazyJuxAlZUVLTDwA/ikOS6LYhK9ASyFtUMwLG8HGCY0Tf3C3lLCam1GeyVUj9wL2AGq+5HY&#10;zdvROtXumzjrBuXcu1HZKTlNA0xFUBxeDgYzAp4JKxuQ8piRg8YMk9KtHMAsJ2WFnwOzPK1SIM4D&#10;/ChlWUYgXrsGR8pC/iAQAx5S5v3ngtdBBjOCKc5DMEtwSIYQ9p42mKVFSn8dzLIsL4+YeYImzCDB&#10;PMQsP+hgRhOaZh4zgnFVPkcww0lJqyNmf7U1I8UuZsVBY5bnmIacifOy8vn/yaNZWeQQNAPBjyZN&#10;jHEZIukxaYZoRvcw8xHgYJMmLWkCu03YmmUkp8+CWUWxG+PnW7MjZfdHyOlov5czq0MLZnCUxQSi&#10;R5j3/9+GAaT7FxUkTSiGRLl7UfEE0YrV3fDwZBm++MP97gHT32rAhY8/XEyXU+5G6ccyvP94hXb+&#10;HQAA//8DAFBLAwQKAAAAAAAAACEAz83x2RG4AAARuAAAFAAAAGRycy9tZWRpYS9pbWFnZTEucG5n&#10;iVBORw0KGgoAAAANSUhEUgAAAu0AAAHCCAYAAABbrPcZAAAAAXNSR0IArs4c6QAAAARnQU1BAACx&#10;jwv8YQUAAAAJcEhZcwAAFxEAABcRAcom8z8AALemSURBVHhe7f0LsBVV2vcJfjEdPTExMR09t56Z&#10;iJnomOiY6Z6Yie6O773V2/XWV19VvVVWWdbNKkulvCve7yKUoKJgISgiiqAICgoKIoqilCIqKIoX&#10;9BWKQijvvIAieMT73aoc/3n2P/ez11mZa51z9j47d+b/F/HEOTt37ks+e+XK/3ryWc/6D4kQQggh&#10;hBCi1Ei0CyGEEEIIUXIk2oUQQgghhCg5Eu1CCCGEEEKUHIl2IYQQQgghSo5EuxBCCCGEECVHol0I&#10;IYQQQoiSI9EuhBBCCCFEyZFoF0IIIYQQouRItAshhBBCCFFyJNqFEEIIIYQoORLtQgghhBBClByJ&#10;diGEEEIIIUqORLsQQgghhBAlR6JdCCGEEEKIkiPRLoQQQgghRMmRaPfQ19eXLFy4MBk1alRqGzZs&#10;aDzTZN26ddnzrh155JHJK6+80thTCCGEEEKI4SHRbvj6669bxDpNol0IIYQQQnQTiXbD9u3bU8G9&#10;cuXKZPPmzZkILxLt48ePTz7//PPGViGEEEIIIdqPRHsOEPAS7UIIIYQQogxItOcg0S6EEEIIIcqC&#10;RHsOsaLdtcmTJye7du1q7CWEEEIIIcTwkWjPYaiineZ7zXD5D//hP+TaSy+9JJPJZDJZT5sQIh+J&#10;9hxCot0FlWeWLl2avabdaTM+oW7N1/nJZDKZTNZrJoTwI9Gew2BFO/jiiy+SM844I33Nsccem3zw&#10;wQeNZ4YPxbkoRp1+GPkoDvkpjHwUh/wUh/wkRDFSgTkMV7R3KtIuilGnH0Y+ikN+CiMfxSE/xSE/&#10;CVGMVGAORaId4nzq1KnJ+vXrG1sGpsfMmDGj8Ux7kGiPQ51+GPkoDvkpjHwUh/wUh/wkRDFSgYa9&#10;e/cmo0ePzoS3a4ye24i6zzpRBlKiPQ51+mHkozjkpzDyURzyUxzykxDFSAUaYkU76OvrSxYuXNiy&#10;/5gxY9Loe7sFO5Boj0Odfhj5KA75KYx8FIf8FIf8JEQxUoE9gkR7HOr0w8hHcchPYeSjOOSnOOQn&#10;IYqRCuwRJNrjUKcfRj6KQ34KIx/FIT/FIT8JUYxUYI8g0R6HOv0w8lEc8lMY+SgO+SkO+UmIYqQC&#10;ewSJ9jjU6YeRj+KQn8LIR3HIT3HIT0IUIxXYI0i0x6FOP4x8FIf8FEY+ikN+ikN+EqIYqcAeQaI9&#10;DnX6YeSjOOSnMPJRHPJTHPKTEMVIBfYIEu1xqNMPIx/FIT+FkY/ikJ/ikJ+EKEYqsEeQaI9DnX4Y&#10;+SgO+SmMfBSH/BSH/CREMVKBPYJEexzq9MPIR3HIT2HkozjkpzjkJyGKkQrsESTa41CnH0Y+ikN+&#10;CiMfxSE/xSE/CVGMVGCPINEehzr9MPJRHPJTGPkoDvkpDvlJiGKkAnsEifY41OmHkY/ikJ/CyEdx&#10;yE9xyE9CFCMV2CNItMehTj+MfBSH/BRGPopDfopDfhKiGKnAHkGiPQ51+mHkozjkpzDyURzyUxzy&#10;kxDFSAX2CBLtcajTDyMfxSE/hZGP4pCf4pCfhChGKrBHkGiPQ51+GPkoDvkpjHwUh/wUh/wkRDFS&#10;gT2CRHsc6vTDyEdxyE9h5KM45Kc45CchipEK7BEk2uNQpx9GPopDfgojH8UhP8UhPwlRjFRgjyDR&#10;Hoc6/TDyURzyUxj5KA75KQ75SYhipAJ7BIn2ONTph5GP4pCfwgzHR1++vCH5cMGJyWcblze2VBe1&#10;pTjkJyGKkQrsESTa41CnH0Y+ikN+CjMcH71/7cHJuxf/x2T/pG8lf/vsw8bWaqK2FIf8JEQxUoE9&#10;gkR7HOr0w8hHcchPYYbjIwh22lc7tzS2VhO1pTjkJyGKkQrsESTa41CnH0Y+ikN+CjNUH/31vTdb&#10;RPvnL6xsPFNN1JbikJ+EKEYqsEeQaI9DnX4Y+SgO+SnMUH305evPtYj2T9fMajxTTdSW4pCfhChG&#10;KrBHkGiPQ51+GPkoDvkpzFB9hMi6Fe0fLTmv8Uw1UVuKQ34SohipwB5Boj0Odfph5KM45KcwQ/UR&#10;IutWtGNSapVRW4pDfhKiGKnAHkGiPQ51+mHkozjkpzBD9dHHd17QItpRQabKqC3FIT8JUYxUYI8g&#10;0R6HOv0w8lEc8lOYofrog3lHt4h22NfvvNF4tnqoLcUhPwlRTClV4N/+9rfkq6++Sv+KfiTa41Cn&#10;H0Y+ikN+CjNUH713xQ8HiPYvtq1tPFs91JbikJ+EKKaUKvDTTz9NVq5cmWzYsCHp6+tLPvvss9oL&#10;eIn2ONTph5GP4pCfwgzFR3/76osBgh322VO3NfaoHmpLcchPQhRTShX4wQcfJGPHjk2OOuqo5Nhj&#10;j00uueSSZP369cm7775bWwEv0R6HOv0w8lEc8lOYofgIaTA+0f7JfVMae1QPtaU45CchiimlCvz4&#10;44+T2bNnJ8cdd1xyxBFHJL/73e/SvxDwEydOrKWAl2iPQ51+GPkoDvkpzFB89OXLGzKhvn/Kd7P/&#10;kedeVdSW4pCfhCimlCoQQvyLL75I3nzzzeShhx5KJk2alJxwwglp5P3II49MjjnmmGT06NEtEXik&#10;1Pz1r39tvEP1kGiPQ51+GPkoDvkpzFB89NnG5ZlQR312/o8896qithSH/CREMT2hAr/++us0ZebB&#10;Bx9MLrroojTyDvGO6Dvs+OOPT7c/9thj6b5VRKI9DnX6YeSjOOSnMEPxka3R/un6BS3R9qqithSH&#10;/CREMaVXgRDhSIN54403kgULFiRHH310JtgZdYeIx/ZTTz012bt3b+OV1UKiPQ51+mHkozjkpzBD&#10;8ZGt0f75ltXJJw9clf5f5VVR1ZbikJ+EKKaUKhDpMZ9//nmyc+fO5NZbb01OOumkNJ991KhRqUBH&#10;ZP20005L7r333uTll19OFi1alKbLnHHGGRLtNUedfhj5KA75KcxQfGRrtH+1c0tja7VRW4pDfhKi&#10;mFKqQHciKiLqsBNPPDGZO3du8sorr6T7MBXmyy+/TD766KNk165dSo+pOer0w8hHcchPYYbiI1uj&#10;/a8f9TW2Vhu1pTjkJyGKKaUKRP76mDFjsnz1Sy+9NHnqqadSoQ6BXkck2uNQpx9GPopDfgozWB/Z&#10;Gu37J32rsbX6qC3FIT8JUUwpVeAnn3yS3HTTTcl9992XvPfee7UV6haJ9jjU6YeRj+KQn8IM1ke2&#10;Rvv71x7c2Fp91JbikJ+EKKaUKhA57RDqmICKUo7IU9+xY0c6GRX2+uuvp39R6lF12oVFnX4Y+SgO&#10;+SnMYH1ka7R/uOj0xtbqo7YUh/wkRDGlVYGYiHrbbbelk1CR2440GfxFtRj8Rd32s88+u7ITT10k&#10;2uNQpx9GPopDfgozWB/ZGu1VXgHVRW0pDvlJiGJKG2lfu3ZtKtAxARUVY7gqKg0LLZ155pkS7aIF&#10;dfph5KM45Kcwg/WRW6O9LqgtxSE/CVFMKVUgUmKuvvrqtMQjVkNdvXp1WoMd0fY1a9YkU6dOTQX9&#10;Aw88UNlqMS4S7XGo0w8jH8UhP4UZrI/cGu11QW0pDvlJiGJKqQJRPebcc89NTj755GT37t3Jhx9+&#10;mD5Gqsy+ffvS+u2oyQ5Bj33rgER7HOr0w8hHcchPYQbrozrWaAdqS3HIT0IUU2rRfsopp6STTVFN&#10;BiUgIdrffvvttCY7RfyePXsar6o2Eu1xqNMPIx/FIT+FGayP9k/5biba61KjHagtxSE/CVFMKVUg&#10;0mOuuuqqNB3mz3/+c1pFBukyyGNfsmRJmiJz9NFHp5F45bQLizr9MPJRHPJTmMH6iIIdVifUluKQ&#10;n4QoppQqEBNRH3300bRKzDXXXJNG2h9//PFUqHNCKv7OmjUrrTJTByTa41CnH0Y+ikN+CjNYH0m0&#10;iyLkJyGKKa0KhFBfvHhxct1116XpMIi2z549OxXyMOSzb9++vbF39ZFoj0Odfhj5KA75KcxgfSTR&#10;LoqQn4QopvQq0FaH+etf/5pORH3zzTdrt0qqRHsc6vTDyEdxyE9hBusjiXZRhPwkRDGlUIFIh0Fk&#10;HRF1a8htR4T9448/zh7TsB2v6cSKqH19fcnChQvTkpOwDRs2NJ5phfuNHj0623fy5MnJrl27Gnu0&#10;D4n2ONTph5GP4pCfwgzWRxLtogj5SYhiSqECUdLxwgsvTFc5xeRTGh5DENtteAw78cQT274iKqL6&#10;VqzTfKL9iy++SMtOuvvCsCDUK6+80tizPUi0x6FOP4x8FIf8FGawPpJoF0XIT0IUUwoViBKP559/&#10;fjbBFAbxi8cQwHY7t8HOOuustop25MjjfVeuXJls3rw5E+E+0Y58e1eg47sw6j5+/Pi2TpKVaI9D&#10;nX4Y+SgO+SnMYHz0t6++yAT7/knfamytB2pLcchPQhRTChWIqPXatWvTKPfNN9+c/p07d24aTUfF&#10;GFSJwbYFCxYk06dPTyeiXn755alY7kR6DICAzxPtNso+Y8aMxtZ+fGK+HUi0x6FOP4x8FIf8FGYw&#10;Pvrre29mov29GQc1ttYDtaU45CchiimNCkRqyldffZUaRPGqVavS9Jg77rgjzWHHxFM8h+j16tWr&#10;0xrtd911V8tE1XZSJNptRN19bt26dbmvGw4S7XGo0w8jH8UhP4UZjI8k2tWWQshPQhRTShWIiadj&#10;x47NXfEU6TTnnHNOmgf//vvvN7a2lyLRPtTnhoNEexzq9MPIR3HIT2EG4yOJdrWlEPKTEMWUUgVS&#10;lB977LHJpk2b0sg7QcT91VdfTU455ZSOrohaVtGeZ+zsZDKZrIz26gtPZqJ937QDvPvIZDAhhJ9S&#10;inakw1x77bXpxFOkyCC//dlnn002btyY3HLLLWk+OSakTpw4sXaR9jzzdXwymUxWFpNol8WaEMJP&#10;KUU7Jpeiegsi6ZjQaSvGQMgfddRR6WTUu+++O81z7wSxwnz58uWNrf0wp10TUbuDOv0w8lEc8lOY&#10;wfhI6TFqSyHkJyGKKa0KxOqnSI258sor00mfSJWBIfKOSPujjz7a0VVRi0S7nYiaVz0G3xVpPu1C&#10;oj0Odfph5KM45Kcwg/HR1++8IdEuCpGfhCim6yoQUXWI77zSjagWA/H7xhtvJDt27EjefffddCVU&#10;iPpOUiTaUbEGpSfxnI2ob926NVfMDxeJ9jjU6YeRj+KQn8IMxkdfvv5cJto/XHBiY2s9UFuKQ34S&#10;opiuq0Dkr6N045NPPpmKczvpdKSxEXSf2QWTIOrz9m13lB1ItMehTj+MfBSH/BRmMD6SaFdbCiE/&#10;CVFM11UgxC1WQ0WeOiedQhCj7GMn0198DEa0g76+vmTq1KnZ84i6z5kzJ9m1a1djj/Yh0R6HOv0w&#10;8lEc8lOYwfhIol1tKYT8JEQxpYi0z549O51YikmmMKyCihrt8+fPT9NisE+nFlHqFSTa41CnH0Y+&#10;ikN+CkMfffnyhlSIf/7CysYzA5FoV1sKIT8JUUzXVSBy2ZESs3v37mTZsmXJ2WefnaaXIHJNAT9h&#10;woRk5cqVaWT7s88+y81/rzIS7XGo0w8jH8UhP4Whj9674oepGN8/6VvJ3z77sPFsKxLtaksh5Cch&#10;iimVCkT5Rkwyfe2119J67Ii2Q7RDvEPEQ8xfcsklyRNPPJFOSLWpKlVHoj0Odfph5KM45Kcw9BHF&#10;OAylHX1ItKsthZCfhCimtCoQ+ezIa0fZxyuuuCI5/vjj03rtEPDIHUc6DcpBbtu2rSv57yONRHsc&#10;6vTDyEdxyE9h6CMr2r966y+NZ1uRaFdbCiE/CVFMT6hARNSx8umaNWuSyZMnZ/nvEPGIxJ9yyinJ&#10;nXfeWWnhLtEehzr9MPJRHPJTGPrIinaIcx/Id+c+H6+4pLG1HqgtxSE/CVFMT6lA1GZHTvtbb72V&#10;CnhUnUHKDMQ7Vk9F9ZeqItEehzr9MPJRHPJTmNRH27a2iPYvtq1tPNuKRLvaUgj5SYhielYFQrzv&#10;378/2blzZ7Jw4cJUwO/Zs6fxbPWQaI9DnX4Y+SgO+SkM/PPqC0+2iPa8CjIS7WpLIeQnIYrpSRUI&#10;wT5v3rzkuuuuSz766KM0LWYkVkntJhLtcajTDyMfxSE/hYF/XNH+2VO3NZ5tRaJdbSmE/CREMT2p&#10;ArEg0znnnJNWl3n77bcbW6uNRHsc6vTDyEdxyE9h4B9XtH+6dm7j2VYk2tWWQshPQhTTkyrwww8/&#10;TEU78tirnBJjkWiPQ51+GPkoDvkpDPzjivZPHriq8WwrEu1qSyHkJyGK6UkViJSY8847T6JdDECd&#10;fhj5KA75KQz88/r6e1pEe54gl2hXWwohPwlRTGlUIFY5RQR9x44dyeuvv5688cYbXsPzL774Yrpy&#10;KtJjJNqFRZ1+GPkoDvkpDPzjivYPF53eeLYVpM1wn0/XzGpsrQdqS3HIT0IUUxoVCME+YcKEtAY7&#10;yjiGDGUeJdqFizr9MPJRHPJTGPhngGjPWTipRbTn5L1XFbWlOOQnIYopjQrE5FKUbeSqpyHDqqhn&#10;nHFGpWuzWyTa41CnH0Y+ikN+CgP/uKL9/WsPbjzbikS72lII+UmIYkqjAlG2ce3atWnN9ZtvvjlZ&#10;sGBBrvH5Bx98sNKroFok2uNQpx9GPopDfgoD/7zx0MIW0f7ejIMaz7Yi0a62FEJ+EqKYrqtA5LJD&#10;eLPGOv5+9dVXQcNrvv766/Q1dUCiPQ51+mHkozjkpzDwz44HbmwR7fsnfavxbCsS7WpLIeQnIYrp&#10;ugr89NNPk7vuuivZsGFDmtdeJyE+GCTa41CnH0Y+ikN+CgP/uKId5kOiXW0phPwkRDFdV4HMZT/q&#10;qKOSE044IZk7d26yffv25OOPP65N6ksMEu1xqNMPIx/FIT+FgX98ov2vH/U19mgi0a62FEJ+EqKY&#10;UkTaZ8+enVaN4STTo48+Oq0MM3/+/LTMI/apewReoj0Odfph5KM45Kcw8M/OlTNbBDvsr++92dij&#10;ySf3Tcme/2zj8sbWeqC2FIf8JEQxXVeByGn/4osvkt27dyfLli1L66+jpOOoUaMyAY9SkCtXrkz6&#10;+vqSzz77LH1N3ZBoj0Odfhj5KA75KQz8s2t5U4zTvtq5pbFHEyyoxOex0FKdUFuKQ34SophSqUBM&#10;MP3kk0+S1157LbnlllvSaDtEO8Q7RDzE/CWXXJI88cQTybvvvpt8/vnnjVdWH4n2ONTph5GP4pCf&#10;wsA/PtH+5evPNfZoItGuthRCfhKimNKqQOSzI69906ZNyRVXXJEcf/zxWQ131GhHOs2VV16ZbNu2&#10;rRb57xLtcajTDyMfxSE/hYF/fKL98y2rG3s0kWhXWwohPwlRTE+oQETU33///WTNmjXJ5MmTs/x3&#10;iHhE4k855ZTkzjvvrLRwl2iPQ51+GPkoDvkpDPyz+45LWwR7niiXaFdbCiE/CVFMT6lA1HBHTvtb&#10;b72VrF69OjnnnHNSAQ/xfvLJJ1d6dVSJ9jjU6YeRj+KQn8LAP2/dcm6LYIf5qsNItKsthZCfhCim&#10;Z1UgBDzy33fu3JmuooqykXv27Gk8Wz0k2uNQpx9GPopDfgoD/0i0h1FbikN+EqKYSqhApMVAwHNV&#10;1Soi0R6HOv0w8lEc8lMY+Mcn2iHQXT5cdHr2/Bfb1ja21gO1pTjkJyGK6TkViBSY0aNHZ9VksDgT&#10;Wbdu3YBtVUGiPQ51+mHkozjkpzDwT7RoX3Bi9ryvukyVUVuKQ34SopieUoFYYGn69OmpYKehkswr&#10;r7ySPi/RLtTph5GP4pCfwsA/b88+okWwwyDQXSTa1ZZCyE9CFNNTKhCLMJ1xxhmZMKeIp3CXaBfq&#10;9MPIR3HIT2HgH4n2MGpLcchPQhTTk6J9/Pjx2cJKFO4Q6/fee69Ee81Rpx9GPopDfgoD//hE+3sz&#10;Dmrs0USiXW0phPwkRDE9pQIp0K1oBzZtRqK93qjTDyMfxSE/hYF/JNrDqC3FIT8JUUzPqUCkwECc&#10;b9iwobGlHzd1pmpItMehTj+MfBSH/BQG/tk3/aAWwU5zkWhXWwohPwlRTKlV4P79+5NNmzaltmXL&#10;lpboet2QaI9DnX4Y+SgO+SkM/LNv2gEtYp3m8sH1h2fPffXWXxpb64HaUhzykxDFlE4FItXl4Ycf&#10;zso6ujZu3Lhk48aNjb3rg0R7HOr0w8hHcchPYeCfPNH+1/febOzVD1Jm8p6rOmpLcchPQhRTOhW4&#10;ePFir1h3bfny5Y1X1AOJ9jjU6YeRj+KQn8LAP1a0v3/twdn/X7/zRmOvfiTa1ZZCyE9CFFMqFbh9&#10;+/YWYT558uRk/vz5meExn7P12euARHsc6vTDyEdxyE9h4J++y76TifGivHWJdrWlEPKTEMWUSgUy&#10;yo7qMLt27WpsbaWvry+dcIr9ZsyY0dhafSTa41CnH0Y+ikN+CgP/UIjDsBIq///y5dZiARLtaksh&#10;5CchiimNCmT1l5gIOiPybunHKiPRHoc6/TDyURzyUxj4h0IcZkX75y+sbOzVj0S72lII+UmIYkon&#10;2mNKNla9vKMPifY41OmHkY/ikJ/CwD8U4rBP187N/v9sY+u8I4l2taUQ8lM9sGvr1G1+4nCRaO8R&#10;JNrjUKcfRj6KQ34K89K2rZkQhyi3oh3/W/ZP+W723F8/6mtsrQdqS3HIT92HacqdTD8ermjfvHlz&#10;MmHChPT1MGRorFq1qvFsPkivXrhwYUt1Qrx2zpw5LSnZvoIo2G/u3Lkt2R2x+7WT0qhA+yO6Cye5&#10;KD1G5KFOP4x8FIf8FObVF57MhDhEO1Ji+PjTNbMae/XD7bC6obYUh/zUfcou2n1CGRb6vlyYM8+s&#10;nsz7DNhQ9msnpVKBdCpGKnm12DURVRShTj+MfBSH/BSmSLQjv93C7bC6obYUh/zUfcos2hmwhUZc&#10;v359Y2v/Qpz79u1rPBqIrUyItX5sVB2vxdpAU6ZMGSDG6QN8XyvQGViO3a+dlEoF7t27d8Bti4kT&#10;J6blHvHXXXCpEw4pKxLtcajTDyMfxSE/hXFFO8o88vHHd17Q2KsfbofVDbWlOOSn7hMj2rdu3Tqg&#10;BPfKlSsHRJbdNBamjfhEu9V/VpBb+N0GI/TtZ8VGv30+sN+Pnx+7XzspnQrEiMgV5z7Dj18nJNrj&#10;UKcfRj6KQ34KY0U7arR/tXNLy2MLt8PqhtpSHPJT9wmJ9qI0E/uavP0QbHVFO+cp4nGesLb7zJo1&#10;q2Uw4EbPLVZExwZ6JdoHCScL4KBdw4+TlzpTZSTa41CnH0Y+ikN+CvP6+ntaRDqqwvDxB/OObuzV&#10;D7fD6kYZ2xIGWB8uOj35YtvaxpbuU5VzbuOmF5MjT7s4+eEhp5XW8P0eWvd04xs3KRLtVjjjeUbN&#10;V69enW5DxB0lu/P2W7p0qVe08zOLIuH2PX2WV5jEptSwnLgV1jRfrjp9gO/LbfZ9YvdrJ6VXgcg3&#10;2rNnT2G+Uh2QaI+jKp1+J5GP4pCfwgwQ7R/1ZY+RLmPhdljdKGNbwqAKvwWq+pSFqpxzZRfstJ+O&#10;OrvxjZu4QtTiE8DACmqIcoriPOFqRTtSn/E3VA3QCm1bnQUpONjGz3YZjmj3mc3yiN2vnZRSBeIH&#10;xcQAX46UBftt2rQp2bFjR2NLdZFoj6MqnX4nkY/ikJ/CuKId8LEVg3/76ovm9knfamytD2VsS7YE&#10;Z1moyjm3dMVDXpFcNrtm3tLGN24SI9pdge2K9rz9iE+087V5uJ9B7HZfOooV6L735/GGRPuYMWMG&#10;5NrH7tdOSqkC+SPgB9+2bVsqzLds2dIi4N2RUtFtlSog0R5HVTr9TiIfxRHyE26Bj7nkmuT+hzrX&#10;QZcdK9o58RSi3BWDNm3GjcD3Klg8CgMVdxEpH2U85/h7KNIuLDGi3Y2gu8KYj2Mi7cuWLcv+j02P&#10;seI8T8wT+7zv/YtEu88Hltj92kmpRTucYc2O2nwjnE4k/ZcFifY41OmHkY/iCPnpuLMnpdEq3GL+&#10;6ONPG1vrxRsPLczEH0s8QpRz298++zDdVjXRbheRwiCFx5lH2c65ojSmblI2P9WRIiFqxTmeh8iF&#10;AOdrqNGshrP7IfcdiyBZ0Q7dZt+3SMfZz+HEU1sq3DdAAHZSLMS5byElifZh4Ip2e/sEzrE/OG5D&#10;8AcpGqW1m6IZ1EWNZ6hItMehTj+MfBRHyE/2NvO2l15vbK0XOx64MRN/FO3MlYZ99dZf0m1VEu1W&#10;sNO+fDn/tj7o9jmH72fvChRNGO4m3faTaApR16iv8p6HWcGdp5Gwjyva7f5F+omRfp8ViX2ASbC+&#10;19Ek2ocBRbv98TgSwwjrnXfeSZ93R3U2Et9pJNrLiTr9MPJRHEV+eve9D1pEe11TZHyiHWky3MbK&#10;JFUR7RC9PA5rnz11W2MPP90+596/9uD0e/KugK2nz7kIZaDbfhJh0Q4QLGVkHJaXx233gy4qqtMO&#10;Hcfa70Ui2K0RP5gc8t27dydTp07NXsvXz5kzxxt9l2iPxCfC7bYyifaRiu5LtMehTj+MfBRHkZ9e&#10;fWNXi2i/fuFdjWfqhRXtn66ZlW7DX26jmK2CaMdkWjt50/7vrv7q0u1zzs4zwN2PokWwukm3/SRE&#10;2SmlCrSjMExSQMlHK5I//PDDFpFuo/AS7fVGnX4Y+SiOIj9hEqoV7eP/MLvxTL3YuXJmJv6QNgJs&#10;NPqTB65Kt1VBtH/+wsqWY7DC94PrD2/s5aeb5xwi6/yeMNz9sMcSGnCMJN30kxC9QGlVYFH6iWu8&#10;/TJSAhpItJcTdfph5KM4ivyERUmsaD90dHmilSPJruVTMvFH0Y78aW77aMl56bav33kj29arot3m&#10;6n+6fkGLGA6VsezmOWcHTDDc/bADK/5uZaCbfhKiFyi1CnTzppB3hAg7/kd+lF3GFlZU47Pd5A0q&#10;kGuVt5zucJBoj0Odfhj5KI4iP926bFWLaIfVsYKMT7Rbgc4IdFlzqGNBSgm/PwQ6qq8A5orDOOnW&#10;RzfPOet7GO5+2Mm0GICUhW76SYheoCdVIGq3czIDFmFCdRmUERpJQncC2j2AoGjPM3Z2Mpms8zZp&#10;+twBon31w495962yWdGOVJl0+7at2ba+y76TbrP13N+efUTLe/SC7b79wuz775l3UrYd/3M7yl/a&#10;15TFbFlOfn97PJiX4HtdN00I4Ueh2zaBAYQtKdTutBmfULfm6/hkMlln7KzxVwwQ7TctWu7dt8q2&#10;+45LveLvnSnfy7a//OcXelu0fzMIweCD3/+NdXdmz9lBC3zR8rqS2I77Z2ffEbZv5sHJW7ecmz1+&#10;45HbvK/rpgkh/JRatKO0D8rzIJLusylTpozYxNMYWMUGor3dk2IpzkUx6vTDyEdxFPnp5PMvHyDa&#10;61hBxoo/TG4kbq32Xk6PcSegWjCpMzuuRac3tg6km+ecTYWBoeoNvisf47cpC930kxC9QGlVYMxE&#10;1JGsFhODFe2dirSLYtTph5GP4ijyEyaeuqK9jhVk8kS7W6u9l0W7OwHV0jLB9oofNrYOpJvnHKrD&#10;8DvSMNeA/xfl4o803fSTEL1AKVWgLfkIQ1R9/vz5A+zWW28dsWoxFohz3AGwBf3d9Jh2F9uXaI9D&#10;nX4Y+SiOIj9RqP901NnZ/3WsIGNFOxdSAqjVvuaabyczb/1+8sjDF/asaM+bgGqx9drz6OY5hwo+&#10;/H40W7cd1WXKQjf9JEQvUEoVyIh1J1YWbQc2ou6zTpSBlGiPQ51+GPkojjw/vb2vLxPqR552cfKr&#10;Y8ZkjztRQSZbgj6w6mY3sKLdplnc/8j45Jy7f5za2BUHJh+8sj7br5dEOyqt8HuzfKUL00+KFinq&#10;5jln7xT4DItGlYVu+kmIXqDUkfaypb9Y+vr6koULF3qX8u1E9F+iPQ51+mHkozjy/LTtpdczkT7m&#10;kmuS486elD2GoG83tqygTUEpA5hUyu9G0f7YKysywU7bs/G2bL8yLeYTAikv2fF9M3gaKt0855CH&#10;z2PwWZnopp+E6AVKqwK3b9+eCmGkmXQjBaZsSLTHoU4/jHwUR56fnnx2cybSp89ZlAp3Pt689eXG&#10;Xu3DCiykNSCPuiy4ov2rr79Ixt778wGi/fWnb8726xXRPpjFk0J085yzqTCulW2hq276SYheoLQq&#10;ENH2xYsXp8IdaTJu5RhY2arHdBKJ9jjU6YeRj+LI89Pdqx7NRPpNt9+bTJm5IHu8cdOLjb3ag7ua&#10;JQyR97KkNFjR/tXOLd4oO2zbhhuy/XpFtNs8fKSYDIdunXN24OEztKUy0S0/CdErlFYF9mL1mE4i&#10;0R6HOv0w8lEceX6CUKdIh4BHtJ2PH1r3dGOv9mCFo7WyCF8r2jHAmLpmdCbUz7+rKdr/be3U0n33&#10;EJhDwO/8yX1TGluHRrfOOTvosxNmae/NP6GxZznolp+E6BVKqQLLXj2mG0i0x6FOP4x8FEeen6xI&#10;X/vkc8mty1Zlj5eueKixV3toqRFu8quHm67RLvZNb+ZLb3ttdSbSkSJz45JmmswTfxyX7Vcm0Y5U&#10;J6Q33f9QsxIYgVDndx7uJOCRPOcwcMQEabTHs45uDqp8E1L3zSvXpOCR9JMQvUgpVWDZq8d0A4n2&#10;ONTph5GP4sjzk5vDbtNlIODbiV0YBzXCKSTzKpmMNPumHZB9v5vWNyvG3POnucnKO0Zlj9esaC73&#10;XxbR/sWXX7ZU/nEnEVuRO5xJqGCkzjk7gIRNPP7Q7BjeWXJB8uYlzZVdYTsXnNt4ZTkYKT8J0auU&#10;OtJep/SXEBLtcajTDyMfxWH9hHxtrCKJWuRutRhENvkYUfh2AoFLgfX5ltWNreWBov21y/4hE+iw&#10;3e+9mjxwdzNVZuWSpngsi2i3vxvMTW2y6STIDR8OI3HO4W6BPR7YtBN/kx3DlhvHJs9f8L3sMewv&#10;N41tvLocjISfhOhlSqsCVT2mFYn2ONTph5GP4rB+YtQVQs5GZxGtxeRTPr7kyhvT/dsFappTYGHg&#10;UDb43ZbO/W4m0G988sL0OaTEcNsd8/812xcLL5WBMydMz34397ezueBFK53GMhLnnB1MYnXetG1e&#10;PzY7jpvPOSy5/+wfZY9h/3bj7xuvLgcj4SchepnSqsBt27Zlee2qHiPRHos6/TDyURzWTzbqSmHE&#10;FVDduu3txNbY9q3G2U3wffjdLlj+k0ygb3mzP5Xk2Ucvy7YtnN/0H1J+us2rb+zKfjMaBmMEd1T4&#10;fXGHZbiMxDlnjwWCHexZdH52HJedcEiy4LSfZY9hj8y5KN2vLIyEn4ToZUqpAkMrjtJUPUa4qNMP&#10;Ix/FYf2UCZ1L/ykTRieff3n6nF0hFdHOdsLPLcvEUwuX+H/him9l4nz8fb9pPPvNYOaZm7LtNyxo&#10;pmWUQbRfv/Cu7DezhgEYwPwBfl+sijpcOn3OvfveB9kxYBIqwdwHHgcmpdp0Gdi9VynSLkQvUUoV&#10;iJz25cuXeyvGWFP1GOGiTj+MfBQH/YSa6BQ5e6cdkIkjpCCAjz7+NNvG6Hs7sCkaZaunDTA5E99t&#10;xZzvZOJ8yfNNgfvqn5s122fe+v3sWMog2vE72d+M/3Mi8cd3XpB933bMJej0OZd3t8dOpj3hiGOS&#10;84/5XfYYdu3E/vaKFK+8KjojSaf9JESvIxXYI0i0x6FOP4x8FAf9ZMXzm1N/kokjO+mU22DtwtZo&#10;3zjxZ10XVC4sRznt9n/NxPmzO9Y0nk2Sfbufz7ZjHx5Lt0W7jUojJcZOSKXg/eD6w7PvizsKw6XT&#10;55xdpReLfRFbJvSQw09Mjj7iuOwxbNq4c9L9OHD56aiz08fdotN+EqLXkQrsESTa41CnH0Y+ioN+&#10;+vqdNzKR8+qVv8nEkS3vyLrYMETe24Gt0b7sjP7BgluWsJtAfO+c9PeZMId9+uVHjWe/Eb7v78y2&#10;X7q0KR67LdqtwIVIt+lNEK0fvv9+9l1h7Vh9NnTOYeCA7+JWsMnDjYy7q/QCe4fo7Yv+Ln3uwN+e&#10;2nJsp558drJz99vZa21efzcI+UmIuiMV2CNItMehTj+MfBQH/WQj3n+5/FeZwLGRb7cMZDuAuOXn&#10;XnfyL9P3jhV1IwFqxq+d+e1MmF+zbmCUls9dcGeznnu3RbutZY7cdmAHXc+tuS/7ru1KSyo65+z3&#10;waCBk0iLcNubu0ov4JwD2OtTDkyfQ4UcN/pu7zS0u/rRYCnyk6gOdgFNpEKLeKQCewSJ9jjU6YeR&#10;j+Kgn5i7DXvqD7/LBA4itgRRT27HgkvtwNZoxyI5ZRBVFkxyxARTCvMHty1uPNPk/Lv6n4PxWD7b&#10;2N2LNHzI3+r5FfPSspoPXTsh23b/dZOz74rc9naQd87ZCDnMprYUYV8D0Y3X8THbJXLxfcfBweCK&#10;s36c7m/brr171A3y/CRGjsWLF6diGuW2O8VwRfvmzZuTCRMmZEVJUGFw1ar8tstj8tmGDf3VrvL2&#10;GTduXLJx48Z0nzIgFdgjSLTHoU4/jHwUB/1k01TWTfxtJnBQNpBY0YTUhXZga7SfetTR6XuH0heQ&#10;mgPhBSGG6GtM1Hao3HvbbzJBDtvx7vbGM00uvfOn2fNvXvp36bHAn93ETjx958qfpN+p75J/Sn55&#10;2EnptmXn/zbz+9qZ5w0qbSUP3zmHyaOIrPO7sLZ6CJuTD8PcCiu8fRVw3Nr4dn/7Hdo14BwqPj+J&#10;kaXsoj1PXOd9X/tZPguJdhr36zZSgT2CRHsc6vTDyEdx0E+IDFP83HR6Mz0G4olAOHF7u1JY3DQG&#10;vj9FmcvaJ59rWfgJhjSKvP2Hw4bXVrUI9rmPj2s808qUu36R7YNVU3Es3RTtVvAecuy5mX9hF5zQ&#10;PzB69LxmpZvxxx2e7Y/c76HinnMYXNmUHCz05Ap2CGjfgMGtMY/3se/FdllUAccOMmmxqTmdxPWT&#10;GHnKLNq56CYi6+vXN9MT9+/fn+zbt6/xqBX7WUXHxOMeP358VpWwr68vKz9ut3cTqcAeQaI9DnX6&#10;YeSjOOgnm1t+46m/SAUOa7QTm5e8dMVDja1DxzeJkOZLYYCQsxFT14bznSge7XtM/OPhmRifvfD7&#10;yVdf+ydrXnvPodl+L075x34B2UXRbiehXjFxYuZj2Prr+1Nk/nLBP2fbRo06Iduf+e8u9E9RdR/3&#10;nLMpOvjdfAMCvCf3sXd17Aq8PiO23KO7mq6vTr3bpruB6ycx8sSI9q1btyaTJ09O94NBRK9cuXKA&#10;qHXTWObOnZvu4xPte/fuTUaPHp1us4Lcwu82GKE/HNEO8rZ3i1KrQDgbjQM/NFZAnTNnTuq03bt3&#10;J7t2NTuxOiDRHoc6/TDyURz0kxXtWFUSAsfmswObm9yOvGA7ifCFcd/J3hsGMWdBdBSCi88j6orU&#10;GDfqXvS9EM2FkHRTe/DeNp0EAvXdT97OhDgmmO654oDG3gO5/r6js32xCBOOJ0+0syLKNfOWdixN&#10;ww6uVs6ekvkYhom1G55uTjree9Hft4hr+MEXibblEvMqB9lzzs1jz7szY6Phdi4D9revt4bfnthV&#10;fP/22YeNrf1YP9DyBiUjifWT6A4h0b5u3br0eZ/Z1+TthzQTV7TbBTXzxLHdZ9asWS2DAeSd52nC&#10;dkXai147kpRWBeIHsiM5GFZAxW0Q/gBlyTEaCSTa41CnH0Y+ioN+shNCIdp9EUkrpGz99qFil9Ff&#10;fc6/togrVxzaqKmN2iJNAiLYvtYXcbcCzn1viGf7eojC+59dlglxRNnfmtlcBdVl8eozsn2fuqo/&#10;gu0T7fjO+Gz7WRDDODabhjRckDfO99+6uDnhFIbItC3vycoxdtCCFCSL65+8+QxsSzgWe5xFbcVN&#10;g2G03Se4afi9wV8/6suOA2lWLj7h7w5EuwH91OugHdiUpTIavp9vwFgk2q1wxvMQtxDFq1evTrch&#10;4v7KK6/k7rd06VKvaI+JZtv39FneCvn2s1yzx8jv4LOyRNlBaVWgdSBHVPxRmNdUlpHPSCDRHkdV&#10;Ov1OIh/FQT9Z0Y6l4H3ixoq32AogRdhJhAtO+1n6vjZyju+AUn/IheY2mCvKERm2QhWC0UaLfQLQ&#10;Ck9fGsVRlx+WCXGshrrmvB/liutla3+f7YvykFum/VMy64HjWhZhAu5xWMN3dsUyQK4+RGpepNrF&#10;Pda9Sy/KfAzbP+lbLZWCPlx0+oDXURQT9z1ZbtGFbcn6E/MNfJF7i430M9qOOxHc5hrbHtJheBwY&#10;jLjgN3Zf287B0VChn3qdsgt2Gs4tlyLRbnPKIc6JFdQQ5Ux1cfcjVkgjiwJ/80Q3sekzTLMBSMHB&#10;Nn62y3BFOwR70fcaaUqpAq2T8SOwQfBHdR/XAYn2OKrS6XcS+SgO+slWcYFo9wEByQuhK+yGAlI1&#10;+JnTTvxNenG1gg/Rfjf9BeLcB4QhUy1sZBc52Pb1NCv8feLj5Bubk0sRPefCT/iO7qDhj8/MyPZ9&#10;YNa3k6sW/SD9f+y9P2/s0fo9eJzu52K7m3rCfWxFHQyefELeFdcQwPZ3pX3ywFUt/wOIWftaW4ff&#10;piXBIKgt/D6Tps9N7rzngfQ4uG9MZNuNtuOzrZB3jQsr2cnTaEsu7vvCl2WgKn0TzgPr37Ka215B&#10;jGh3tZcr2vP2Iz7Rztfm4X4Gsdt9ue72s4oCvTxuRtXtIKFMAeJSqsCQSHcf1wGJ9jiq0ul3Evko&#10;Dvrp/ZtHZwLorFPObDzbCsQUL4SIoA4Xd6CA94TIsxdcmk8s+3AjqVYY2xQQRnTdlTJxgT/g0FOT&#10;c5YfmAlxlHHk5FwaBDJ5ePO8bF9E5W3dduCmi9jjwPHa72UnY0LAc7sV7YzYW5HvDk5YWtFW56G9&#10;N+Og7P/PnrotfT2wdyv4HV0xD8PnW+z3tzaYSZ8Q/XwdBiP2roT7/oz0o8QjjwN3bVzc796OlK52&#10;oL6p+wwl0m4FLgT1YCLty5Yty/6PTY+x4txu94n+oYp2wLz8vOPoBqUW7XSUK9LZICTahYs6/TDy&#10;kR9GRSnK6Ke+Kw/MBNCYc3+fPucCEUgB1I6opVvuEaIRItQKXBgE3GBLEW55c0Mye/3Y5Mo7L03f&#10;AyLd3ing92e08OAzj03GLjkqLfO4+71XM9F96dL+7/jETZcNiDhTuD/z+gPZ/kvnfjf7H9VngHv3&#10;wMVOxrSRaZveYYWyK3CBFbYU7LY6T55hXgHBe/E9+Hl2Gw2/D7EDOddiouzE3iWAuLaDLTdVhu+L&#10;ha98x2GxryuqfDOSqG/qPkWi3Y0+Q9xCFPM1bmDV3Q+571gEyQppCHD7vr5oObGfw4mnIWE9HNHu&#10;HkcZKK0KpAPHjBmTrFixIhu1YSRlG01dkGiPQ51+GPnIjxV3EPD0075pzdU8x12S3+dYETQcfOUe&#10;eRubAg7CzU0BieHDz/anqSkUzy/u/FPjmaRlQIABwpiGAD7j9uYCSff8aW72/003fy/9jm+suzMV&#10;wjYaDYPof2Hnumz/mbd+P/t/8oNHD4iy+4Ssb3l+YCuw2Fv8djsEvxXOiMjjewJbnSfPsA9xB0x4&#10;X/d4aRxEWVH/62PPTw47sb994XWDwc6XsIIdZp+DsSY/JtHyODC51kfeXYxuor6p+1B7uUYxm/c8&#10;zAruvOox2McV7Xb/oqg2I/0+yxP79rN8xui8T7QDbi9LtL20KtCOvHxWFgeOFBLtcdSx04c4gMCK&#10;FXG6MA7EFT8QR1tffDH1kxVyRZNMraBiakYM2BdiHL8hROqnO7dmn8dyjzZtxOXL159LJ03G1D+3&#10;oht289P9qTyP/OWO5OxbD08Ou/B36edh4if+/vK041r2H39fcxVU5KjjO776dP93c4U7RO6WnRuz&#10;/RGZ5/+I9Iei7MCmtmB/gojzr885Jjnxhl8ls++f1tjaGt2GSLevt2LZVuexKTHWMHiy2GPDe/N/&#10;mBXAHHzY47v6+lsLzzkMbjCQoX/wP+5sAPjVDhhoaG/uc0yBwqRaHAPmHMx+fEz2XhYOANHuyoL6&#10;pu4TEu0AddStPkNw1Vdb3e4HzVZUpx1RbVYMLArIujXi8z7bUjTQCIn22LsAI0WpVSBqZLplH2Go&#10;yVknwQ4k2uOoW6dvb53j4s1IYhG6MA7ERnRpmDwIP1HEvTb+n7wTt4hNEYF4jAFpHq4AnDHmlOwz&#10;We7RVz2FcBEdCDW3HrfFjbLTpj96Wsvj300alebQ43NPnN4U6a6hEgw+95U/bWx8Qr/A5GthDz7T&#10;TI+xNn/DJS3HDaEL4QoxbwWmTYNhrj04ZfylydnLf5K9H9J2iP18+5vgXCG2Oo+dfEqLLZMIg5i3&#10;Ap0DLPvZ96xak51z299+Lj3Ox15ZkT7GwlR2MGTtwW2L031418Ma03T42cxLZ9nKfRP/YzL27qaP&#10;UF+/7KhvEqKYnlGBe/bsSc2OgOqERHscder0rWCHFUWBLbowDsQKPWtbnnkiE3JYKdMKP5QHxIRR&#10;VOoAVlgxTaGIvAjqdSf/MvtMlnsser8Prj882z8vFQK4UfYig3DH545d6n8eE0ohCvsu+86AtmQF&#10;7C0rlntff/UDzcg0IsYQ3XZAQYFpJ8PaaPyx00a1vB/vGADfAAxmS1na6jz4/Ww6CYxlEl/Z96fk&#10;xicvTAcUbooM/qdA550JGAYX+G35GLZp85bMT1PXjM6+N0pfwuyxuLZ806zk5mV3trwfzA5iLCxb&#10;iTsh9n180fayob5JiGJKqQJx62TmzJnJlClTvCIdEfipU6ems47rgkR7HHXo9CEerDCCIdoXE2UH&#10;3fRRKnQjUzk6iRXcNqUCQsxGSB+8e1km5J45/z+1TNizaRVYNdVOmrQCMQ+bf42oM8Qm/qKEIt8X&#10;5R7xPNMefNhJhzguH26UHRFcK+ggwqfd/q8t246d0CqMrWFffN6eeScNaEs2Ij1xxizv68fOOyPb&#10;55Zl9w6I9mOyLLDiF74Bf3njpZYoO43RdqY6jbp4VHL6ooPS5/B37bZ70nZnf7eN07+VXLfmlGTt&#10;8maFINjHd14wwGcQ8BwouxOAbQlFDABtuhXakz3n+H4wvL8V8UhTQuQdAwW73/n3/Cw55orfpulK&#10;fN+8uz6oeoNj+MOSZjoSzA5sACP+GBTg2MpAN/smIXqBUqpAt1qMS+j5KiLRHkfVO31E9tx0isEI&#10;dtAtH2FiH3NtYRC6eUBcQVQXiXsII0S3bb43xDK2hfL7bXWW++9pRmYRvbQVOZbfcHW23xNjvteS&#10;puKmVay7qilEY+YX2Og+J1lCnG+9pDnxFeUe3XJ8n375USq6bQ408sXXXPPtAf6CMLOiEHblg8em&#10;vl219qL08YylByYv/+Ef0si5nSx63vLma2ypRhgqweD77XjgxgFtyQpYtFX7OhoENfe56/lmWUga&#10;7goQ5Iv/bPQJ6aJOlz5w1IB9aRSliNKfdtOvvPu8dtk/ZL6FXbTsR97n0Dbxfva18DcEtQ87uPjx&#10;705Opi2fmObbHzL2qPT34zmH72bf0xoEPAYKAJ/jfj4NE4Pxvrzrw7sBG566Nv1dMShBLrv7Orw/&#10;v797ZwOGij7uolcjTbf6JiF6hdKpwG3btiXPP/98mviPiQvPPPNMsmnTphbjkrkS7cKlqp0+onqI&#10;7lEY0AYr2AF9hDxiCNyYqPBwwaQ+m8ZhxZELtvH5NE/bmRBI3Gov8IMd0OThVg65ceJ52Wsgtm0E&#10;/KapE7P9kF+OzyH4XrhrYN9r1KgT0tdRhOcB3/MzEN1nJN0eOwzL0Vsg0PLyn2H7Hrm2sWeS7Hh3&#10;+wBhBnt69o+y93c/zyf2YHfd8J9aHmN1U+z/6gtPes83m0ZyricqDtGJ59D+3Cg7DNsAIu7nLPnl&#10;gOdpEMf2MaLGRf7h94a9cMW3Wp7DsfO5LRuua3mOhvfPA4MwRMLPXNqstgO799EHs3MOv599zpob&#10;CQc4fp9/YCseuX/A3QDUwsf3v2HB91r2peHzIdzz3hPWTegnIYSfUqlAWxMzxtxZvlVGoj2OKnb6&#10;EHhWBMEgEGKiuT7gn+f+bVPLe3a65JsrDq1Z4e7uhzQFHzb9AIYUBFspBHnSeTB9gLbkzJ+nrzn/&#10;mN8l7847Lnnl/nnZ+1w37uRsvxVn/XhATfRUuC9oLoTEhYZs7rsPRPT5GUxziDl2pDP4hBZt7d2n&#10;pPshGm8j8bS5j57T8hk+s9Fn2KXLfpIuomSj7YjMI6Kbd77ZAea5i5uLMdFQ+QXPoQ0zVcdNCYG4&#10;RPTXbrM2evbB6bmRF5FGCg0i+hdd0RS1ELMYaOF3gwC3+/PuAe44XP7HI7PtrsDl5FAXpEchum73&#10;hd27cXHmJ5u/7voZd0XyQGT88uW/z9J9YHMfudx77CjFaR9fs+7s7P9FG6emxscQ/LirwbbiGziM&#10;JHntSQjRT8+KdpV8FD6q2OnbiDKEdlH5vxjgnylXz8/eE1ZUFQW4ZQkHE92HQNo/pV8QwSBO3Qg1&#10;JlDapddhFFc+8H0hspGyghxwpJEccsTpqWjGtsfnD1y6ndgccBj2xwJGey/++/QxovuMmE896bBs&#10;v8WnH5RsfO3xVDiv2rogSzWw5QMxWRWvc1NaLHZyJQwDpthjR84zxBVEFlMZnnqumV5y7fJfpdus&#10;mIMw2/vhznS7O2Cxxt8I0Vq+Frby8UvSiZq3zetfHAnCF/shPSjvfLNzLs6+pSk0aYhIoy277cgK&#10;ZCtwIcCR073gvluy8+GyEw5J+m46KXl946JsP9qMR89MfnXSqel+G/7QnJB5wV0/zfzqDgimLTkg&#10;Pa77rvuXbBui9ohm5w0M7O+A8xKDBGy3Ofd4Lf1k5xLgc+56eFz6+8xdc3o6+POtXkowUMVgh6//&#10;/b0HZ//nGdpqerfC8xwM7alM5LUnIUQ/pVOB+/fvT3bv3p3lrO/YsSOrHGOtbki0x1G1Tt+tO+1G&#10;eocCouwHHn5W9r6wwy84Npm97vfJPc/cnqbc2Ci+L48ekX5WNEGZwVSI5+Sgo444hSGiswDCyUao&#10;EVW2+e5Fgh2MPvm8dOEh7u+zv773ZmPvVuwAAob3sZM/YTPP7E/fsJVcMCCwohK54khBwfe0OfJn&#10;nTAqmbBgTCqYfDnCVtBiEITX2+8UOnaXj995pSUK7laJsd/BHbBkn/nNb4HfAP/vnPT3La/HMfpe&#10;h8FK3vmG9sNjPHXuL1reD3bgMSd5BzZLnr8q28fm4iOqjvfifAP8Fva7MD/fimjsi8Ecnr/gzgOy&#10;98Lx5KWpIMp+8d0/yx7bsozunQAaRDewKU/IwbfPb9u+NfXT7U9Nzravn/HP2d0U235wvvjAAAcD&#10;HbvYFQ3RdV9KDAQ77rrgO7jPdTuq7qNq/bcQ7aaUKjBUPaaOSLTHUbVO34ofiOl2cPHU1pUcUd7P&#10;XsxZoQLi0pdHb23dbde3CE5bK5yTQrfecG72PKKzxEaorSH3vUi0IuKIqLfvtdZ8A4iYlTBh6y89&#10;LD0+Kw7nnn34gKorMEQrOSkVQuz8Za3P2/rYEFDHXn5UmkaBhYwg9PA9+RnbZ/00uWfTnFTwQ3xz&#10;YmIR8NXshc0JpNYggi3ugIWG38JG4ZEqgtfPWn1i+jo3dYe/c975ZiejQnC73+vAI09umR9AbHTd&#10;GktQIu0JFXXsd+H38ZW7ZGlHK2jxG7qpMTT7+YiyWyDc7aCCxjx39w7K2SYXf90Lf0z9hEo13IY6&#10;9/g9vtq5peVYitr/6vnTkxuvaa0KgwEJBloQ/jYHHoMMgjtD2Ia7C/i+GLSUkar130K0m55QgYi+&#10;+6LtdRL0Eu1xdLvTh8jmypj4ayPWQ8FGZUN50j4gKH25zciNRTUOlN7zPXfAof2pBdYQXWdZQjw+&#10;8LenJmuv/Ha20qVbwYR+QMoIBYkbRbQRRhoEZBFz597UEmXfPf/07DPsdkSHXYrSQ6ztnPT99Lvb&#10;wcGc849P3wPCzp3s+O+vPJKKMLfKCoz1sSGo3JQGCEjUBIff7IqhNERIbaQ8j3XXt+ZHw5DLzBQe&#10;YAcsEIsUtIjsu8/DIB6JO8BCZB4UnW+cM3HsVYcM+G55A9C86ioHn3ls+l4wLHJlvwsNKTyu2GX7&#10;wgRUvhf8Yn8/9+4J/7eiNxZ7R+qa1ROy91rw2NTUT5NWNn0BoY3v5ruLgXbqgknJGJy4d0K4Mq3v&#10;Nb1Gt/tvIcpOaVUgou0LFy4ckMtuTdVjhEs3O33WcLYG4TIcbM3wwVR5QQ6znYA2WEP+MD/3t+eO&#10;Tn5/92/T7RgArNnaH4GffNpvvCL1vruOTb8DBhxHH3FcJkTevvR/GSCq3AiuFYp53D22GWndO/PX&#10;6TamTVxx9Vlp2UKINAhTC0Tpv938m/R5RJJfmdasouIz5LVj8ikfo8oMQQTc+hcC79I7B064hCEN&#10;wa3yYc2WWcyzEHvnHtryW+D7WMEO7IDFN6DBb2NTlOzgiats0vC7gaLzjYsc/X5hM7oMQ7S3CF/1&#10;l6tO/2X6Xkx3ge2a/IN0EGi/88crLmm8S2ta1hvXDsyrhzGdxvdc3oTTItgHYFBic8knrTo69RMf&#10;47fid/MZjsmtHGRLjHJ+Ae6w5O3fi3Sz/xaiFyitCly3bt0Ake6aRLtw6Van7xPssNAEzyKQw2rf&#10;C5NBY0Aebp5AzDOkMBx6QbNixpjlB6UTNG+/8IRk4qojWvaFzXv4quSG2a2L8Vh7cOst6fe/Z1Iz&#10;b/3+s3804G4BhAafh4Wi7H0v/VtLNN3u7wpj1N1G6gHEOnLpEaG0wnbM3Qe2lADEgMHm2WOiI8o8&#10;8vHCKyc3PqkfVPTge1nDZyy9/AfZY3wnVG3hY1QNyRPqTF+AkGQEOCb3GCKcKS2Y1OgKdmAjunlR&#10;WQ6iGH232NQa+BXEnG9uShGEchHupE8u5ITfw8492L5gQrq/e/cEx4Df3P6Wn66Z5b3jhDtRedH9&#10;omouMbi55Kufa64Oi4WP7HemuXee0G4/37I6i7Lb56zhrkkV6Fb/LUSvUEoViCj79OnTU2E+bty4&#10;ZMOGDS112ydPnpw+h+11QaI9Dtvp44KM3GBOJosF+Z54XUzu53BXJy0COb98T7uEexGuQBp7z0HJ&#10;GVef0vI+6598JhUQFIWz103I0mEQYce2mxb+IBUDEArwo31Pnx099nfJjJtbRTxe9/7NzZUmIbrw&#10;Ge5kWkYQfULRgkjwW1c1J4auu/yA9HdiJRd3AiYEOQQchVBe7eoXp/xj+jwGADbyjyg7Bi58fNt1&#10;MxrfpIkrMGEcCFx6v39FUaTRYMKjm4eeJ7ZjsMvy+3L5QYvo/kbUDhYIX7yWqTEgRmS57Qe/WRE4&#10;X+3+C+f3f28M1mxqzI5nH2m8In+CLQ2DDLd9QFBzzoAvug/RPVQQ5Yef5q8+NXu/CSY1hhFya/h9&#10;7N0Ba3YA4rOh/J5lJKY9CVFnSqkC3RVP3cd79+5NRbzqtFcTRDBxgcXFPSaf14IO//mtTw9IDRnM&#10;rW58rn3txXf9NHnksdYoK0BdcLeqylAFOydtIjLPCXqo2sL3LSohSFzBftWiH6T1tCF0kJs96qh+&#10;wey7MDK95KI/XJtGnCkGrECDoPRV0Ji46Mfpa2856xcDhCjzdrGQzclzfpUcct5R6SDHByYvFpWU&#10;tIIaAm7s8mZVEuQiu3cXINIpVLFcvX3O1rvGfu8t7K9vnieaYMtvG9iG3Gj7NfMPzPa/+Y7+AZA1&#10;ClAYhDtrat9452+GLNgBSgXyfeEnF4g6Pu+mDQ2HGJHlpp+E7hyguovd394NoWEOg20jGNBh0Ofu&#10;B2PKjFv60H4Pd/CFAe1wwDwFfDYGhPZ9aUhvcb8vU5bw+xVF1fneNHuO9jox7UmIOtOTot19XAeq&#10;KtoRzYLY9N26pkEYxfDJR3uSZXedlFyw3J9bjIHAp395PBVot9xyRnLO0v6FUC7945Etg4OHnh5Y&#10;IQJmhb8vHWY4EXZbix21nrkEOrfZCa22xCKinxAsrmCHeIYotBf3dyb+Yyru8i6MeF8bsYVwcCty&#10;pML9ifEtnzVu/K/T77j61hvSz8Rggc9hgmWalnJ3s271kePOGOAnPD5q4nHpcSPaf+LEMVlJSWIH&#10;E1deEE7/QVUN7IvvhHQEbsfESFuSD8Y25uZ1W1u96o/pPi6sRIJFa+64+qJsf3d10XHLf5qcfWJ/&#10;FRQsrkRiKsSEsBVobF43CeWzD5UYkfXCznUtfnAr2rigjdkBGO+EWFtybv9cBgt+O5atxN0VtGUM&#10;woibrmLTX9zofug7hrCR8XkPnNzy3rD753w3TXvhPjA3ZSlNiTF3R2A4BwabUtZLxLQnIepMKVUg&#10;02O4gJJNl1m2bFmyfv165bT3KBDHRQLdZ+cuPDqNvj64fmpy6XL/hDKfQSheufr4lm0Qb5zEZe28&#10;u3+aRriZOwqhgBxhX0WPcXf9NhXWFNShKjEPrh6bXNooA3jxkh8lU685MDntvPOyRZKYBnPQ8aOT&#10;s+Y3a0SPWfaTdNEfPIcoNITl3U9MSi69o1lz2mcQ7A+P+X4aXbeVW2i7lk8ZcGGEmHcFQt5CLx9t&#10;uDWNGOOzbrrpX9Pvx2ogeA9ERvldkLvtpqUgyv3IE63+mv1Ac5VGGupRT7vt8myJ/60P/SF9v5un&#10;/mhAmco8QyqKXSwHS8yj3CC+8/HX/jrbjjszTIWyEX0aUmXWPhnOccZvyhQOdxXRC24cm34u7O5V&#10;jzZe0R7sHQI3zQiDMSsi8/LZh0KMyHJroiOdKQRTWZhG8uYfmnMLYLMmT2zsOTj4vm5lGDe6P9g7&#10;fC72zsfLS5vVaWhPzvt5+rvYAaIvxcUOxmAU6EwpQ9S9Ski0C1FMaVUgJ6LOmNGfR+qbmMrn6kAV&#10;RLsbDc4zTNSjKKSdvbApZmOMqSGIsl55+6HefayxWoot8QfxdcdZP0nOucEf1UU986Lo+lv//nQy&#10;Y9ngvrc1pE4gDeTma0+LHuhA5Gyd/tu0HCOi90h7eWn17S1RahiEO0Ak3b3dDivKL0dpPe7nCkBE&#10;eV2xOlzjKrAz156bbTtrSXPwhpxppu0gzcGmOmB1T7tcPGqjsxShG22HYSIohB2i3wtX3JqWxeRd&#10;D6YtFQFhb2u7c3Iovh9KZlK0YxDWTrCQFD8Tvw+ACIS4cwdj7cx/jhFZriDG7xWDvevzlxWzsko+&#10;j573/dwUq6HiRvdj7+7l0ZKO9I0wv3bN+S0+2Hbb6HQ/HmPR+YZzKt2nQmkweUi0C1FMaVUgSz5y&#10;gSUbbYdhgiqi8HWhrKIdeaIUlPhrl3cnuAD6FiWhTbr3N9681byJg0WGSPaMy36a7JzQekt95VXf&#10;bVkVEcYUEogsCClEtW1lkvHHHZ4KvIOPO9dba/q8JYcmn3z2cfLn525K/nBHM/1juAbBi+gwv0dM&#10;SUAYRP7+RaelaQIuRTm/1iD48iYyAkT6uC/ECO5MWHjLH751v9+0NQPTBFw7ac6vk1ueuCo5947+&#10;euaIhlPonrfguAH7w9wJgzaH2v7miPBjDgLmD/A9YyP2sJjVaCHG0Y7oIxijo0ypsqkx7QK/r/3M&#10;POMKnO0iRmS51Vlio9j27sDujWuy3wzW7jsVIC8KP1RQ+YXf/9lH57f4YO/KgSlMQqJdiBClFu37&#10;9u1rPGrChZbqxkiLduR72oVGIMi5SIwFkUl7MYLhdXh9Xq46LooU9ohI2VvEEJaIDuKC507igpi9&#10;9xsx+8K476T7vjLhX5Lnl1ydRt24kM9hJ16QXHndguTo489sqfwBQ241xSQm/rk539bwGahFDqFm&#10;VyXdeOF3WqLItz89JRhVxvNIkQEvPDs3mbZs4DLktKtuPyD595UXpsKZ0fGVdx6VPudbzRCimWIc&#10;uco+wU6KhDt+g7x0GIut0oEooQtv+dsUGRiqcyB6Pf6WM1u2Wztu5iHJJdOvb7xTf9qQXZHVFxlH&#10;WotLXgm/I/9weCb2OPEWE18xqIRgK7qbgcED03SKQDUhvC/v2BRFUNuNb6EqWlo6sGAwNlRiRBZ+&#10;d+tLDPRjsMfz+f49WTuADWbNgm7BCDls9+0XJrfcfWx6/OiDYs61OiLRLkQxpRTtnGjKnHYxsqId&#10;IgalAu2FlvbA5nmNvQbmqsaYFewQkTZt4+UpP0ve7Xsnfe61bX9Oo+VIb8DrmO6CsoFFOeTs9CGw&#10;UAkFt9L5/jBcSCEiQpFnd3IXRd79Y3+VrkDoHleeIT0GaTIuEI9WhMAgUIeKG/HOA8f91i3nthwr&#10;0mN8S8C7uAvs5KVZYNCFFJmxZvIpy25C1HKABXOr77hiDKlHSEHi8zYPHWYnB1t8AvyiWVMbz+YD&#10;QclSmCjRd8mSM9M0qJjqPcROKo6trd8O3Fx832TMdhMrsuzvECqjCtBOeRwYBALr15gBVLexd6X2&#10;TTsgeXt2c2Eo3JESA4ltT0LUlVKL9jpNNA0xUqIdgtou6+2z+1ePSfdl1QzYPfedkjzz0gpvvWNf&#10;hBiCj5UeYEhLweqZvCjDIND5PMxXFcPF7fRx8WfEy41E2+esFUVHEUnuu/qgdMEXe4yIpu/etLyx&#10;VxiIUbvaKcxdeKhTDPXCyMlvqY8i8muRKgXfuOkGqArDvHJrnMzqYoW7G21HvrQPpjrQIOIHy1D9&#10;ZO8OuBVwqkasj2y+OO6EhLA54RjYA6YXTZnZG1Fqd6KpNS5OJVoZ6jknRF0opWgHnHiKWuy7drV3&#10;0lYvMlKi3U4WhRDlZE43R/n+B85JJt7fzPNGlY69F/198thVxyRX39efVgOhhPxVXIBfmHVmms7i&#10;u4DBrju5f5ly15hmgGiwFdx5jESnjwvuC1c1K5LA/njLrxrPxsOqMbSREnhD9ZHN0XXvRAwW905D&#10;0YRegOcg1rDvefNPTH1elHvs1uSOqVjiMlQ/8XvCYirO9DKxPrJ3PmJKXNoodTtLVI40vkpEsNg7&#10;Y3VjqOecEHWhtKJ927ZtLRNPJ06cOMAwSVUlH9uLjbLbKg+fbF2TzFnir4SCsoi+C1OsYal4ihzX&#10;8qKveYxUp4+qKUjdwcAGA5qhilim3Qz2OIfDUH1EAdKuPG2uJAuRWyTYh4JbkzsvIl/EUP1ka/iP&#10;1N2TbhHrIwYDYuuf25KJWIugl0HQAjntSJHB8bR7MnCVGOo5J3oLW1hk+fL4O9SipKKd6TEU7Hmm&#10;Ou3thxdX36qFX37+UTLnzv6qHtaWXf/dbHJorKGc4jNXHJcsv35GWwXOSHb6aTm9Sd/quVJsdbkw&#10;Mj3H15ZjGKqfEF1nm+6VVI6h0qm2ZMs9frax9y/qnfJT1ZCfus/ixYtTfdXJktrDFe1bt25NJk+e&#10;POjv2dfXl1YlxIr61JGYOzlnzpyWjA76wBr2mzt3bssq/LH7tZNSinb8oPgh58+fX2i33nprxxwT&#10;g68BoCF1Ip1npER7CJ9wf+nR/gmUbzz/ePL0VacMSIOBQF9+1k/TFTOffHZzJmiQ12wnJbajIkRZ&#10;/FRm5KM4huonpDmxTQ9ncnEv0Km2ZMs9dnIi7UjRKT9VDfmp+5RZtENzUazTYr+nb60fa0jFpp70&#10;iXHaUPZrJzo7hkjR3YBOVL0pU2cG4T5vRX9962vv/k1jaysQ55xoydKJxC4yY60dlTbU6YeRj+IY&#10;qp9Y9hGG6jhVplNtyS7gVYX87075qWrIT92nzKIdwhtr9DzzzDPZ62O+5/bt2zN9htfbwCrKiD/8&#10;8MPZmkDA9QG+rxXoGzb0l62N3a+d6OwYIvxhrEDfu3dvFnVv9yirSp2Zr9whBH47UKcfRj6KYzh+&#10;sqUsq0yn2hLnT/TyJFRLp/xUNeSn7uMKUR82PYU6aOXKlQM0z+bNm5MJEyZk+zFtxCfarX5av359&#10;ui0P+/qQaLf7xuoynw/s9+N3jt2vnejsGAI2yu42GJ+YbwdV6sww6dAt+TeYOthFqNMPIx/FMRw/&#10;cZJtJ1Y/LRNqS3HIT3HIT90nJNqL0kzsa/L2Q/TZFe1WU8UI68GIdiuiYyPfEu0Vo6gR2Ibazlsj&#10;VevMKGpoeYslDRZ1+mHkozjkpzDyURzyUxxV8dOXL29oKZFbRstbJblItLsBS0bNV69enW5jsDJv&#10;v6VLl3pFOz8zNhI+GNHO1Ji8rAia/WzXB/g8brPvE7tfO1EvMgRsfpQrzIueGw5V6/SR425F+6tv&#10;+CfvQszbyaqdMLz/Tbffm5UdxGeOueSaloEEJsnGfg/sd/9Dxbf3ivB91nDf09LOtoRa8/DV0hUP&#10;NbaEfzM8Z/1dVqp2znWCXvcRJrmihKlPvLQTtaU4quKnsgt2GlcbtrhC1OITwMCKdOgeiuI84WpF&#10;N8p34+9gqgGOlGj3GVJ8SOx+7US9yBDopmivkv1//u4/pyLu7//zr7zP/3f/338cIPg6af/Lj0dl&#10;3wn2g4NPTv5X/8V/kX6X7/z0qJZ9Ywzf/7/63/+fk//+f/5Oeoz/7f/7fxpwjD4r+qz/9f/mf+t9&#10;Tbfsuz87Nvtu/4f/5v8+qN8M/v6v/4//V+/7ymQjYQ8d/9+n4uWt8f9z8n/53/2X3n1kI2+9jl1n&#10;oMyG0qouMaLdFdiuaM/bj/hEO18bw2BEe1FmBODxhkT7mDFjBuTax+7XTkp9dmBW7759+xqPmuRt&#10;Hykk2jtv/6//8Z+9Qm8k7X/81gHZ9/l//g9/591nsAZRa4/TZ/ys84/5XfLEmO8lV5/0q+z1/4//&#10;7v/nfU03DCKd3wv2vV+e0PI41mIHMzH2f/q//bfpAKlMfpKV114f+z9lAuan/8N/7d1HNvImukeM&#10;aHcj6K4wHkykfdmyZdn/nUiPCeXLF4n20HvH7tdOSnt2MDfcdbL9sTqR5B+DFebud+D3zmusQ2Wk&#10;O7P0tvGCE9ORuK9OMko6jrnkmixlAwugYH+sXvi3r75Itw0FpM2gRKQVdaEl7i0hP2F5ey6pjr9Y&#10;9RXpHLbaR+xn4pa6e2sdr8Fr7Xu5FrOIFFZRxK1LiIm+S5rRa/h8uLSrLdmVP10r8p/P3/jdmWpj&#10;05IGw7vvfZBNcMbf4ZYQbZefqkyv+4iCHdbJlVfVluKQn7pPkRC14hzPQ5tBk/E1jKwX5b6vWrVq&#10;gI6z7xuj6wYj2oGdawhN6VtISaJ9GPAHyRO+/IF9o6aRwG24FrfxtouR7szs4iaw9674Ybp0P4AY&#10;O3T0BZngemfVzJZ9UWMZE3FQtg3vw9eFQClIt6rM76+elMx6/PxUXMdQ5KcPP9vfsrQ9bfd7r6aC&#10;j2IbFT9Cgv21NdOSpXO/m8y89fvJmmu+3TKwwWuxEibeC366Zt7SVIza42LdeuSv4zmbr45BzwfX&#10;H970/fwTWvyC7zoc2tWWWIfftZgBD47BDs7gL3uMQ8Gd3Dzcxbra5acq08s++ttnH7b0W+irOoXa&#10;UhzyU/ehhnGNeivveZgV3HnVY7CPK9rt/kUBTxswdS2kuTAJ1vc6mkT7MOAoLe9HCD3faWyDsw0M&#10;tUvzxPxwGenOLC8nD0IcEVEKI6Ru+PZzDa9zoWCF2MLERCu4IOAwuXHiHw/PxPUr+/7UeGU+RX66&#10;509zW8Q6zS5znyeIn92xJovQ+2zTnJ8W3mGAiMWx4tgOveDIZMKdxya3rr86+dkRZ2XHSxDxo98Q&#10;bX/x5VXJeYt/l74O+w53Qmo72hL8xN8KhoEJ/kJ8hwQ7savjWhtKzX58H3fAh0HgcGiHn6pOL/vo&#10;r++92dJH7Z/y3cYzTRB8SAMPG4d3V1dtKQ75qfuERDtAzja1Diwvj9vuB61UVKcduo613/P003BE&#10;O9i9e3cyderUltfhu8+ZM8cbfZdoj4SiPBRp75ZoB2g8ttFa68T36kZnhhSNTx64asBM+KevOiX5&#10;7TlHJ2fe+PPk/ln/km3/YN7R6YXP7mvNCnefyKJxBVWIdCuMpz96WvLV18WpN3l+cqPsD25b3PLe&#10;iLbn4e7rs0uX/jDZv+i0wiXXIVJ/N6l/JVnaaQt/nvzilBOy5e65qEzms28GT3awgNdD/A+HdrQl&#10;pLDY32uo2Ds2NPgpBgz68lbXhWEAMRza4aeq08s+Qv9mzzUYtllwh5HPDWdlVrWlOOQnIYop7dnB&#10;EQyEO0ZBmzZtSm3hwoWZWO5Wegzp6+trGbXxu9oRW7voZmeGCDJyt3nx2jfxPybn39UUnjsn/X0q&#10;2LEfLmzcF2LfTbOhcEcKik9o2dSK5ZtmZZ9Be+yVFelzn375USqmZ68fm6zauiAT89ZPWTm3Latb&#10;ouwQ/wARdm6z0XYL3pv7WLto2Y+SJcsOTS645xfZttkLv5+8cEV/HjqP3+b4r1p7Uct7FBkGAY8v&#10;OTp9nXuHAMI9745ADO1oSzZvPyZHPw83Lz4vyo6SoLgjgwELIuh4nDfoow13ld12+Knq9LKP0D/Y&#10;vglm56d8/c4bLc99sW1t45nBo7YUh/wkRDGlPTts3nietbM6S9kZ6c4MUUwIM04KhPDEkuK4eD0w&#10;69stIvLBmf+S7H1pU7qfiyv4Ya8uuaxFXDFa6uaS29QYGqLlENLj7/tNy/apa0YnO97dnrz00kup&#10;YfDAiZwYVIy956BsX0xGBYiu2/dAVBuDDFy49364M7lm3dktz9/45IXJh4/OSd8TvsCxIW3G7mMN&#10;wvu2ed9NNs/9ZXLfvSe1PHfVoh8kF9x5QMs213CsAAMSfLb7PCLwGNjEpA1Z6KOh4JsovO2l1xvP&#10;Dh43zcaNsiMVy1fz3Z3ISrODCVhsqo6P4fipLvSyjzCYt/0SzJbAQz/Q8twDVzWeGTxqS3HIT0IU&#10;U+ohLSLZzHGyhhykjRs3NvaqByMp2t0opo2kPj5/SjL59h+2iMfxNx1YWPHDJ9xvPPUX6XtPn7Oo&#10;sVcrNjUG4nfa7f/a8pl5tuCxqcnmF59PXl56WjpRFK+1zzPKjqgZBPp9952Wbr9x6S+y7/bUVf/c&#10;IvJhNzxwYhbNd2+T++4IFBki8rhbgcEE/vftA8P7Enz2lPtO9+5nDUL+3o2L04h03gJGQ70wPnvf&#10;bcmG87+fXHbCIVnbgEgeLpxA6nsvHAc/y2dop5zUS+wE2bxFu2KQgAjTyz5yRTkME8DJxysuaXlu&#10;OBNV1ZbikJ+EKKYn7kNh0sKePXtS62Y6TDcZKdH+591PJ2ctPCyb9EijcD9vxnivWLzihnnp83ms&#10;W/908uQFB7RcBBee9Wtvmgci4Eh74XvfdcN/StNO7OfBIFB9Ufci+9POx1vKKfrMDhCQBnTfdf/i&#10;naRmwXdGGkvRZFXYnDsPTm6+bVlywhHHJOumHJfsv+qnLZ/98Z0XZOk0Lu998H4y5tpfet/XNaTQ&#10;4HfDXQzcNcHvBwGMSaxDuTBC/D/3+/+cfse3L/q75JAjTm9ZBdXH9refS3/H2Mo/Ppg+Y6vw/PK0&#10;45ITb/hV2kZ934GVe2A43g2vrUq/B/4OBvho5TOL0tfijooYSGxbckvEloG8yfY8/1AFy25Hn5F3&#10;boaAj95Yd2dbJrUOBgYnbNpPmYltT0LUlZ4Q7aIzop3VW+yFdNxdvx0g/GiIiB5/7a9bxCFt9JST&#10;c/OsIfiOvPTI5KQbfpncMq05sQtmJ6dCVPlE75Zp/5Tui8g5HmMfK6IwydSXPuIaotq4ELsXYxou&#10;yhDnGCRgf6SwvPyHf0ifg5geLBDyK56/Jrl0eX/U/vrlv0m+/PyjxrND47WL/1P2fV+c8o/euwm0&#10;oy4/LDng0FNbfkPYqtVrk5f//ELqe1zQ82rxW3AnBQs98bPfenRx45mBIO0A73vxvb/KvstgU3jy&#10;QFsas7w5cMFv74Kcdx7rZUsmZPvm7Z/HbU9ck73u/Ht+loy5dEapRGcZiBVZTHHCnZGY+vms2tJJ&#10;selO+qbhXHDLQdLciaqxvPKnjcm7l/b3Y6n4/+b9Ow0GGCwMMFKfOVwk2oUophSi3Zb/weTSTz75&#10;JJk5c2a6vG2RTZkypWvVY0aaToh2myuMiCZSCY6d1lrd5PwFo9PIJvY56PjRLc/dten67H9EPnFB&#10;diOf737ydjLxnuNaXnfnpf/aciHExTOvQsvC+a3VaHDxweTONGLl1H9/effTydXfCGO8DhNFb7v5&#10;X5OX//2JAbe57XuxHjom0mLimXvLPP289cOrQgKGU3nCsnZm/7wCnyHlZuptB7f4j9Vp+DvDFo39&#10;XfLO5GbVHxoqZSBv1/ddkcduy3vmDWJSofCNz1677B9avkdM5Z8Y3IpCvug5BqM4TkTi7b55+/tw&#10;2+NZ845K3zNWdJYBVn/qpPiNEVkYaNn2h98nhK1YhfOyE2Cwys9Am+X/6FcQoeZja7FrTrjsvv3C&#10;lvfBoKTTuDn7Qx1wjCQS7UIUUwrRblfPQrnEd955J3tcZN0s+TjSdEK0u4vRYHIfIrOjZ7cKP59N&#10;XHFCWsHlvLubud+MzGMAwOouvtSVyQ8clZZHxIXkzUv/Loug0zABddn6i7NKLLiA28WGrDFCDGHt&#10;lpu0F1iIFvf5PDHOizmFfJlY++Rz2e913dQpqSizAgfC/eK5B7b4k3bW4oOSO6c2o+V5BgFjxTsG&#10;c/i8UaNOaO7zjS99qQLwOZ5fO7N1sjIMlX+YqjKUCbTAFdN4LxeIanzfM27/acu+efuDovQm3MU5&#10;68IrMr/H5MnzbkPoDkYngCC0bYLWibYcI7LYfmgx9fM56R3GCaA4hzE3ZjhVXCx2MG8/D//jM/nY&#10;9htDueOG8whRdvRnWIwN5wb7HqavDHUwUIQ7j2gkBgrDRaJdiGJKIdoBVqtC9BzF9xF5R8H9+fPn&#10;F9qtt95amxz3Toh2RMDcahswLPgze11rWoFra7f8MX2P2EmYZy//SXLWHQNFlGucpGkvNois+8qz&#10;wVJB/424drfjguWCiycvZLgw9yKYdMnfCXdKAMSze4GecPlRubn+EA3pflf/MhVCVvhbYQHxjuft&#10;4O7VS76ffYZPkDL1yB2IhQxiGaI5lL6CiL37Wt9rjhx3Rvb8hfcd2lKj3+4PsV40D+Hqh87pnwRs&#10;8uRDdeTdORMjOfArmq9B8dtOYkQW/EXfwfImn1tspBt3gOyCY7B2RI3tOcPBJgznAoQ0H9s0Gjw3&#10;WDgAwN0/tCnMk3ln6dnZXSm+91DuxuXdTUkHCo33pY1kLv1QkWgXopjSiHZRTCdEO/AJd6a45EUf&#10;z73lyPR5AEETyic/+cZfpKk1f7j1Mu/zNJ9gh321c0v6Wbz44cLpRs1p+6YflOx44MZ0/6piyx0y&#10;VePD999PtkxqRld3Tf5+sv+1Dcn19xwxwM8QDVef94sBiw+9u+X+ZOzdP8n243vZz3tt8cR0Gybn&#10;Xnvv4S1C2wotO5nXrcRTZBDXGAhuf2HJACGCz/G9xpfy8vuFp2TPz314Wksbtfv7yorS5jw6Idm2&#10;fWu6n12xtyhSDCHm3hXqhFj24X42xK6NIOOx7+7IcIgRWehP6DtYbP18u7CRazGDbkSz3TZkscIc&#10;AysroFvE9HtvDllcY1+81p1Iv3X2QS0DBdhgRDUGzBxoW+NgBsfuPoeBT9mRaBeiGIn2HqFToh1A&#10;uCP6hQvqUFaRhHBf8vxVLRcl2OmLDkoOGdufCwzDbXKIPHe/SXf/ohn9dQwXVh+4ENv9cGHEhaoO&#10;nb4tg4j8YEyOhLA+5PATk50T/rHFLzSkIdkJq8h1RzrTRXcdny1OZX+bacv6BcEb1x2fVWs5+Zpj&#10;ku1/ujOdoMv9YBDamBhMgYiBl33+2UWtAwcIaN9g0DVEJtEuiK2JbyPnqKeP728Ze3czxeuueee2&#10;vJYpMjY/HnclmLKDuvPw8U2LlmdtCT6mz3HnIQ/f5MZOiGUf9rNxPjDCb8Uv0nbaScz5hqo/vz7n&#10;mKziD+YFxJA3UZSGNDb0D+5Eahy3e/fNF5m3ohfC/IU7TsruMnE7I+v2/QaTZsJAA9ZrYFuD4TNc&#10;0Z3X17lwIGBfS+NgxjfZfiipPSNNHfpvIYZDKUQ70mFiJp66pomo5SMv5QYiqN34cs/r0OnbdBV3&#10;GX/UUHcv1jAIhFeentcidq1hcSr7HBegwm8JsWX3zTNW2rFRRUTcse2PT12RPl60ceoAgQ3web7U&#10;FxjBa7kNot9+Xy6uBawYx0Bl38X/kHzy0Z6W/RG1t6ldGLgQTtA+8PCzsrbEya0wLAJmwediIILS&#10;lnnRYSuWITAh0Oxque3AikA7X8OK31hhGEvM+YZz384vOPDIk6PmBbgpHkhncdPAYs1G5jnf5prb&#10;f5IJdFR1mnj/Idl3RGUmbEfeO7CTVt38c9wJhF/dSLkV10yNoaFCFd/PGl6D384V9HjM9sKBQLr9&#10;m/bmTrTH97CPae3+7TtBHfpvIYZDKVSgnYg6GNNE1HLiE+6hPOB2UYdO305GtQaxidKMFBi4oLtR&#10;SEwGteLBZ1yAiquVIiLv7oMUG+StT1n+s2wbHuNz/3j7odk2Vv9B2kaMQEVK1rI7DsvuCsy7/7jG&#10;M0ly+apmxB5C2XfXBsLZinGKI0RHbYrM3FXXtKTGUPCj7dKfVrTbuQQ2vQPi3w4GOHka6VsQy5wj&#10;sGTpb9LBhBslxWq5cx85K3lh57rGOw4N+Jbvife3uOIXUeV2EXO+HXH2OZl/YIi2ow0XgUEcfq8n&#10;H5mUfmeIdRwjIub2WIrMjUbjtfgN7FwPtGMscmYHerAbFnwvfQ2FuE1lcSPWjGq7fqe4dlNj7Pu7&#10;ljfoo+Gz7HFxUq5Ng7JmBzkQ/mWnDv23EMOhNJH2mImnrmkianmB+EFEEiKnE1H2POrQ6VsBScMg&#10;CT6P4abH+ucWnHvHwcmRfzg8OXNp6wRhRtltLjIW1WIk/Oo/HpNF1bF6LF+HaCJSY2atPjHbtvba&#10;ZkQxpkJGkcC85+b+qjgQPBDEAGkv7oTb8Subawmwxv/7jy1sSZGxk6KRpkNspZNjz7wka0tWzCMV&#10;ibgDB9xZgA9em3VseixuhPXiFT/PorsQixCNfA7CcahYMYsBkkvLpMs2TkgMnW/wG1LkrA9w5wZz&#10;BIqwAypExS28cwARijQ5iGM3Ms27b1bMvrfkHO8chqdn/8g7AES0nWk1iKZn7+34l9utaLeDMzc1&#10;BvaHJU1xbiPngzH7PfIGMxiwW5GfBxdCiy2J2inq0H8LMRx6RwXWnF4T7d2iLp2+nRw6GMEO6CO8&#10;Bq9FugLLfE5a0ay6Y1NvEMEnWKTFCgErTC++q3UA8PrjzaofeA3ETBF2Ap17O98VNxTuiHYjr91+&#10;LgzReu77zpIL0rSIc5c3J9rSbGqMvYtxweRrW9oSVmXlc5gA7EbZaQ/M+nZa037t82sHPEeDIJy7&#10;sHVuwKT7D8vuIEBA4S8+IwZbk9uXu2xTJiDg20XofMMg6NirmmkntPHTZjT2GAh84O7vCvdYrJj1&#10;Rbxhdyw80Du/4sZlBzfepb/N833QjnnXCINKbkcUnLx+64Rs+8WeNofBGp5DG3fPJ/xv05sABid2&#10;8v3G6d9Kblh9ajoQJTaFB8bf2ea379z5dNa++FrbjvG3m4TakxB1p/QqcP/+/cnzzz+fRtYXLFiQ&#10;bNmypTbRdYtEexx16fS5vP9gBTuwPqJwpxjFJEFsw2RMd5vFRjtXrb1ogCiB3fz0pFTc2IomruH1&#10;EOMU81ZguFU/8F42YgxjJB7Cw42427zhvTN/nVbYuWtO/2q31pgaA+hX2NXX39rSlrDAFJ9zJ1Xb&#10;9QogyE48/qjkxKnNOw4YQNiJwFPuDJc/hUFEWWGWB38P2MMPnp+KMqRCESsurejMA+lsuEMWWgE2&#10;dL7hfTDp2T0upMjAj0zpsri1+GlIncoDdynyBjoQxjhuW4Z08h+bqVZcsRjmDsLsYAFtFWIZ6U7L&#10;NkxOPxORbPrVDoaev7BflNuBwsX3jUrnXvAx7lYxvYW/n52f44JzBJ+BAd/Yu5trMfA7op34ouU4&#10;ftwRs+2PBp/iPOVjDH67Sag9CVF3Sq0CUbvdl8t+5JFHJuvX12s5cYn2ONTph3F9BEHOOuSsoY2K&#10;HxSoobraEElWCED4ILecWGGTZxCSiBDbxz5h6Q4CmOoBgb/uxlYh/OS0H2T7YXGbPQ/ekP4PAcOS&#10;lDc/1T/RkNh67Lcvv6/FT/a5R596okXgnfL7Q1vKXB4385Dk+GubaToPLT0iFVt8bG3akgO8262F&#10;oO9WzPlOy+us0LUDolAFlGPHnZfefRl18ajk7X35d0dC59ttK1a2fB8aUmToS7eazPQ1Z2X72dQt&#10;zFXwgYnNNu3FHegwH92K1ueevzn73xomO7uVsCiKX156Wks6E+ziew/O0p0Q6Sb3Tjwu3Xb1nOZd&#10;qEXrr2oRyM/efkxj73hwrL4J2xDr9rEdbGCiqpumRbODCJgdwHaDUHsSou6UVgWuW7fOK9itbdgQ&#10;X3qr15Foj0Odfpg8H2HiKbFR5c1bX25szYfRUUTq9n64s7G1CSKJNgUgZKza4cOm0CBn2Zc/jJr/&#10;y2ZMTP48rlm+753J38n+p1mhBTDJlMf96GNPtvjJ1mqffm9zUuupC36ZpsO46RdYUIz/7+rbnh4T&#10;8vHtPrg70Pfc0ux7Q1zhfwjBbGDxjdALgYHMmmsGrkJrha5doMg9bst7H7zfIpbnPdxfZx4VdBB9&#10;t3XqQ+fb5bf0Vw2CXbDi0JY7EvTltAUzs3SNdJXlFc19Drvwd9n/EOO+dCF3EimNAxbcZUBUm9vh&#10;80//8rg38ozvAGFsJy3D4McrVh7Wss0afGpTWljhyVbNWb/poZa7M7gTAsOxcx5JCPv6kFG4v/nI&#10;1dm2sSt+6i3PC8P2bhNqT0LUnVKqQExMnT59eirMx40bl+zYsaPxTJLs3r07mTx5cvrcjBn5eZFV&#10;Q6I9DnX6YWJ8xEmoMatXDgekB/jSZ2zFGxebpwyx7qbMwLANdwtWn9NfcrLIONkQYK7A+cf8Lnli&#10;zPeS11bd0OIn1mrHHIDz7m6KMdQg5+e4ohz2+3t/3XiH/uo49jmmsORNRmT6RAj4wRdNtULX3vFA&#10;qocPROAfumngSrrI+z/pquOzWuscyIXa0nk3npy9x7y107LBnR2I2CgxUjv4P9Z5gL9teg1SjtyU&#10;nTwhaz9j1YJmlaNb1o1N78zcdPPA3wqDBhzbmEtnJFPuO33A8zBE21HhiHnwrARjy3oiLQjrG/A1&#10;SI2Bn+zxuZNifYNdgufceRvwpTu4cFPE0N42PN4cOF2/YlT6fjbiD8PrfAOikSbUnoSoO6VUgSwB&#10;iTSYV155pbG1yd69e5PRo0er5KMYgDr9MGX0kRXvRVF24lYLoXH1XID89BtP/cWAfZad8ZPk0fO+&#10;nz1mDW+WuPzLBf+cPffq0/2rAwPWaj/q8mbEFVF2bOOiVr4UmKvX9C/mRFiSEoLLhxXw+D8E7jTY&#10;KD8EmE17sLntdjIjou3Id7ZVfVBy0F08y2enTh6XplWF2tJp85si8qmXH25sbcUKTytk4Wf41kbb&#10;EbnGNntXyE4ixbHyfxij7bNWNt/jifvOS9OqMGHY7ovBA+CE4wMOPTWZ9egFLfvAsBow/ASYLw+z&#10;bQ/f75grfpu95pbHrkz95JtkS8Pgwwei8DYVC8a2g7sCXL8AQhyDDjsIQlu7+4mmQF95R79ozxs8&#10;dpsy9k1ClIlSi/Y8UR56vopItMehTj9MFXzkLigDc8U+7haMP25gFP+EI45JzW5DtB2i/JeHndSy&#10;fc+8kxrv1l9qE1F2m/aCKLt9L4hiN4p544MzG+8QBwYwfD+IwhCIjttcdqQ5WPEKIUx8foPh+GF2&#10;0IFKO3kLa51288+Tu+5/qLAtffLZxy2+yovkIiXFvjftd78/Mb1bAvHs+pzrPiACze0YrKx/5rlk&#10;zC3HZNsoZPkYtmfmT9N0LXeAhXkYiLJDsNNQttYu/DV70Y8ynyHtxg4e3cpIZy9tRvfvemRZ6id3&#10;/oc17D9z3m0D0tHcfH07X4RY3+L72v0nr2oOWP7t5t809kqSZY9NSLfdsKq5FkK3qULfJEQnKaUK&#10;tOkxvrz17du3p89JtAsXdfphquAjK2xhEMuuaEJVkqOP6J8QSEPaCwXZlmlNQY9oO9IuTj2qdfl7&#10;GNNnEFm2UfZzFh6Uvt8z5zer1OB93Cjm3GUL09fHguPg++VNyLUgUm4nwTIv20ZnmTNtS0NiQi4q&#10;oSDijKg73sdWWPnDvB+nghmTavEYOeB2IubvJh6VPPdvm3Lb0uNbHsn2PXvJLxtbBwJR7UaSIdIn&#10;XnVdY4/WFBgMJJAzDiBguR0RZ0TJfzb6hGwbzL4Wx8vfCfX07fGseOT+lgnYNFQKwoAOVZbeuO74&#10;zH+2Yg9+J8AqNnbghjSfuQvvyPxkU1hOmvPrlrz3Q847Kv1MHAc+0+brQ7wXpdBY3AmmtLemfTdt&#10;T2jTnAfC714GqtA3CdFJSqsCFy9enApzpMjMmTMn2bRpU2oLFy5MU2OU0y58qNMPUwUfubWtfQs3&#10;IRoLAcTUFRgi7xRjN18zI9sOW3DTrcm0E3/Tsg3G9Blg0z2WTTHVaRrG73H1H/tTPiB4IQQBxB+E&#10;n1vi0IeN4HLQAHyL4Oz94+XZd4JBBAMrVhEpRjTW+s3mwN9zw39OXrp5VIuIfXjqdzJfPTuuP63G&#10;ppRAWF9weX/aB74PvhfSMSA0wcJHZ2f7jrulecfCh5ubDWFuJ7zaiDrs3OvPSLfbVJD7n1+WfV9b&#10;uccaUlvoVxjKgmI7KuWgio2txU/D5GQ8h//tnRvb/lij3X4fGhYwszX/MT8A28cuPjodFPlWHIbQ&#10;P2zsccltzzQnjdr1BEK4aUIwDOz4XW0loZi7OSNFFfomEcYGZrGwpointCqQKTD4UX2Wl+9eVSTa&#10;41CnH6YqPmLut62PbWGqA/PaN4xvViyBIfXBTmK9Y9IZyeLTc3LlG8L56pWTUwF0yvWHJeuuOiN3&#10;P+a/83OAFYTIty/Clr+0AxKbv83qII8vaW6b+eDx6Wejygsix9wOY2oF/OZbaOiCO5ulJ5HXjs8e&#10;NeqElvQfRKdtVB9i96ZH+nOqi+zKO/Kr1QA3RQZCFoMcy8KnWj/nrk3XtzxetuqPmX/daDuNK/la&#10;O+voI7LX0eziZdYO/O2pyY4Lm3MeaGyDnGhr7RennJC9HnXpcUfHtg+kXLmvoZ2/4pfZ/4Mpx+je&#10;aYEtnN+cz0DDwCOvLnw3UP/dfRgw7WRQdLiifevWrYMqSMJj8hmzOfL2QTGUjRs3pvuUgVKrwL6+&#10;vmTmzJleJ9ZJsAOJ9jjU6Yepi48g+iiMIGJdIYZtqCJCAfPs+B+2TFB9Z0p/VRCYjbZb8ibQIv+d&#10;n4PymfYxrUi4Q6jzs+0Kp3c/fkmLEHNtxbPXZVFh2KKnrhywDwQyJ8P6DNF2itvLTjgkWXFWf0lD&#10;Wt7KokW25IE7G0fgB3cHzr+nmQN+2DmnNZ5pAiF6+rxDW96Xhgg3Bkc8bvzWdiIobOZD5yTvTBwo&#10;2m+ZeUWLz2Ao72nfz5pvYGdLaNoc+NHXHeJ9D9sWUaEprwIODYM1Cxe/sncjXNz3RBUZOxEZ5q68&#10;2m3Uf3efMot2aEKKdVroe9rP8llItNPKUmK8Z1Tgnj17UqvjaqhAoj0Odfph6uIjLApEYZSX9uCm&#10;2dhUmjfW3Zn9D8O+sXz08afZ5+CzkRJjP5uWt3ARIvb8XFuese/KH6Y16K0Ys3b1outb3h/izopI&#10;GCKwdnLjtNtb65XbFJK9F/199r+1WxY2V+SkIcUFQvHCe1tLGSJFyJ1c6YO17xG9590JlynXzE+f&#10;t+8Pwx0EK4Sxoq9d6ZfmDkBgmFAK8Wv3w+vtoA8GkYy/7iRmWJ74tbX9fYbvbCvhgD3vvpWcdUcz&#10;zx123tz+35LY9pyXbuWmFGGuBeZL8O5S3kC0m6j/7j5lFu1YvwdB22eeeSZ7/WBEe9G+PO7x48dn&#10;OhODBGZ82O3dpPQqEA5nPjtsy5YttRTuEu1xqNMPUxcfWeHsM6QqAJsiQ0NEEj7aN7OZ+zvYNAIb&#10;vUU0lf/b7XnRdkwWtIMJiC2IS/yPFJVbFjRTVGg3rL94QMSYEzYRybapNTRs++CPV6apE3iM2uV5&#10;te3tXQh8t0PHHJ+ccvMv0tfhsxEJhwB1vwPMFaY+bGQ7L4KM7cgDd4X7c9s3Zq+FEAaYOOwKd6S3&#10;2OOAcQIzfyO8hnBiKrfx/V4Y17pQl63R7gNtaeuL/ZNZ+V1gecc59rrftxwfU2wwyLODURj8jTs5&#10;PnhHBXcieoG69E1lJka02/QUGNKVV65cOUCbbd68OZkwYUK239y5c9N9fKKdpbyxLbTifawQB8MR&#10;7SBve7corQqEozHpFM7yWd0mL0i0x6FOP0ydfGTFjWsUdzZFhvbBvKNTH+254dhsW9GCTz4wKOBn&#10;WSHL1TJhHDj4sItOoQa4rfziy+O370vD3QSCnGg3zxmTGzEY4fvCUEHn7Yv+LnuM/687ub8e/VuT&#10;mpVypl02NfscLnjk+w5TZsalYBx39qTsNW4+O2H0G8L9tLn9EX0IUhspt1F6CHd8PrYjOg0RvvlP&#10;L2ZzBgY7CZOTm7ECLv0AszXaffCcw/fh4KDIL4ieM70HAxQeGwZ5vrs28B3eOxYMaPFeYy65Jr0b&#10;MJjXdpI69U1lJSTai1art6/J2w9pJq5ot3MYY8TxSIl2G2kPfc5IUVoVSAcWWZ2Eu0R7HOr0w9TJ&#10;RzZlwmcAaS/vXvpPLSIMOcrw0Vu3nJttC0VTXcY00imsQbxDMNn0hrzUkZbJqBuXZxNvYSg36JJ3&#10;rFaQuVVFOLnxo3svS98XUWi85vYLT0gfvz3rsLRsJt/r369rlsR85q6bs+04VjfKbtM5YoCIxOvy&#10;UmMAjsV+Bn1nfZ0XvW4H+Hz8doccfmLLwMYtN+oy2HMObcQeJw2DPN/ACBa7ejFSf9y2AtGP7d2m&#10;Kn0T1k7IWwCuLIbvh4CFS5Fot+IazzNqvnr16nQbC4Tk7bd06VKvaB9sNHuoot01+9oizVmWKDso&#10;pQq0Pzhn7jKn3d6WKZMjO41EexxV6fQ7SZ18ZKPdPoM4AlaMwjARFD7atXxKy7bBYFNiaIx8W+GV&#10;J7ZeXjat+Z3uuTyN/vMxJsBaWCkHBkGGz+Fjd1CAxZcg2LmqJqLXjEbDIBaZbuGK5L1LL8q+w/uP&#10;LUwOPPys7DkrnG2Ev93YNBr8vpjoy8ewvCh9u+BvxwmpMSv4DuWc4+cgpcYO8uzvYX2B7WzPRdi2&#10;4VonBzwxVKVvKrtgpyHNzaVItHONHLd6n9VsEOVMdcmr8meF9MSJE9O/g1l3ZyRFO3RmmdYDKrVo&#10;z/sR2SC0uJJwqUqn30nq5CNX0LnGiaDPLprecjFDpAw+2rlyZrbt0zWz0n1j8U1ChBADdpIjxJab&#10;noDHk05pivR1Y36Q9F3SnCTrTopllBqGQYAdMPjy5pke4RvUYCVZC8UjBKKtaoPI/5iJMwa8HjbY&#10;KPtgQEQ/765CUZS+XYR+Ox/DPefsIM8afkf7G+ZNbCb4rtwX3x1t1PoS27pJVfomTEzmeVJms1WP&#10;SIxod7WXK9pDC2D6RDtfG8NQRXvRvm603+bYhz5jJCmlCqST835wNhBF2oVLVTr9TlInH43xpKhY&#10;Y1R2yZK7BqQ7wEdvPLQw2xYTUbXYPGuaFbM24ulWAMFjW6XEfjdbTYa472Xznu3ESoD886GKXgxm&#10;+D2QV48VUX9x1Lkt7/GHceenueJI6ekUbl43xKY72OgkRb+dj+Gec3agQOPdDNvG8yakElt6FCkx&#10;AIMgTpCNnX/QKerUN5WVoUTarcAdbKR92bJl2f+xmm4kRDtgXn7ecXSD0qpANg73R7Q/QOyorApI&#10;tMehTj9MnXxk0z5oEHj8n6kjmKDIdIeXr+/PdYePXl9/T1OkDnLS4tonn2v5XJitomJFPYSXBXcI&#10;UOmEn23N1m0HeE/7GYi+2gojEOjERuRp2QTNnNx6i520isEDfHTr0nta3m/31Yekz+PW+2DKZA4W&#10;VnZhHfyRpOi389GOc85Na2FaFT6f20K/oV3UyR3MlYF2+EkMjyLR7kafoc2gyfgaBlpt5N3uh9z3&#10;VatWteg45LTb942ZqxgrxEHsvj7R7h5HGSiFCoRTsYgSbpNYg6NgGOVwG39YOBblH+uCRHsc6vTD&#10;1MlHvrxymzLDyLcV9xA2AD569YUnM5GKai6DARP7+J4wpDFY3ImbTGOxUdWtv/929vk0pKhAnEGs&#10;QbjaNBwcG7HRdLynK9jxfWKixC62FOVL27amfqKf8Z3sd0WZyhCI3mNA5JsUV1bc3y6UltKOc869&#10;c8PfzrbxkGjHXRbui7ZTNtrhJzE8KF5do5jNex5mBXde9Rjs44p2u39RVJvBXJ/FpOL4jMFfn2gH&#10;3F6WaHspVKAdzQzG8n6kKiLRHoc6/TB18pEvr9wKdAofiE1uYxWN1E/fiFIK0Peu+GG6PRa3njYj&#10;oxbfoMLaC5N+0SKCYSgvaL+vNZu/bicpulFaRFljcrF9vH9ts3b9q08/1NKWkFbkftcQ8Cv29U2K&#10;KzP2NwgNftpxzrkDBaZ22TYU+h72fBjJdKJY2uEnMTxCoh2gjjoDqLAxY8Z4a6vb/SB6i+q0Qwey&#10;yEheVHsooh0UDTRCon2wdwE6TWki7XDG/PnzB2W33npri3OrjER7HOr0w9TJR250GaLHbmO1DN9k&#10;PvrJRpYHC98TxlrmFghn5hP77PVbJ2SfTWGLhZcguHz727J9vpx62HAEO8BKmvw+bzzSX2WH2JVc&#10;YTG17e3+vYT1b2guQLvOOVtRhlghHhLtdsDaycnCQ6VdfhKiqkgF9ggS7XGo0w9TJx9BxFCkwCDO&#10;reBlZNqmklDQ0k+2fFtMuofFlupjZNQFn+eLuEOYYTKnFbU2RQfvBxHHAYcrHN30HL7ncAQ7QBUd&#10;fp+dK65saUt2oiosJuXF7t9L2EmdGAwW+bWT55wdhIai5/aOS1577Cad9JMQVaAnVOD+/fuzOu3W&#10;6hJlBxLtcajTD1MnH7miHSkNdhtLMPKxnbRJPyHfmqIyJt3DQkGFzx0K+DwralFmMRaISJtO0Q7B&#10;DuxAAotP2bbkri4bqiCTLmzV2Hf/lO82tvYO9g5NUT55J885G/HnIDQPOziNqek+0nTST0JUgdKq&#10;QKTMLFy4sCX3yDXltAsXdfph6uQjCCmKFBjSA2xVF0S4be45RBihn+zKpIgkjyRujvhgJ2tygNIu&#10;wQ7sQGLvrENb2hJWarXf17dyqwV3Lrivr5Rl2WEFGxgHgD46ec7ZQWjR5FKIdO5nB6dlopN+EqIK&#10;lFYF5s08tibRLlzU6Yepk49c0Q5RY7chpcSmkdiIOP2E6DaFZTcqnCACzc9HycVuYwcSfZd9p6Ut&#10;YbEWPgfzLd5i6XXRjrxwth3WPffRyXPOfgffZGeCdBjuxxrvZaOTfhKiCpRSBdqZxePGjUtn92L2&#10;LmYfP/PMM9kMY9VpFy7q9MPUyUduBRekD7gi3dautnnh9JONHocix52AOeRuffZuYgcSL//5hcbW&#10;JF1widvT7xxYkMpOXB1sSc0ygOi1TUHKo5PnnDsIzcOK+9DE2W7RST8JUQVKqQJZApKRdPcxS/C4&#10;pXmqjER7HOr0w9TJR+7CQ0glsEIeEce89AL6yeZphyLHdcHm+aOCDIHw5nZYaEEqVJeJ3bessHpL&#10;kRDu5DmXd6fIxea+4zuXkU76SYgq0JOi3X1cByTa41CnH6ZuPqJQgSGqboV8XjUZQD/Ziigodyha&#10;c9d3335hY2uz5jrtg3lHN57xUwXRHkMnzzk7CLWLa7nY/Htf+dEy0Ek/CVEFSqkCmR7DFahsusyy&#10;ZcvSgv3KaRc+1OmHqZuPfAvS8DEm5LH2NcyKGfrJpnBUWVgOBiu29808uLG1tXwjLJSn/vmW1dm+&#10;VR4QdfKcy5tI7YLJyNyPq/6WjU76SYgqUFoVyImoXBnLNzE1b9WsKiLRHoc6/TB185Ety4coO7BC&#10;3tZIR2UZQj/ZiZe9OFmyE2CBJ7voFHxkJ5XSQmUcbepRKP+9l+n0Ocf2i7YOQY40GTeajomy3A81&#10;5stIp/0kRK9TWhXIko9TpkwZsOwtDBNUEYWvCxLtcajTD1M3H7FWuq2sYYW8XXDG1tq2fspEaI8t&#10;td9JbF47xLdbU55WhER7e2D7hVGcY2Bqa7HbgWq7yn+2m077SYhep+dUIBdaqhsS7XGo0w8jHyVp&#10;7i8FjBUzSDUg1k82V1v0Y/PaIbi/2LY2e2ytaBXZT9cvyPYbzMJRvUanzzm78q41TFIFdh4H9i0r&#10;nfaTEL1OKVUgouozZ87MouwufX19ydSpU9P89rog0R6HOv0w8lHrpDxrNjJp/fTZU7elwlITUZvY&#10;vHakDdFHrhXVlu92Oc2RotPnnL1zZI3pXrEVZrpNp/0kRK9TShUYqg6j6jEiD3X6YeSj1vJ31izy&#10;UzHIa3/30n/KRDei7fzfGsR9HhLt7cHeObLGaki2rGnRAkzdRuecEMWUTgVu27Ytef7551sWU9q0&#10;aVOLrV69Os1rl2gXLur0w8hHrQvN0NzKG/JTGFSOoeh+/9rm/3aSKtJm8rArqH62cXlja/XodFtC&#10;9Nxtz7ApMxekz3NeB8yWNS0bOueEKKZUKpARdE42DZkWVxIu6vTDyEdJWj3DihuYW+Nafgqz5+bW&#10;FVBpdpElTDbNw0bni/brdTrdlrCwk9uebZu2FZIQdS8rOueEKKZnRTtruHcLXwlKWie+m0R7HOr0&#10;w8hH/VhxA0Mda4v8FGbniisz0W3NinFMNs1Dor09WFFuDesQABuJtxWSyobOOSGKKZ0KRHWY3bt3&#10;ZznrO3bsSKvFuNZtJNrLiTr9MPJRP7ZuNczN9ZWfwrzxiH/yqZ2U+umaWY29B/LhomakHivPVpVO&#10;t6W8idUwTK621WW4VkEZ0TknRDGlVIGh6jFlgKJ9pFJ0JNrjUKcfRj7qx00puOn2exvP9CM/hXn1&#10;6Ycy0U1DeUy70imi6XnYWu9FE1Z7nU63JZuz7hoi6/wf5U3LjM45IYqRChwiEu3lRJ1+GPmoH4h0&#10;K25QUcYiP4V5advWTHTTkM9uy0EWlcmUaG8PRaLdtnMsJFZmdM4JUUypVSAi7lu3bk3mzp2bTJw4&#10;MZkzZ04qkJE+s2vXrsZe3UGivZyo0w8jH/WDZd6tuHEn6MlPYeCffdMPyoQ3DCkvX731l+bjb4R5&#10;Hqjvzv2K6rn3Op1uS7ako2t2xV/cXSozOueEKKa0KhCTUidPnpzlicOQ446c9+nTp6ePN2zoXg5k&#10;Xk47vnMnBhQS7XGo0w8jH/VjF5yBuRP05Kcw8M+eG47NhDcM6TBYBZWPUQoyDyvai1ZO7XU63ZaK&#10;RLs1NwWsbOicE6KY0qrAxYsXZ0J4woQJ6V/WZd++fXv6eMaMGY29R56iiaiwdg8oKNrzjJ2dTCaL&#10;s+f+bVOLoHn0sSe9+8mKbfftF2bCG7Zr+ZSWtJl90w7wvg6G57jfqy/I/0O1VavXtrTlAw8/q+Ux&#10;7aZFy72vL5uJaoMsCgZfly+v7voMnaCUot3+oBC/7gqoI7UiKgcH1vLSYfCdly5dGtxvqPiEujVf&#10;xyeTyYrtF0edmwkaiHjfPrJi23H/7Ex4w/AY2+029zW0ln2+Efq+fWRhc0X7iedd1vKYhv18ry+b&#10;ie7BgGkng6LtEO1D0Vt9fX3JwoUL08U7+VpU+0Pqtc2QsEFjux9Ste3nxO7XTkop2kMivYyiHfB7&#10;Yb92fzeKc1GMOv0w8lETTuDzLe0uP4WBf157clWL+OYKqDb15W+ffZhuc7GvqzKdbkvuYmFoz6jR&#10;brfBylzuEeic6z69INpdbRYj2kPZEfY9fGKcNpT92kmpRTvrnbsife/evelIqdOifbBY0d7uH0yi&#10;PQ51+mHkozjkpzDwzyt/2tgivjEJFSCXndvy8tXt66pMp9vS2/v6WsQ5BqNYDdVuK3u5R6BzrvuU&#10;XbRbfYiIdozesiJ/3LhxLVF1zJN8+OGHW0qMuz7A97UCnenPsfu1k9KqQB74mDFjkhUrVqQiHT8S&#10;nMBbG51sVEWg0UydOjVZv359Y0v/j2Vv17T7u0m0x6FOP4x8FIf8FIY+2j/lu02B/lFf+pwt50gh&#10;b7GTVRGVrzKdbktYQMkKdFRGmjJzQcu2spd7BJ32kwjjClEfqOpnC4VAm61cuXKAcN68eXM2JxHG&#10;tBGfaGcwFtustnJhxBzfL6aKn/2s2GCqzwf2+/E7x+7XTkqrAu2B+4xR+G5gI+o+68RtEYn2ONTp&#10;h5GP4pCfwtBHn66dm4pvu5AS6rNTlPtqsEu0txcr0J98dvOA2u1lL/cIRsJPopiQaC9KM7GvydsP&#10;gVdXtMdmKbhZFjGi3WrJ2Mi3RPsQwaQBt+wjDLc3uiXYiW9CA+4KYITYbsEOJNrjUKcfRj6KQ34K&#10;U+QjCHiKcqyQ6iLR3l6Q/kKB/uobu5K1Tz7XItrLXu4RjISfRoLtbz+XTH7w6OScu39cWsP3e3bH&#10;msY3blIk2q24xvPQOhDgq1evTre5Kc3ufshG8Il2fmZsxJziO0a0MzXGBnp9QWH7Hq4P8NncZt8n&#10;dr920jMqcM+ePanl/TBVR6I9jqp0+p1EPopDfgpT5KNP18xqivYXVja2NrGrphYtwFQFRqItHXna&#10;xZlAx4RTdx0CpMyUnZHw00hQdsFOG3vvzxvfuIkrRC0+AQysSIegpijOE65WgGPhTPwNzVH0CfRO&#10;i3afIcWHxO7XTqQCewSJ9jiq0ul3EvkoDvkpTJGPmDIDw/8uEu3txa2E5Oa5u4uHlZGR8NNI8Mhf&#10;7vCK5LLZ8k2zGt+4SYxodwW2K9rz9iM+0c7X5lEkkGm+11uB7nue7xsS7cyksMTu105KowLtjxhr&#10;Zase00kk2uOoSqffSeSjOOSnMEU++mzj8mLR/vIGifYOY8s+lr3cI+iWn0STGNHuRtBdYTyYSPuy&#10;Zcuy/4si5kMV7aF8+SLR7vOBJXa/dlIaFWgdG2sS7cJFnX4Y+SgO+SlMkY+QEkNRbieoktDzVaJb&#10;bQl57BDsqCTTC3TLT6JJkRC14hzPQ+TaPG5qsrycduS+r1q1qkW0I6fdvu9gJm/GpMcA7sd9fQsp&#10;SbQPEvsjY/Lp/Pnzg+YrMVRVJNrjUKcfRj6KQ34KU+Qjm/7y8Z0XNLY2kWgXLvJT96EQdY2iNu95&#10;mBXcVii7+7ii3e6fF533ESvagS3J7TOJ9kHiRtpRIWbjxo21EeUhJNrjUKcfRj6KQ34KU+Sjr3Zu&#10;yUS5L/3Fps9ItAsgP3WfkGgHyNlmZByWl8dt94MYL6rTDg3IaoGxIngwoh3s3r07XWMHr6Hhu8+Z&#10;M8cbfZdoD4Ayiq5DYfghd+zY0dirnki0x6FOP4x8FIf8FKbIR7ak4wfXH97Y2iQ0UbVKqC3FIT8J&#10;UUwpVSBGYVhW1o7kYByp7du3r7FnfZBoj0Odfhj5KA75KUyRj7AyKkW5rw67RLtwkZ+EKKb0KpCL&#10;GFnxDut0WZ2yIdEehzr9MPJRHPJTmJCPKMr3T/luY0sTW8f90/W9MVFyqKgtxSE/CVFMz6hARN/d&#10;PCpVjxEu6vTDyEdxyE9hQj6CWKcwd2lZMdWz+FKVUFuKQ34SopieUIH79+9PZ/666TIS7cJFnX4Y&#10;+SgO+SlMyEdIi6EwR7qMRaJduMhPQhRTahW4devWbDaxNeS2o9xjnXLbJdrjUKcfRj6KQ34KE/LR&#10;B/OObor2995sbO0HZSAz0b5ldWNrNVFbikN+EqKY0qnAvBx2mFuWp05ItMehTj+MfBSH/BQm5COU&#10;eqQwR912S9FzVUNtKQ75SYhiSqUCffVBEWlHvfa6I9Eehzr9MPJRHPJTmJCPbDRdol1tKYT8JEQx&#10;pVGBdnElVobRwkpNJNrjUKcfRj6KQ34KE/KRm7f+5csbUrGOyjHvX3tw9hwWYqoyaktxyE9CFFNK&#10;0R5rmogqXNTph5GP4pCfwoR8ZGuxYwVUK9StufnuVUNtKQ75SYhiJNp7BIn2ONTph5GP4pCfwoR8&#10;hPrrFOYQ8PsnfatFrNMk2gWQn4QoplQqENVi5s+fH22oIFOXFBqJ9jjU6YeRj+KQn8KEfISUGArz&#10;T+6b0iLUrbnlIKuG2lIc8pMQxUgF9ggS7XGo0w8jH8UhP4UJ+QilHCnM7cRT1G//cNHp/du/+Vt1&#10;1JbikJ+EKEYqsEeQaI9DnX4Y+SgO+SlMyEeoCpMJ9St+mP0PAV8n1JbikJ+EKEYqsEeQaI9DnX4Y&#10;+SgO+SlMyEdfvfWXTKhbQynIOqG2FIf8JEQxUoE9gkR7HOr0w8hHcchPYUI+wgRTn2hHfnudUFuK&#10;Q34SohipwB5Boj0Odfph5KM45KcwIR/97asvvKIdlWTqhNpSHPKTEMVIBfYIEu1xqNMPIx/FIT+F&#10;ifGRT7SjZnudUFuKQ34SohipwB5Boj0Odfph5KM45KcwMT6yE1BpqCpTJ9SW4pCfhChGKrBHkGiP&#10;Q51+GPkoDvkpTIyPUN7RFe2oKlMn1JbikJ+EKEYqsEeQaI9DnX4Y+SgO+SlMjI9sfXba1++80Xi2&#10;HqgtxSE/CVGMVGCPINEehzr9MPJRHPJTmBgfcREla1VfAdVFbSkO+UmIYqQCewSJ9jjU6YeRj+KQ&#10;n8LE+OjjFZcMEO11Q20pDvmpHnz99dfJ9OnTk1GjRiXLl9drUvpwkQrsESTa41CnH0Y+ikN+ChPj&#10;I9Rkt4IdE1PrhtpSHPJT91m8eHEqpmfMmNHY0n7aIdqXLl2avh42fvz45PPPP288MxAek882bNhQ&#10;uM+4ceOSjRs3pvuUAanAHkGiPQ51+mHkozjkpzAxPkJNdiva37/24MYz9UFtKQ75qfv0gmjfvn17&#10;i7AuEu32s3wWEu007tdtpAJ7BIn2ONTph5GP4pCfwsT46LOnbmsR7ZiYWjfUluKQn7pP2UX7F198&#10;kZxxxhnJkUcemcydOzd9j1jRXnRMPG77Xn19felnhT5jJJEK7BEk2uNQpx9GPopDfgoT46PPX1jZ&#10;Ito/vvOCxjP1QW0pDvmp+8SI9q1btyaTJ09O94NBQK9cuXKAqN28eXMyYcKEbD+IbOzjE+179+5N&#10;Ro8enW5bv359us3HunXr0n3w/fh/p0Q7yNveLaQCewSJ9jjU6YeRj+KQn8LE+OjLlze0iHbkuNcN&#10;taU45KfuExLtFMo+s6/J2w9pJq5oZ/Qcj4vEMYX9sccem3zwwQcdF+020l702pFEKrBHkGiPQ51+&#10;GPkoDvkpTIyPsJCSFe3Ica8baktxVMVP299+Lpn84NHJOXf/uLSG7/fsjjWNb9ykSLRbcY3nIW4h&#10;ilevXp1uQ8T9lVdeyd0Pk0d9oj0mmm1fw/zywYp21+wx8jv4rOj9RxqpwB5Boj0OXRzDyEdxyE9h&#10;YnyEhZSsaP9sY/1KvKktxVEVP5VdsNPG3vvzxjduUiTaOQGU4pxYkQ5BzYi4ux+xQnrixInpX0bP&#10;8/AJ9JEQ7Xjvou810kgF9ggS7XHo4hhGPopDfgoT46O/vvdmi2j/fMvqxjP1QW0pjqr46ZG/3OEV&#10;yWWz5ZtmNb5xkxjR7gpsV7Tn7Ud8op2vzaMoEk7zvd5+lu+YCN+fAwCbY1/0upFGKrBHkGiPQxfH&#10;MPJRHPJTmFgfWdGOdJm6obYUh/zUfYYSabcCd7CR9mXLlmX/F0XMR1q0A0by846jG0gF9ggS7XGo&#10;0w8jH8UhP4WJ9dH+Sd/KRDvSZeqG2lIc8lP3KRLtbvQZ4haimK9hZL0o933VqlUtQho57fZ9B1MC&#10;stMTUd3jKANSgT2CRHsc6vTDyEdxyE9hYn303oyDMtH+14/6Glvrg9pSHPJT98mLaFPM5j0Ps4Kb&#10;gtq3jyva7f6DiWoPN6cdxui8T7QDbi9LtF0qsEeQaI9DnX4Y+SgO+SlMrI+4KurHKy5pbKkXaktx&#10;yE/dJyTaAeqoMzIOGzNmjLe2ut0PoreoTjui2qz9HhvVjhHtoGigERLtQ70L0CmkAnsEifY41OmH&#10;kY/ikJ/CyEdxyE9xyE9CFCMV2CNItMehTj+MfBSH/BRGPopDfopDfhKiGKnAHkGiPQ51+mHkozjk&#10;pzDyURzyUxzykxDFSAX2CBLtcajTDyMfxSE/hZGP4pCf4pCfhChGKrBHkGiPQ51+GPkoDvkpjHwU&#10;h/wUh/wkRDFSgT2CRHsc6vTDyEdxyE9h5KM45Kc45CchipEK7BEk2uNQpx9GPopDfgojH8UhP8Uh&#10;PwlRjFRgjyDRHoc6/TDyURzyUxj5KA75KQ75SYhipAI99PX1JQsXLhxQfN+F+9lFBrA4wK5duxp7&#10;tA+J9jjU6YeRj+KQn8LIR3HIT3HIT0IUIxVowCpdVqzTfKIdq3edccYZA/aFdWK5W4n2ONTph5GP&#10;4pCfwshHcchPcchPQhQjFWjYvn17KrhXrlyZbN68ORPhPtHOJW+tQLfL3YaW1R0sEu1xqNMPIx/F&#10;IT+FkY/ikJ/ikJ+EKEYqMAcI+DzRbqPsM2bMaGztxyfm24FEexzq9MPIR3HIT2HkozjkpzjkJyGK&#10;kQrMoUi024i6+9y6detyXzccJNrjUKcfRj6KQ34KIx/FIT/FIT8JUYxUYA5Fon2ozw0HifY41OmH&#10;kY/ikJ/CyEdxyE9xyE9CFCMVmENZRXuesbOTyWQymayXTQjhp3ai3Ypqmm/SaNlEO/CJdZqv45PJ&#10;ZDKZrJdMCJGPRPs3NhzRvnz58sbWfpjT3omyj0IIIYQQop4oPSaHItFuJ6LmVY859thjkw8++KCx&#10;VQghhBBCiKEj0Z5DkWjHIkzTp09Pn7MR9a1bt+aKeSGEEEIIIYaKRLvBRtB9ZtNoIOrz9lWUXQgh&#10;hBBCtBOJdsNgRDvo6+tLpk6dmj2PqPucOXOSXbt2NfYQQgghhBBi+Ei0CyGEEEIIUXIk2oUQQggh&#10;hCg5Eu1CCCGEEEKUHIl2IYQQQgghSo5EuxBCCCGEECVHol0IIYQQQoiSI9EuhBBCCCFEyZFoF0II&#10;IYQQouRItAshhBBCCFFyJNqFEEIIIYQoORLtQgghhBBClByJdiGEEEIIIUqORLsQQgghhBAlR6Jd&#10;iAqzb9++5MUXX0y+/PLLxhYhhsYnn3yStqX33nuvsUX4ePnll+UnIURHkGgvEW+++WYya9as5IQT&#10;Tkguu+yy5OGHH5bY8vDUU08lF1xwQXLWWWel/sIFUrQCwYA2NGrUqNTQppYuXar25ACBNWPGjNQ/&#10;06ZNS8850QraDNoO2xIM551EaSvwB9oQfXT00UcnixYtkp8ccM6NGTMm9dGpp56aPPDAA+qXhIhE&#10;or0kQIiik2eHT5s4cWIaLRX93HzzzQN8BIOoEP0gIoqLoc9PGOxIRPSDc87nI51zrVghag0Dnc2b&#10;Nzf2qjc4p/LOOQQXduzY0diz3mBQnOcjBK2EEMVItJcACARcANF5ITqK6Awfw3AxUKefJI899ljq&#10;DwxuIN4RIaWPYHisiE2SRkHhDwh0iCr4DRdF+gn/112UQiBwkAxR6p5z8lE/FFnwDdrRc88913IH&#10;Bz6UcG+ecxjw4c4f/MRoMv1Xdz/hfOI5B38h0GIHOvCR7poKUYxEewmAYECnBZFFEC21ES50bnUX&#10;EezgcTuV4FarFVu4GNQZDFroC/iGoD1ZsQVRim11hSILAz2CaCnOQeujup9zEKHwxcqVKxtb+mGf&#10;BYMQs22tjtAXVpjj/GI7g6GfqnM0mXdJ0aYIfGSDL2hLClAJkY9EewmgOJ87d25jSxMrSCEo6hpJ&#10;hqCiH9xoDKJafA7mCow6gQse/eAKKffWtK+91QVGQe+6667Gln4gIqyPMNCpM+x/XD9BfFo/YYBT&#10;57tc9APuRrjgPLN+qutgueg6Z32kAJUQ+Ui0lwBGGtBZ2XxjRG2w3Qp3G2WuE1ZMuZ0+o1n0E6I1&#10;dc3btpF2RLQopOA/CAZst9Hkuka1eNcB4t2KKJsOQh9hUFhX6Cc3Aso+y7alOg+WeW6hD/cNXmzE&#10;3R0A1QXbT/v6Zyvc7R0wIUQTifYSwFxtGEQERAImyVE42DzSvItCHbDpHejgEXHnbXr4BaKCOZPY&#10;XlfsxQ9iAiKBkWX4EBdM+AuP3QFQXcDglz6C8MQ5hvOQ7cdWuMDzdcVO1oVvcF5RsKN/woCH5yXa&#10;Wl2x7QkRZbePxmMOcOrah9u7gGgzPh/YPr6uAQUhipBoH2HQEfk6I9tZWWPEgVF3WB06M4got1PH&#10;LVMbAbXGaCjzJusstKxAsAbf8bazL7+0qkCA+263M1/bNQ74rGCta0oDyKvYxHPO+qkOYhTBAgzw&#10;bH66e86h33Z9Yf1U9fQPnHMICOC6hgmnPH844IP5BjcIKHDgXNc7EkIUIdE+gkBsQzjBXOGNTs1G&#10;SGG4ncjODp08t1d9hj06axynr1OH3xgBhaGDt7W1md5Q9agf2gVEZ16kHH6D2OIFEPvaW9L0cdUH&#10;NzhX4AO0B1cowYfMs6XBZ2xzNm+76iILx422wP7GBZFk3p3BX9sH4X/6Ke/1VQDtwR0M25QgtBGm&#10;ycAgWK0/6tKe2LdYg1/gC5j1Ec4/t83QxxLtQgxEon0EcSsJ+CLm6NghPN1JhHW5MEIw8ThhPuEO&#10;EOVD5Mq9+HHgU/WcSNuWBpviAn/W5cJoo+k+4Q5wHuKcc89Hpq3hXK0yHOjCioR7Hlx4Ca+tKmg3&#10;aAf0kzUbNEAb4uAGhv/RT6H/5t1U/K0qNtXTNfbJuMZZXyIIw+sdB9nYrlKiQgxEon0EsREGWJ5w&#10;d8FFlNFliLUqYwcntDzh7mJTiKre4VthAIsV7vAjBzZ4j6pP2KUAoOUJdxfsQx9XfeEutgfaYIS7&#10;FWlMl6kidvAH0W3bFdqJBW2Hg2LX8LqY9teLoM3wnMFfBARscAHG/gY+sHdMYfbxYAMRQtQFifYR&#10;Ap0VOyZ7Sz4k3CFi2ZnxFmOVwe1mdtrubdQ84Y7teB0vpFWfhIoLHo4TF0YrHkIXOkSzrJio+sAG&#10;5xWOE4LLnnMh4Q7xSfGBcy9mwNjLsH/hMcNCwh39mc1PRnpNVUF74HEiag7caLHbh8N36Idcce/e&#10;Qa0S9s6UPb/suWf7HPjItiEazteqX+eEGCoS7SMEo8DoyCECYoQ7Oi5eGNDhx0Tlex1GZjBYQccf&#10;I9xttA8XgaqLLB4v2hLaVaxw561ntKWqC3bAiX+I+LnnXJ5whxijPyFmi8R9FUAfY4/Vnm9Fwh2i&#10;HfvCV1Uv9cgcbTflzlaMwTnpA37CeQerU79kwbHTT76SxbiuwccwpBpV3U9CDAeJ9hGCooFiyRUR&#10;rnDHBRT7YBs6urp0ZDheCAgSEu4QWQAXjDoIUcABII8Xf2OFO/xVl7YEwQnhyTbinnOucOd+EBk2&#10;T7nKQFSi72EK0GCFO6zqsB0xyk7gK/oJglP0D2Tcuwk479g/uX6qw2BGiHYi0d5FXBFB4Q7D/3hO&#10;5At3RsDci2nVgIDEsdpoHgUmyRPuEByIEOLiKPKFO/1X5TQPgHaAtgRxRTEO4W2FeZFwRxTVFy2t&#10;EmgjvnPOh0+Mov+uy92sWNierJ/wP7a5dzCEEPlItLcZRBncC17RBC2fcIfh/yqLdnTYrsiEWMjD&#10;FRL2/6qKdhwz2g+Pk8ed1558wp2vR55oVbE56DBMFCwapLjnHF5Lv1VVtOOY3UmB6GesiLL4hDva&#10;E/6Hr6zIrxIYDNvjhhWdc9yXfmTABduqXCUGfa495yC8cex5cCIvzy8KdrtNCBFGor2NQLBb0WSt&#10;qGNyRQQMj7G9iiBaZ4+VhotdUXTKFRKwUCSsV8FvzwmCPssTW65wh8FnRQOiXgbHa4/VWlGute+c&#10;K0or6nVYltFneX2N73xD26pqBBk+cI/Xmi9lyop2K9jt3YmqAT9Yv1jLSytjuUucY1awV/mcE6IT&#10;SLS3CSuy0EEhMsPIFK1okiT2535VFuyIgPI40XlDdNtoMkRBkRC30cKqCnbACxuiWYj+QQC4witv&#10;IAi/cJ8qC3acI4z24dxC9A9/eeywosGyPeeqLB4QTOBxMmIMcUWBCcsTmWg7HARWWbADtBUcJ/px&#10;5utzG80dLLPvQrurg2CHT9gecM7gnHMHv66PAEW7bXMS7EIMHon2NoHOCx0ROjQ7OQsi1XZUvjrr&#10;NjpaZcEO2MHjImdxo+8+cWAHQVUW7IAXObdGONoZ2wrMzS+20dEqC3bAwQnOL3vOuD7y1Vm351zV&#10;xQMHgG6KFCLDNrKMc9OF5xx8VWXBDugL95yyg2AY2hfheUqrsmAHbEu2WABwo++uD11hL8EuxNCQ&#10;aG8TtmN3Rbe9bQpzb9vzwlh1wQ54kfMNXnhBgMFfdrIlLoT0YdUFO2AOqDu4AVZwwmz+Nl9XdcEO&#10;WNMf0XYX10dum6GIqIN44B0ad3AD7CAPZu9M0L91EOyAd218d2ds/w5/8Jyzd3aqLtgB+2gcq4s7&#10;uLFtxgZlJNiFGDoS7W3CTftwscIdnb6NxuNCishE1QU7sJE7twIKsMLdFazwYd6EsKphL3I+wYRt&#10;fN5eQLEdj6su2IEVCb6BHHxB4e6ecxBXVa+CQmwakO+ugyvc6SdsR1vytb8qQgGOtoK+xsW2N96V&#10;QL+P/esg2IGNqNs7DsT6CIMgXtPgGwQUitLVhBBhJNrbCDpudFboxENCC6KsjuBiSB/kXehs3rrv&#10;4lkHIJjoAwz2fH5gJBRWF2FlgSBgdDTPR1ZE1EWk+2DfBPMNcGzeu0/Y1wHbN+XdqbI57gw6cM5J&#10;HcA5x4Ewzjlf4AXnGX1UlyCLECOFRPsQQEcFYckICwWTjWjlCXdGc5AmUnUQiYF/4Av4ixG80C1l&#10;7McLg++uRZXARRDtBsfp3m2xdx18otReQH1CrErg2NluELFjeoIVCHnCnYK1DuccxDfaDczeWXAr&#10;W/naS11ShnDeoG+Cj9xqJ/YOl0+4w6d83qalVREcH9sE/qINAdsv5Q1uWJRBqTBCtBeJ9kECIQ5x&#10;wE6Lxige80dhPuHODq/qAsKtugCD39DB46JpI3/43+34ebs+r4RYFcDgjznoNFauIPauA/xn2xP8&#10;yLbou1VdFSAwreCkMYpn2xr84YoppmT55lFUBQx8eZx5vkAbsc+7c2vqINohPCkoaTgH7WCZfoDh&#10;To4dCNZFtNvBMA3nII/ZBl5cHwE+L9EuRHuRaB8EEFk+8QDDdoote/HEdgh5XBQgTClGq3wL2kZi&#10;XENnDqwvYOj4KUiZ0gDf+SKnVQAiyx6/NTugQ7uxF0gY2g58RXGB97Gio0pAJNhjt8acWZgVWmg3&#10;EKTYjvbDFJoqDwDdNkKDcLd3smxKFQyCFW3JRpgZUa0a6HM4yHXNikv4yx1M85zjdgQaqnrO4Tjt&#10;sVtDXwNw7DbwAr/y/MI5y+tk1e8ACjHSSLQPAl4Y0UGhM0Lkyl4EGG0HNuLuWpVFFgYu7LBxgUMH&#10;bgUBjCICf23H71qVBzY2Ogw/uX5wByu+Oxe0Kkf86BecZzjfIAzsOWdzZot8BB9XFRtBRxSZFZpo&#10;tl8C2J/nqGtVPufswA7twUbc4Q97hwv9s73LZQ37VnVgA3jO4TqF8wvnnG0v7G/go7zBIgz+FkK0&#10;F4n2HNAhQWxSXNvbolYo4H9ud2+/4zk3moqLhW/yTq8CcWlFASN5OG4b4bOdOyPqgH52RQTEA31f&#10;Bexvbgc2NkXBigRXaAG0Jyvu0ZaqJB7QXtAWCHzGY7WDGHvr3hWZEBiMrNMgHqwg63WYYkbQDnic&#10;BH7g8ePcc4E/7TnJQESVsOecbUuMCAM7wLH9OsEAxz3nqtR/oy3Zc453ttA/2eO0d2hsnwVwZ9UO&#10;pGG4c2H7fyFEe5Boz4EXNIondEAQoojOuFCY+54DuBiiY6vaRZG3m9HBUxRxEIPjtUBcskN3O32A&#10;12M7XudGmXsdXvB4XPQFxIAF/qSPqpx/nQfFJ8UT2gTalzv/A4KVIsEXzcPzEGZoSz4h1ssw9cAO&#10;6jgAdMUkI8kYxNQN3HWx/RLvRqCNWWy/VOW7DD5wnvDaxfMEfRT85uai4/pHP/ny1PE82iTOORuU&#10;EUK0F4n2HCjamTcLIKp8HRIjpOgALegIq3wbFRdECgYbrcFx82JJ4EN2+lbQYzs6+6pGZXB89JGN&#10;eMIHPpHAi6grVOsQtWJE0w5mIER96T88P10/oe1VKRLqwhQP2y+hT3L9AHBOYl+YBa/ja6sI+h4e&#10;t+2XIOTtYIdwAOgTqlUGbYB3pew5h2uW77rF89P1E4JRuDYKITqPRHsOvE0I83X0Fogv7GdFOzoy&#10;bINgq3KHhg6cx+kKdRcKUop2XDQoQnwR06pgxVNIUNIfVoQh+gVhUWUfAQhu+omRvzzY7qyfeM7B&#10;V1UVXNZHNs3DB/ot7kvgF4gvnIuh87WX4aAO/VKoLaANYV8rRnnOuQK1atg2Egow+fyEvhzb0J6q&#10;PBAUoixItBfAyIKNavmwHRegeIBBaFW5M8PFjcdqo1o+mP4Af1nBDqta6pAl746ED1eMUjxgG9pX&#10;1aN/POds5M8HB8r0kz3nqi60Yn1kBT6gYMdjtMcq3wW0/VIo6EKBz3Zjz7mQj3sd9MOMtts7gT54&#10;R5nnHK97MAZihBCdRaK9AHvRK+r4mbMMUVUnwU5sVKsoesdIDQRXXQQ74QUv5CMr2l3BXodb0Pb8&#10;KYq2UzDAT3US7MD2S0U+sncLXcFeh7xj9kuhoAvPOfx1BXvVB8nARttx/HnYvkmCXYjuINEegBe6&#10;oogLRQOjqbC6CHYQG9WiaLd+qoNgB9ZHRdF2m2pVN8EOYiN/FA30EawOgp3E9EtWtHP/ugh2ENsv&#10;UYzCR3UT7MDeCSw65+gn239LsAsxski0B4iJatlIH6xOgp3ERLUo2ml1Eewk5o6EjWDB6iTYSUzk&#10;z/VTnQQ7sCUd8/olK9phdRLshCl5Rf0SxSitToKd2Hk3eeec3QcmwS7EyCPRHgGEEzqpvKgWJhey&#10;I6ujYAcxE3et0KqbYAcx0XYrWOso2EFMtN22t7oJdmB9lNcv2fZWR8EObNAlr1+yYrSOgh3YaHte&#10;uVnrSwl2IbqDRHsEVkjlRbWwHeKhjoKd4IIHHxVFtXCBrLJgh1CCoMyLpDPajtvwPh8x97iugp3E&#10;RNvRjvIGP3XA+ihvUinrlddRsBP2S3nraOBcxflWV8FOOHgpuhOI+Vu+dTaEECNDrUU7IuQQ2kjb&#10;gJjKE+QxUa0qgws+fEQ/QZT6iIlqVRVc7O1tdlz4cBF0L34QVyEfob3lXTR7HQhwCEm0JUT08o4T&#10;2xn5y4u2VxnMbWB+Nfoen+i2/VKRj6o6+OM5FxLatl/K6+PxHlUV7OiveZ0rEtz2nKvzYFiIMlNb&#10;0Y4V8thBWUN6i6/ztlGtPNFaRRh9cQ0iwRcpZlQLkau6YMWTa/CDW5udPiq6I1FFkIftnnMQpnmi&#10;0ra9utx1QHuwlZWs+fqdmDsSVQR+wrmF446JkPOcq1vQxZ37AUP7ygP9OvbBeVrVwIEQvUwtRTsE&#10;AMUDJirxFjI7NdxGdUWCFWZ1ifzZCBUElI0kw3wXy5ioVtVA+8HxQkQgIooBIZeQh0GYWkFlfVSX&#10;OxIQnDxm1xAB9FHHyB+rB/nMJzjrekfC3rGib4qEux3c1KVfcgskWEMf5QP9FPdRtF2I8lFL0U7x&#10;acUCLn6MxsAgutyLAOuxw+oQ1aLwtJ03osaMcMHgMzdazNf5REYVoS/shRBth7XZYW5EmW2tLtF2&#10;tgkcL6J/7gAwb6VYRtvrEPlzBTgeQ3jZgIKv36GP8p6vIhTh1jdFwt0GXerQL9njxbmGvscOXIom&#10;kiraLkR5qaVop2BCVMuCjs5eBNzbiO5Fteowp9ZdLh0XRvrQ56e6RbV4rL5l5a04xWCHosJG20PL&#10;0fc6jLLj3LGikncoYHmTk21lpqpH/hgZdQdy9nzy+cn2S3mVP6oGhSXOI9sXFQl368eqT8xlSVDc&#10;SbawBCaeh3BHe3Gj7jbarkmnQpSLWop2RNjRISH6Zy+OFFJWuLuCqk5RraLIlCvccUEkdYtq0Q84&#10;Zp9gsBF3O1Dk66ruI4p2d6CL6B/9UiTI6xL5wwAFA2U3Copjpp/yIqR1uiMBID5xrOhr3L4I//vO&#10;Q9svVT3oAiGO43QFOe94ueaefzzn3AGkEKK71FK02zQXdP64WCLywsgyxHteikedou0QCPSTTyxA&#10;dPEiiL+WOkXbGdWC4a6De5HDY0a47EXQvq7qPkKE2BfdZPvBHQkL9qXwspG/qkfb0Rf5UoXoJ3v8&#10;8A8GhPCPFfZV9xFA32OjwEXCHfsy+FKnFEecc7YvssfuM+sPnH/cbgMyQojuUnnRjosZLmyIrkNQ&#10;QRyhI7MdvDUKcUYqYOj0LYxqId2hKvgEFXzHgQzMd2ve+snWioaPKTTyooNVwW1PPuFuJ2KyPVkf&#10;uSlGvQzagS/S6YODGSvaOVjEc4SRv7xJq1WH7Yt+siKV/RB9hKBCrP97AaZy+Pofi0+4Q4hyDg7e&#10;xwZdqpRKhHMOfQjOD7QDt9KQ7adx/YKvYLzrDHPFOX1ZJT8J0etUWrSj47KikwYxgE7OdlgwdHa8&#10;2EFYcbsVowAdPy4EVYnUUCS50U4AH/IiB3NzHOEvPudeKHARgE9dAduL4DjRbvIGIGgvFOAwV7jb&#10;3Gw7COQdCfc2dq+CwR/aCy74PJeKYOoQ2x7bot0GcK7h7ldVzjnk8/sGd3mwr4JP4FcKKviaA274&#10;xvVbL4Pj4aCOhn636K6U9Y37Op53DLpU5ZyzdzWt2b6XqVfuwKcoos47zra/EkJ0l8qKdnTeFFHo&#10;xHEhs+ITz+GiAKEJoeAKc2zHfnhNFURnHvATfQLzXfDR0bv7UJAxxQN+wmCmqlBcwvKEO9qTHSTi&#10;ggdhAL8wCoq2aNsT/q+KEAVWMOF/tpM80JawL/7mCfaqYdOiYoU79sP+aEf0sRXsxO3HehXbf/vM&#10;FZgWvNa2QyvYAZ73pSD1Iug7eF3DwM72UzD4oahftoJf4lyI8lNZ0c56x+j4eVFEp2QjNxBYPsGE&#10;Tp057VW/NYhoCv1B8wkmiE930GN96Ubgq4Z7xyZPuEMM8Ha8z6oiqnzgPHOPNyTcKdqtf6ss2AEH&#10;cLQY4U4/0XyCvUqwshD6YYhOmK02BMs7B9HP8xx0BXvVYFvCX4I+xvZB+N93DmI/9ulVP+eEqAqV&#10;EO244Lm3THmRs50ZwL42GoEOzUYiEGGnYM/r7HoVCEpXNDK6CX+FhJN7MaBVfWCDgR2O04385YkG&#10;tBncgreDHPi26LZ+r4FjdI8H7QPHioifjXQWCXdXjNZBPPAcsudbSLhbP1VdsAP6yI2ou3f9OMGU&#10;oC/na/G3SoIdx+aeczzPfGmL9hzEOcn2heuA7Z+wX2jQKIQoB5UQ7bx1bKPmjMrgwmhFObHRLgp7&#10;dPDsyJg+UxWY04gO2mJ9BwsJd4ALJwQrrCp5oQTHhIu9vYgxnQHPuaIhT7gDtDsMAmFVGvzBN2hH&#10;OFfsucVb7fjrigb87/OBvT1fNcEOYY3zyfYj8Bf94Z5vRcId5xn2qaJgx++Ou3YWCm/04y72HIQ/&#10;cH4R+Be+raJgxzG55xwDTDhmt+245yCEOrBzuXDtq1LfJETV6XnRjg6HQttG1ZmTDrNRBoLHNr2D&#10;F1a8jqKjStg8WhutgQBAx09Cwr3Kt5px7DxuOxihSKA4GIxwryIYAPLYKQQA2oYVS65owP/2vMJ+&#10;OA9x3lZNsAOeR1Z4wnfor9hmBiPc0e6sQK0C6H947PbYbCqMe3cQ2HMQPrOgjVlhWwXsOWfvPthB&#10;r7tYIOA5ieeZKgr/oP1VrS0JUQcqEWlnNQAYxTewotwnCqxIq3pONjprpndAPBWRJ9zR0buRrapB&#10;ken6yD3mPOGOCyLShWw7rCK8U+VG/lzyhDvEGl5b5fOO/ZLrIwgw+7hIuOM9qnY3y2L7JRt0sX0z&#10;fOMLFlhhD59WHUbIKb4B/tq24wsgIEjD56vcloSoA5UQ7bgA4sKITslGtdDR84IAg/hkZ0co7H2d&#10;XdWwURlf9MriCgkrvKrc8VsfhXLQXeGOSBf95Eb/qoYVVTba7sMV7riz4ztfq0beHQkfPuGO/gr/&#10;Yzt8WFVYNAAGPxAbjPGlu6Df5/N1iBpb8W2j7Th2nk8w37WMz4X6NCFEuamEaAd5US2IU9uhIVrB&#10;zt+KegiwqpMX1crDFRJ18JP1EYRmCFe4w6qWT5sHo+028peHK9xhVUyJcYm9IwF85xteV7Ucdhcb&#10;dHH7JQxe6Av4xor6uol2wHPIPeds+iMMg2EO9DhBHFaHOxJCVJnKiHZ05uyY3KgWOi17McQFAuKd&#10;2/B/XbDRK3sBzIOiA1aHgQ2w0fYYwYQUD+5fF8EOIJR43DbylwcnU8LqINiB7Zd8Occudv86CHaS&#10;1y9BeNo0Rxj8CL9wO4RsaNBYFWy03a2cg/6Zgx8Yrm9MqYG510UhRO9RGdEOiqJaEFKcaW8N2+oi&#10;skBRVMuFt+dhdRHsYDB3JNB2ONGrToKd5EX+XJjDjn3rItgJ+6WYOxI85+ok2IHtl9z2AZ+5iwbR&#10;8JpQql/V4DmHvy4YSLPvsmbnSQghepdKifaiaDuB+ET0AYaITR07sphoOyJcvIjWSbATGz3P8xHg&#10;QLCOgh3k5dm6MCpaN8EObL9U5CPmdtdNsBP2Szh+N+gCcKeGghWGNlXHdI+8SmAE1zS0M17n6th/&#10;C1FVKiXawWCiWnXFRrWKbpkialPXiUuxdyRwQayrYCcx0Xb4JyaFpqowN7vIRxD3aEt1FOwA5xx8&#10;FOqX6g7aD6Ppvmi7EKK69IxojxVFdtJNHUVCrJ9YLi0vqlVlcBchpm3E3JGoMrFtyUbb6xjVQ+ST&#10;k/7yiL0jUVXQx8S0DQZd6tgvgdhzDm2I7amugRUh6khPiHYIJkyqib21HhP5qyKsox4TqbO37OsU&#10;1UJ7YPsItScbba9b5I856IM95+oW+ePgF8cdEu519RH8wnkfodK6de2XACdqx5QfttF2pMAIIepB&#10;T4h2O4E0RkTUMapla0LHCvc6RrVs24CF2hOj7XXyEaDIivERqGPkD8KJxwwLCXfb9uoUHXXLEYZE&#10;qe2XQgOhqoC2hOON9RGw51wd7wQKUUdKL9rRabNjosWICEa1EI2oA7j1bH0UI9xtVCumHF0VwMXQ&#10;+glW1J5wu5r71SXyh8GJ9Q8sdM7ZyF9dIsm25CUtJNzZL9XFRwBtx/VTkSi1/VJdgi42rZMWEu72&#10;TmDRvBshRHUovWjnhREXOVtrPSQi6hbV4oURt0p53DHCnVGtuqQS0T+oDmMjW0XtqW53JHju4JyL&#10;9RGoW7Sdx4vBHMU4DP/nCfe69UuAvkHE3banIlFat36JbQn9U6yPAO8EwhRtF6L6lF60szNDh49O&#10;aTDCnbf4cdGoOrwwQizYaDIuAEXCfbAL5PQ6aD8wwLxtHn9ee7KRv9BFtAqw9CDu3sT6CNQt2s7a&#10;4WgfOO94DvL484Q7fVSHXGS0Cdse3PaUdz5hP+5Th36JbQn9cayPgKLtQtSLnoi0Q2RxVv1ghDsF&#10;P6zqUS0ILdQtJoMR7hQbdYhqwQ+IshP3AmnbE0QX212dIn84V3COUXQW+cjFnnNVj/yhbbjtpUi4&#10;0x918hHA4M9WjikSpRChvJtVp34J/sFxkiIfudhoex3uBApRZ3piIqobscoT7ujosB1/gY381SEK&#10;4fopT7jDX7gLwQ6+jrfsLe4FEv6hAMN2tDcYn69D5M9tSz4fcTvOOQyuAc457leXOQAWthv6icId&#10;/sJj3DGsW7/kw21P6KswCEK/hPaEvsn2S/Bb1QmdcxTuEPjwEQd88BX3sQEJIUT16AnR7sMV7li8&#10;hB0cbjUSCCzbwdUNV7hzkRcYLgoE4qIqS11bkQRDe3AviC7uBZJtCyKC0Xau6onSbHXE9ZE956xA&#10;x//Wb70OziG2B1SyCvUlrnDna+ErnnOMtqNkZBWAcOTdKBjOv1BfknfOcaAD8D/24aCwbrg+sj62&#10;wQNsR9tUpF2IatOzoh24wh3mCk/8HxJsVccKd5q9XQ2qIrAYrXOPNyZ/2L1AusITFR7qeCfC4voI&#10;xqg7qco5h+Owg1wa+pyQOHKFO3xGwQ7w3lW5Y+Prh2E2eJKH256sYAc45+oq2InvnGPUncBn9ron&#10;hKgmPS3aASNWsKpEijuBFRCuYK8SjIbDbCUdWChCagV/lSLF7cbm0LqCvUpwQi4M548VpjFpCLzb&#10;4wr2KoH+lucMjtOef7DQ4Maec65gF03sOecKdiFEfehp0W4jEBLs+dhUkSoLdq4oiHxhCm6bF1sU&#10;sZNgjwPth/6ssmDH78++hYIb2yjcQ8KpDoIdYPCC48Q5Q4FuAylF55E95yTY87HnnAS7EPWmp0U7&#10;O3wJ9nwgVNnhV1mwA+Z7umkHPH5EqyDoYYii2jaDKDwElgR7PvAXhWyVBTvgKp7uRFGW5sPxc6Vm&#10;bLMRZUafqy7YASPrNm0Mx49tGODgnMNfnHPu3Qn4BvtJsOcDv8BHMAl2IUTP57Tj4inBXgwullUX&#10;7ACRdgglV4zzoucaBIUF+bMS7MVgEOj6rYq8+eabqdi0d2fQrlj1xTUIT9vuIOLrkIuNvgUDFAvF&#10;uM98wl2CvRj0a67fhBD1pOdz2oWw2Iinvf0OMY8cd0ZHaaGcW1Ff0DYoxPHXTkpFhNnN365DWUIf&#10;dqBrJ6XiL845noMwnIcS6UIIMTQk2kVlYboMoqBWWNgJqnWIhorhwzxtCFGbCoIIKNuS0heaE94x&#10;oOGAGAMebofpbpYQQgwNiXZRWSAOfDXaIa4oIJAGIUQICE/UVHcrENk5I3WNtFvgH/jJpgoBOzFX&#10;kXYhhBgaEu2iVtioH/4KMRwgUClGlWrlByKdcwHcib1CCCHikWgXtQHigakxEFmYeCrEULF3bKqy&#10;UFK7wUCGuf9ILVJqjBBCDB2JdlF5EF1n6TkKdlRkEGIooBKTnVxZ9fKXQwEDZNyFwLnGc67q5S+F&#10;EKLTSLSLWsDKH0iJUYRdDAdOPkXKRx1KqQ4Fm4aGSLvmjgghxPCRaBe1ACLCnUQoxFDBwM+dbCla&#10;QbRd55wQQrQPiXYhhBBCCCFKjkS7EEIIIYQQJUeiXQghhBBCiJIj0S6EEEIIIUTJkWgXQgghhBCi&#10;5Ei0CyGEEEIIUXIk2oUQQgghhCg5Eu1CCCGEEEKUHIl2IYQQQgghSo5EuxBCCCGEECVHol0IIYQQ&#10;QoiSI9EuhBBCCCFEyZFoF0IIIYQQouRItAshhBBCCFFyJNqFEEIIIYQoORLtQgghhBBClByJdiGE&#10;EEIIIUqORLsQQgghhBClJkn+/61EvT9S4cB2AAAAAElFTkSuQmCCUEsDBBQABgAIAAAAIQBUuvxA&#10;3QAAAAUBAAAPAAAAZHJzL2Rvd25yZXYueG1sTI9Ba8JAEIXvhf6HZQq91U1SrDbNRkTanqSgFkpv&#10;Y3ZMgtnZkF2T+O9de6mXgcd7vPdNthhNI3rqXG1ZQTyJQBAXVtdcKvjefTzNQTiPrLGxTArO5GCR&#10;399lmGo78Ib6rS9FKGGXooLK+zaV0hUVGXQT2xIH72A7gz7IrpS6wyGUm0YmUfQiDdYcFipsaVVR&#10;cdyejILPAYflc/zer4+H1fl3N/36Wcek1OPDuHwD4Wn0/2G44gd0yAPT3p5YO9EoCI/4vxu8eZTM&#10;QOwVTOPkFWSeyVv6/AI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1VmElawMAAIoTAAAOAAAAAAAAAAAAAAAAADoCAABkcnMvZTJvRG9jLnhtbFBLAQItAAoAAAAA&#10;AAAAIQDPzfHZEbgAABG4AAAUAAAAAAAAAAAAAAAAANEFAABkcnMvbWVkaWEvaW1hZ2UxLnBuZ1BL&#10;AQItABQABgAIAAAAIQBUuvxA3QAAAAUBAAAPAAAAAAAAAAAAAAAAABS+AABkcnMvZG93bnJldi54&#10;bWxQSwECLQAUAAYACAAAACEAqiYOvrwAAAAhAQAAGQAAAAAAAAAAAAAAAAAevwAAZHJzL19yZWxz&#10;L2Uyb0RvYy54bWwucmVsc1BLBQYAAAAABgAGAHwBAAARwAAAAAA=&#10;">
                <v:shape id="Picture 3" o:spid="_x0000_s1027" type="#_x0000_t75" style="position:absolute;left:38957;top:16287;width:12014;height:2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iRdxAAAANsAAAAPAAAAZHJzL2Rvd25yZXYueG1sRI9PawIx&#10;FMTvBb9DeEJvNavSolujiCgIBYt/eujtsXndjW5eliSu67dvhEKPw8z8hpktOluLlnwwjhUMBxkI&#10;4sJpw6WC03HzMgERIrLG2jEpuFOAxbz3NMNcuxvvqT3EUiQIhxwVVDE2uZShqMhiGLiGOHk/zluM&#10;SfpSao+3BLe1HGXZm7RoOC1U2NCqouJyuFoFJn5Nt3eZfX+257XRH6/XUfA7pZ773fIdRKQu/of/&#10;2lutYDyFx5f0A+T8FwAA//8DAFBLAQItABQABgAIAAAAIQDb4fbL7gAAAIUBAAATAAAAAAAAAAAA&#10;AAAAAAAAAABbQ29udGVudF9UeXBlc10ueG1sUEsBAi0AFAAGAAgAAAAhAFr0LFu/AAAAFQEAAAsA&#10;AAAAAAAAAAAAAAAAHwEAAF9yZWxzLy5yZWxzUEsBAi0AFAAGAAgAAAAhAGYCJF3EAAAA2wAAAA8A&#10;AAAAAAAAAAAAAAAABwIAAGRycy9kb3ducmV2LnhtbFBLBQYAAAAAAwADALcAAAD4AgAAAAA=&#10;">
                  <v:imagedata r:id="rId63" o:title="" croptop="22560f" cropbottom="38040f" cropleft="51008f"/>
                </v:shape>
                <v:shape id="Picture 4" o:spid="_x0000_s1028" type="#_x0000_t75" style="position:absolute;left:38957;top:6191;width:12014;height:3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lovgAAANsAAAAPAAAAZHJzL2Rvd25yZXYueG1sRE9Ni8Iw&#10;EL0v+B/CCN7WVJGyVqOIi6BHu168DcnYBptJabJt/ffmsLDHx/ve7kfXiJ66YD0rWMwzEMTaG8uV&#10;gtvP6fMLRIjIBhvPpOBFAfa7yccWC+MHvlJfxkqkEA4FKqhjbAspg67JYZj7ljhxD985jAl2lTQd&#10;DincNXKZZbl0aDk11NjSsSb9LH+dgj5fudNQfduzKfWg19dXfr9YpWbT8bABEWmM/+I/99koWKX1&#10;6Uv6AXL3BgAA//8DAFBLAQItABQABgAIAAAAIQDb4fbL7gAAAIUBAAATAAAAAAAAAAAAAAAAAAAA&#10;AABbQ29udGVudF9UeXBlc10ueG1sUEsBAi0AFAAGAAgAAAAhAFr0LFu/AAAAFQEAAAsAAAAAAAAA&#10;AAAAAAAAHwEAAF9yZWxzLy5yZWxzUEsBAi0AFAAGAAgAAAAhAP5iOWi+AAAA2wAAAA8AAAAAAAAA&#10;AAAAAAAABwIAAGRycy9kb3ducmV2LnhtbFBLBQYAAAAAAwADALcAAADyAgAAAAA=&#10;">
                  <v:imagedata r:id="rId63" o:title="" croptop="16278f" cropbottom="42528f" cropleft="51008f"/>
                </v:shape>
                <v:shape id="Picture 5" o:spid="_x0000_s1029" type="#_x0000_t75" style="position:absolute;left:38957;top:11715;width:12014;height:2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14exAAAANsAAAAPAAAAZHJzL2Rvd25yZXYueG1sRI9Ba8JA&#10;FITvhf6H5Qm9hLppkFaiq0ig4KWCtgePj+wzG8y+Dbtbk/z7bkHwOMzMN8x6O9pO3MiH1rGCt3kO&#10;grh2uuVGwc/35+sSRIjIGjvHpGCiANvN89MaS+0GPtLtFBuRIBxKVGBi7EspQ23IYpi7njh5F+ct&#10;xiR9I7XHIcFtJ4s8f5cWW04LBnuqDNXX069V8LFrDpnxWXUupuWQHfbVlz9PSr3Mxt0KRKQxPsL3&#10;9l4rWBTw/yX9ALn5AwAA//8DAFBLAQItABQABgAIAAAAIQDb4fbL7gAAAIUBAAATAAAAAAAAAAAA&#10;AAAAAAAAAABbQ29udGVudF9UeXBlc10ueG1sUEsBAi0AFAAGAAgAAAAhAFr0LFu/AAAAFQEAAAsA&#10;AAAAAAAAAAAAAAAAHwEAAF9yZWxzLy5yZWxzUEsBAi0AFAAGAAgAAAAhAGK7Xh7EAAAA2wAAAA8A&#10;AAAAAAAAAAAAAAAABwIAAGRycy9kb3ducmV2LnhtbFBLBQYAAAAAAwADALcAAAD4AgAAAAA=&#10;">
                  <v:imagedata r:id="rId63" o:title="" croptop="27870f" cropbottom="32955f" cropleft="51008f"/>
                </v:shape>
                <v:shape id="Picture 6" o:spid="_x0000_s1030" type="#_x0000_t75" style="position:absolute;left:38957;top:20859;width:12014;height:2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AwUwwAAANsAAAAPAAAAZHJzL2Rvd25yZXYueG1sRI9Bi8Iw&#10;FITvgv8hPMGLaKrIotUoIqy7wiJUvXh7NM+m2LyUJqvdf78RBI/DzDfDLNetrcSdGl86VjAeJSCI&#10;c6dLLhScT5/DGQgfkDVWjknBH3lYr7qdJabaPTij+zEUIpawT1GBCaFOpfS5IYt+5Gri6F1dYzFE&#10;2RRSN/iI5baSkyT5kBZLjgsGa9oaym/HX6tgejJ2s99//Ti5O0zKwfxiZtlFqX6v3SxABGrDO/yi&#10;v3XkpvD8En+AXP0DAAD//wMAUEsBAi0AFAAGAAgAAAAhANvh9svuAAAAhQEAABMAAAAAAAAAAAAA&#10;AAAAAAAAAFtDb250ZW50X1R5cGVzXS54bWxQSwECLQAUAAYACAAAACEAWvQsW78AAAAVAQAACwAA&#10;AAAAAAAAAAAAAAAfAQAAX3JlbHMvLnJlbHNQSwECLQAUAAYACAAAACEAzPQMFMMAAADbAAAADwAA&#10;AAAAAAAAAAAAAAAHAgAAZHJzL2Rvd25yZXYueG1sUEsFBgAAAAADAAMAtwAAAPcCAAAAAA==&#10;">
                  <v:imagedata r:id="rId63" o:title="" croptop="33104f" cropbottom="27720f" cropleft="51008f"/>
                </v:shape>
                <v:shape id="Picture 7" o:spid="_x0000_s1031" type="#_x0000_t75" style="position:absolute;left:38957;top:18764;width:12014;height:2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dftwAAAANsAAAAPAAAAZHJzL2Rvd25yZXYueG1sRI9PawIx&#10;FMTvhX6H8AreukmlaNkaRUqFevQPeH1snruLycs2iev67Y0geBxm5jfMbDE4K3oKsfWs4aNQIIgr&#10;b1quNex3q/cvEDEhG7SeScOVIizmry8zLI2/8Ib6bapFhnAsUUOTUldKGauGHMbCd8TZO/rgMGUZ&#10;amkCXjLcWTlWaiIdtpwXGuzop6HqtD07DWka7Nr3486qQ/VvmX/RLZXWo7dh+Q0i0ZCe4Uf7z2j4&#10;nML9S/4Bcn4DAAD//wMAUEsBAi0AFAAGAAgAAAAhANvh9svuAAAAhQEAABMAAAAAAAAAAAAAAAAA&#10;AAAAAFtDb250ZW50X1R5cGVzXS54bWxQSwECLQAUAAYACAAAACEAWvQsW78AAAAVAQAACwAAAAAA&#10;AAAAAAAAAAAfAQAAX3JlbHMvLnJlbHNQSwECLQAUAAYACAAAACEANBnX7cAAAADbAAAADwAAAAAA&#10;AAAAAAAAAAAHAgAAZHJzL2Rvd25yZXYueG1sUEsFBgAAAAADAAMAtwAAAPQCAAAAAA==&#10;">
                  <v:imagedata r:id="rId63" o:title="" croptop="43423f" cropbottom="17625f" cropleft="51008f"/>
                </v:shape>
                <v:shape id="Picture 8" o:spid="_x0000_s1032" type="#_x0000_t75" style="position:absolute;left:38957;top:9525;width:12014;height:2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ZjfxAAAANsAAAAPAAAAZHJzL2Rvd25yZXYueG1sRI9PawIx&#10;FMTvBb9DeIK3mrVga7dGsYKwFC/rH3p9bJ67S5OXNYm6/faNUPA4zMxvmPmyt0ZcyYfWsYLJOANB&#10;XDndcq3gsN88z0CEiKzROCYFvxRguRg8zTHX7sYlXXexFgnCIUcFTYxdLmWoGrIYxq4jTt7JeYsx&#10;SV9L7fGW4NbIlyx7lRZbTgsNdrRuqPrZXawCMzlm67L4PG9Pfv89KwvzHr6OSo2G/eoDRKQ+PsL/&#10;7UIrmL7B/Uv6AXLxBwAA//8DAFBLAQItABQABgAIAAAAIQDb4fbL7gAAAIUBAAATAAAAAAAAAAAA&#10;AAAAAAAAAABbQ29udGVudF9UeXBlc10ueG1sUEsBAi0AFAAGAAgAAAAhAFr0LFu/AAAAFQEAAAsA&#10;AAAAAAAAAAAAAAAAHwEAAF9yZWxzLy5yZWxzUEsBAi0AFAAGAAgAAAAhAC4VmN/EAAAA2wAAAA8A&#10;AAAAAAAAAAAAAAAABwIAAGRycy9kb3ducmV2LnhtbFBLBQYAAAAAAwADALcAAAD4AgAAAAA=&#10;">
                  <v:imagedata r:id="rId63" o:title="" croptop="38339f" cropbottom="22711f" cropleft="51008f"/>
                </v:shape>
                <v:shape id="Picture 9" o:spid="_x0000_s1033" type="#_x0000_t75" style="position:absolute;width:41052;height:325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PhAxQAAANsAAAAPAAAAZHJzL2Rvd25yZXYueG1sRI9bawIx&#10;FITfBf9DOIW+abZSrGyNUgShVBAv7UPfTjdnb25OQhJ1/femUOjjMDPfMPNlbzpxIR8aywqexhkI&#10;4sLqhisFn8f1aAYiRGSNnWVScKMAy8VwMMdc2yvv6XKIlUgQDjkqqGN0uZShqMlgGFtHnLzSeoMx&#10;SV9J7fGa4KaTkyybSoMNp4UaHa1qKk6Hs1Fw3H2czJeT3+Vm277sy+2Pa1uv1OND//YKIlIf/8N/&#10;7XetYPYMv1/SD5CLOwAAAP//AwBQSwECLQAUAAYACAAAACEA2+H2y+4AAACFAQAAEwAAAAAAAAAA&#10;AAAAAAAAAAAAW0NvbnRlbnRfVHlwZXNdLnhtbFBLAQItABQABgAIAAAAIQBa9CxbvwAAABUBAAAL&#10;AAAAAAAAAAAAAAAAAB8BAABfcmVscy8ucmVsc1BLAQItABQABgAIAAAAIQDUsPhAxQAAANsAAAAP&#10;AAAAAAAAAAAAAAAAAAcCAABkcnMvZG93bnJldi54bWxQSwUGAAAAAAMAAwC3AAAA+QIAAAAA&#10;">
                  <v:imagedata r:id="rId63" o:title="" cropright="15917f"/>
                </v:shape>
                <w10:anchorlock/>
              </v:group>
            </w:pict>
          </mc:Fallback>
        </mc:AlternateContent>
      </w:r>
    </w:p>
    <w:p w14:paraId="3746A0CB" w14:textId="7F111185" w:rsidR="00456CBA" w:rsidRPr="009A2686" w:rsidRDefault="00741669" w:rsidP="00F8184E">
      <w:pPr>
        <w:pStyle w:val="Captions"/>
      </w:pPr>
      <w:bookmarkStart w:id="117" w:name="_Ref59030607"/>
      <w:bookmarkStart w:id="118" w:name="_Toc69387681"/>
      <w:r>
        <w:t xml:space="preserve">Figure </w:t>
      </w:r>
      <w:r>
        <w:fldChar w:fldCharType="begin"/>
      </w:r>
      <w:r>
        <w:instrText xml:space="preserve"> SEQ Figure \* ARABIC </w:instrText>
      </w:r>
      <w:r>
        <w:fldChar w:fldCharType="separate"/>
      </w:r>
      <w:r w:rsidR="00025EB2">
        <w:rPr>
          <w:noProof/>
        </w:rPr>
        <w:t>17</w:t>
      </w:r>
      <w:r>
        <w:fldChar w:fldCharType="end"/>
      </w:r>
      <w:bookmarkEnd w:id="117"/>
      <w:r>
        <w:t xml:space="preserve">. </w:t>
      </w:r>
      <w:r w:rsidR="00456CBA" w:rsidRPr="009A2686">
        <w:t>Daily gross photosynthesis (GPP) and ecosystem respiration (ER) rates at each of the three monitoring sites.</w:t>
      </w:r>
      <w:bookmarkEnd w:id="118"/>
    </w:p>
    <w:p w14:paraId="2B93600B" w14:textId="77777777" w:rsidR="00456CBA" w:rsidRDefault="00456CBA" w:rsidP="00456CBA">
      <w:pPr>
        <w:pStyle w:val="ListParagraph"/>
        <w:ind w:left="0"/>
        <w:rPr>
          <w:iCs/>
          <w:szCs w:val="22"/>
          <w:lang w:val="en-US"/>
        </w:rPr>
      </w:pPr>
    </w:p>
    <w:p w14:paraId="4FD846BC" w14:textId="77777777" w:rsidR="00456CBA" w:rsidRPr="00227FE9" w:rsidRDefault="00456CBA" w:rsidP="00456CBA">
      <w:pPr>
        <w:pStyle w:val="ListParagraph"/>
        <w:ind w:left="0"/>
        <w:rPr>
          <w:i/>
          <w:u w:val="single"/>
        </w:rPr>
      </w:pPr>
      <w:r>
        <w:rPr>
          <w:i/>
          <w:u w:val="single"/>
        </w:rPr>
        <w:t>Determinants of g</w:t>
      </w:r>
      <w:r w:rsidRPr="00227FE9">
        <w:rPr>
          <w:i/>
          <w:u w:val="single"/>
        </w:rPr>
        <w:t xml:space="preserve">ross </w:t>
      </w:r>
      <w:r>
        <w:rPr>
          <w:i/>
          <w:u w:val="single"/>
        </w:rPr>
        <w:t>p</w:t>
      </w:r>
      <w:r w:rsidRPr="00227FE9">
        <w:rPr>
          <w:i/>
          <w:u w:val="single"/>
        </w:rPr>
        <w:t xml:space="preserve">rimary </w:t>
      </w:r>
      <w:r>
        <w:rPr>
          <w:i/>
          <w:u w:val="single"/>
        </w:rPr>
        <w:t>p</w:t>
      </w:r>
      <w:r w:rsidRPr="00227FE9">
        <w:rPr>
          <w:i/>
          <w:u w:val="single"/>
        </w:rPr>
        <w:t>roduction</w:t>
      </w:r>
    </w:p>
    <w:p w14:paraId="371E71BD" w14:textId="77777777" w:rsidR="00456CBA" w:rsidRDefault="00456CBA" w:rsidP="00456CBA">
      <w:pPr>
        <w:pStyle w:val="ListParagraph"/>
        <w:ind w:left="0"/>
        <w:rPr>
          <w:iCs/>
          <w:szCs w:val="22"/>
          <w:highlight w:val="yellow"/>
          <w:lang w:val="en-US"/>
        </w:rPr>
      </w:pPr>
    </w:p>
    <w:p w14:paraId="25FE3887" w14:textId="7591B1C4" w:rsidR="00456CBA" w:rsidRDefault="00456CBA" w:rsidP="00456CBA">
      <w:pPr>
        <w:pStyle w:val="ListParagraph"/>
        <w:ind w:left="0"/>
        <w:rPr>
          <w:lang w:val="en-US"/>
        </w:rPr>
      </w:pPr>
      <w:r>
        <w:rPr>
          <w:iCs/>
          <w:szCs w:val="22"/>
          <w:lang w:val="en-US"/>
        </w:rPr>
        <w:t>Critical velocities of 0.18–0.20 m/s have previously been used to identify periods when in-</w:t>
      </w:r>
      <w:r w:rsidR="00EF4FD8" w:rsidRPr="00EF4FD8">
        <w:rPr>
          <w:iCs/>
          <w:szCs w:val="22"/>
          <w:lang w:val="en-US"/>
        </w:rPr>
        <w:t xml:space="preserve"> </w:t>
      </w:r>
      <w:r w:rsidR="00EF4FD8">
        <w:rPr>
          <w:iCs/>
          <w:szCs w:val="22"/>
          <w:lang w:val="en-US"/>
        </w:rPr>
        <w:t xml:space="preserve">channel mixing was sufficient to ensure metabolism estimates were reliable (Oliver and Lorenz 2010; Ye </w:t>
      </w:r>
      <w:r w:rsidR="00EF4FD8" w:rsidRPr="009D6230">
        <w:rPr>
          <w:i/>
          <w:szCs w:val="22"/>
          <w:lang w:val="en-US"/>
        </w:rPr>
        <w:t>et al.</w:t>
      </w:r>
      <w:r w:rsidR="00EF4FD8">
        <w:rPr>
          <w:iCs/>
          <w:szCs w:val="22"/>
          <w:lang w:val="en-US"/>
        </w:rPr>
        <w:t xml:space="preserve"> 2020). </w:t>
      </w:r>
      <w:r w:rsidR="00EF4FD8">
        <w:rPr>
          <w:lang w:val="en-US"/>
        </w:rPr>
        <w:t xml:space="preserve">The analysis of 2019-20 GPP measurements from times when water velocities at the sites exceeded 0.18 m/s supported previous findings of </w:t>
      </w:r>
      <w:r w:rsidR="00EF4FD8" w:rsidRPr="005F7109">
        <w:rPr>
          <w:lang w:val="en-US"/>
        </w:rPr>
        <w:t xml:space="preserve">a </w:t>
      </w:r>
      <w:r w:rsidR="00EF4FD8">
        <w:rPr>
          <w:lang w:val="en-US"/>
        </w:rPr>
        <w:t>significant</w:t>
      </w:r>
      <w:r w:rsidR="00EF4FD8" w:rsidRPr="005F7109">
        <w:rPr>
          <w:lang w:val="en-US"/>
        </w:rPr>
        <w:t xml:space="preserve"> </w:t>
      </w:r>
      <w:r w:rsidR="00EF4FD8">
        <w:rPr>
          <w:lang w:val="en-US"/>
        </w:rPr>
        <w:t xml:space="preserve">linear </w:t>
      </w:r>
      <w:r w:rsidR="00EF4FD8" w:rsidRPr="005F7109">
        <w:rPr>
          <w:lang w:val="en-US"/>
        </w:rPr>
        <w:t xml:space="preserve">correlation between </w:t>
      </w:r>
      <w:r w:rsidR="00EF4FD8">
        <w:rPr>
          <w:lang w:val="en-US"/>
        </w:rPr>
        <w:t>the chlorophyll specific rate of gross photosynthesis (</w:t>
      </w:r>
      <w:r w:rsidR="00EF4FD8" w:rsidRPr="005F7109">
        <w:rPr>
          <w:lang w:val="en-US"/>
        </w:rPr>
        <w:t>GPP(b)</w:t>
      </w:r>
      <w:r w:rsidR="00EF4FD8">
        <w:rPr>
          <w:lang w:val="en-US"/>
        </w:rPr>
        <w:t>)</w:t>
      </w:r>
      <w:r w:rsidR="00EF4FD8" w:rsidRPr="005F7109">
        <w:rPr>
          <w:lang w:val="en-US"/>
        </w:rPr>
        <w:t xml:space="preserve"> and</w:t>
      </w:r>
      <w:r w:rsidR="00EF4FD8">
        <w:rPr>
          <w:lang w:val="en-US"/>
        </w:rPr>
        <w:t xml:space="preserve"> the mean irradiance in the mixed water column (</w:t>
      </w:r>
      <w:proofErr w:type="spellStart"/>
      <w:r w:rsidR="00EF4FD8" w:rsidRPr="00C638C3">
        <w:rPr>
          <w:i/>
          <w:lang w:val="en-US"/>
        </w:rPr>
        <w:t>Im</w:t>
      </w:r>
      <w:proofErr w:type="spellEnd"/>
      <w:r w:rsidR="00EF4FD8">
        <w:rPr>
          <w:iCs/>
          <w:lang w:val="en-US"/>
        </w:rPr>
        <w:t xml:space="preserve">) </w:t>
      </w:r>
      <w:r w:rsidR="00EF4FD8">
        <w:rPr>
          <w:lang w:val="en-US"/>
        </w:rPr>
        <w:t>(</w:t>
      </w:r>
      <w:r w:rsidR="00741669">
        <w:rPr>
          <w:lang w:val="en-US"/>
        </w:rPr>
        <w:fldChar w:fldCharType="begin"/>
      </w:r>
      <w:r w:rsidR="00741669">
        <w:rPr>
          <w:lang w:val="en-US"/>
        </w:rPr>
        <w:instrText xml:space="preserve"> REF _Ref59030628 \h </w:instrText>
      </w:r>
      <w:r w:rsidR="00741669">
        <w:rPr>
          <w:lang w:val="en-US"/>
        </w:rPr>
      </w:r>
      <w:r w:rsidR="00741669">
        <w:rPr>
          <w:lang w:val="en-US"/>
        </w:rPr>
        <w:fldChar w:fldCharType="separate"/>
      </w:r>
      <w:r w:rsidR="00AD0721">
        <w:t xml:space="preserve">Figure </w:t>
      </w:r>
      <w:r w:rsidR="00AD0721">
        <w:rPr>
          <w:noProof/>
        </w:rPr>
        <w:t>18</w:t>
      </w:r>
      <w:r w:rsidR="00741669">
        <w:rPr>
          <w:lang w:val="en-US"/>
        </w:rPr>
        <w:fldChar w:fldCharType="end"/>
      </w:r>
      <w:r w:rsidR="00EF4FD8">
        <w:rPr>
          <w:lang w:val="en-US"/>
        </w:rPr>
        <w:t>)</w:t>
      </w:r>
      <w:r w:rsidR="00EF4FD8">
        <w:rPr>
          <w:iCs/>
          <w:lang w:val="en-US"/>
        </w:rPr>
        <w:t xml:space="preserve"> with a </w:t>
      </w:r>
      <w:r w:rsidR="00EF4FD8">
        <w:rPr>
          <w:lang w:val="en-US"/>
        </w:rPr>
        <w:t xml:space="preserve">linear </w:t>
      </w:r>
      <w:r w:rsidR="00EF4FD8" w:rsidRPr="005F7109">
        <w:rPr>
          <w:lang w:val="en-US"/>
        </w:rPr>
        <w:t xml:space="preserve">regression </w:t>
      </w:r>
      <w:r w:rsidR="00EF4FD8">
        <w:rPr>
          <w:lang w:val="en-US"/>
        </w:rPr>
        <w:t>slope equivalent to that calculated in previous analyses (Oliver and Merrick 2006</w:t>
      </w:r>
      <w:r w:rsidR="009D6230">
        <w:rPr>
          <w:lang w:val="en-US"/>
        </w:rPr>
        <w:t>;</w:t>
      </w:r>
      <w:r w:rsidR="00EF4FD8">
        <w:rPr>
          <w:lang w:val="en-US"/>
        </w:rPr>
        <w:t xml:space="preserve"> </w:t>
      </w:r>
      <w:r>
        <w:rPr>
          <w:lang w:val="en-US"/>
        </w:rPr>
        <w:t xml:space="preserve">Ye </w:t>
      </w:r>
      <w:r w:rsidRPr="009D6230">
        <w:rPr>
          <w:i/>
          <w:iCs/>
          <w:lang w:val="en-US"/>
        </w:rPr>
        <w:t>et al.</w:t>
      </w:r>
      <w:r>
        <w:rPr>
          <w:lang w:val="en-US"/>
        </w:rPr>
        <w:t xml:space="preserve"> 2020). </w:t>
      </w:r>
    </w:p>
    <w:p w14:paraId="24CB56DB" w14:textId="77777777" w:rsidR="00456CBA" w:rsidRDefault="00456CBA" w:rsidP="00456CBA">
      <w:pPr>
        <w:rPr>
          <w:lang w:val="en-US"/>
        </w:rPr>
      </w:pPr>
    </w:p>
    <w:p w14:paraId="27CFD1CC" w14:textId="77777777" w:rsidR="00456CBA" w:rsidRDefault="00456CBA" w:rsidP="00456CBA">
      <w:pPr>
        <w:rPr>
          <w:lang w:val="en-US"/>
        </w:rPr>
      </w:pPr>
    </w:p>
    <w:p w14:paraId="6AB04876" w14:textId="77777777" w:rsidR="00456CBA" w:rsidRDefault="00456CBA" w:rsidP="00456CBA">
      <w:pPr>
        <w:rPr>
          <w:lang w:val="en-US"/>
        </w:rPr>
      </w:pPr>
    </w:p>
    <w:p w14:paraId="07D8D068" w14:textId="4DA4748C" w:rsidR="00456CBA" w:rsidRPr="005F7109" w:rsidRDefault="00DF7986" w:rsidP="00456CBA">
      <w:pPr>
        <w:rPr>
          <w:iCs/>
          <w:szCs w:val="22"/>
          <w:lang w:val="en-US"/>
        </w:rPr>
      </w:pPr>
      <w:r>
        <w:rPr>
          <w:noProof/>
        </w:rPr>
        <w:drawing>
          <wp:inline distT="0" distB="0" distL="0" distR="0" wp14:anchorId="3917EDD6" wp14:editId="26F6BA13">
            <wp:extent cx="5686952" cy="3264195"/>
            <wp:effectExtent l="0" t="0" r="9525" b="0"/>
            <wp:docPr id="43" name="Picture 4">
              <a:extLst xmlns:a="http://schemas.openxmlformats.org/drawingml/2006/main">
                <a:ext uri="{FF2B5EF4-FFF2-40B4-BE49-F238E27FC236}">
                  <a16:creationId xmlns:a16="http://schemas.microsoft.com/office/drawing/2014/main" id="{10A7C872-E2B3-4596-A43D-CD1FFAEA65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10A7C872-E2B3-4596-A43D-CD1FFAEA6506}"/>
                        </a:ext>
                      </a:extLst>
                    </pic:cNvPr>
                    <pic:cNvPicPr>
                      <a:picLocks noChangeAspect="1"/>
                    </pic:cNvPicPr>
                  </pic:nvPicPr>
                  <pic:blipFill>
                    <a:blip r:embed="rId64" cstate="email">
                      <a:extLst>
                        <a:ext uri="{28A0092B-C50C-407E-A947-70E740481C1C}">
                          <a14:useLocalDpi xmlns:a14="http://schemas.microsoft.com/office/drawing/2010/main"/>
                        </a:ext>
                      </a:extLst>
                    </a:blip>
                    <a:stretch>
                      <a:fillRect/>
                    </a:stretch>
                  </pic:blipFill>
                  <pic:spPr>
                    <a:xfrm>
                      <a:off x="0" y="0"/>
                      <a:ext cx="5702869" cy="3273331"/>
                    </a:xfrm>
                    <a:prstGeom prst="rect">
                      <a:avLst/>
                    </a:prstGeom>
                  </pic:spPr>
                </pic:pic>
              </a:graphicData>
            </a:graphic>
          </wp:inline>
        </w:drawing>
      </w:r>
    </w:p>
    <w:p w14:paraId="0FD0E3BE" w14:textId="4E6B11E5" w:rsidR="00456CBA" w:rsidRPr="005F7109" w:rsidRDefault="00741669" w:rsidP="00741669">
      <w:pPr>
        <w:pStyle w:val="Caption"/>
        <w:rPr>
          <w:iCs/>
          <w:szCs w:val="22"/>
        </w:rPr>
      </w:pPr>
      <w:bookmarkStart w:id="119" w:name="_Ref59030628"/>
      <w:bookmarkStart w:id="120" w:name="_Toc69387682"/>
      <w:r>
        <w:t xml:space="preserve">Figure </w:t>
      </w:r>
      <w:r w:rsidR="006C38E9">
        <w:fldChar w:fldCharType="begin"/>
      </w:r>
      <w:r w:rsidR="006C38E9">
        <w:instrText xml:space="preserve"> SEQ Figure \* ARABIC </w:instrText>
      </w:r>
      <w:r w:rsidR="006C38E9">
        <w:fldChar w:fldCharType="separate"/>
      </w:r>
      <w:r w:rsidR="00025EB2">
        <w:rPr>
          <w:noProof/>
        </w:rPr>
        <w:t>18</w:t>
      </w:r>
      <w:r w:rsidR="006C38E9">
        <w:rPr>
          <w:noProof/>
        </w:rPr>
        <w:fldChar w:fldCharType="end"/>
      </w:r>
      <w:bookmarkEnd w:id="119"/>
      <w:r>
        <w:t xml:space="preserve">. </w:t>
      </w:r>
      <w:r w:rsidR="001D7EED" w:rsidRPr="005F7109">
        <w:t xml:space="preserve">The response </w:t>
      </w:r>
      <w:r w:rsidR="001D7EED">
        <w:t xml:space="preserve">during 2019-20 </w:t>
      </w:r>
      <w:r w:rsidR="001D7EED" w:rsidRPr="005F7109">
        <w:t xml:space="preserve">of GPP </w:t>
      </w:r>
      <w:r w:rsidR="00456CBA" w:rsidRPr="005F7109">
        <w:t xml:space="preserve">per unit </w:t>
      </w:r>
      <w:r w:rsidR="00456CBA">
        <w:t>chlorophyll</w:t>
      </w:r>
      <w:r w:rsidR="00456CBA" w:rsidRPr="005F7109">
        <w:t xml:space="preserve"> to the mean irradiance of the water column</w:t>
      </w:r>
      <w:r w:rsidR="00456CBA">
        <w:t xml:space="preserve"> </w:t>
      </w:r>
      <w:r w:rsidR="00456CBA" w:rsidRPr="00C3722F">
        <w:rPr>
          <w:szCs w:val="20"/>
        </w:rPr>
        <w:t>at Lock 6 (</w:t>
      </w:r>
      <w:r w:rsidR="00456CBA" w:rsidRPr="00C3722F">
        <w:rPr>
          <w:color w:val="0070C0"/>
          <w:szCs w:val="20"/>
        </w:rPr>
        <w:t>●</w:t>
      </w:r>
      <w:r w:rsidR="00456CBA" w:rsidRPr="00C3722F">
        <w:rPr>
          <w:szCs w:val="20"/>
        </w:rPr>
        <w:t>), Lock 4 (</w:t>
      </w:r>
      <w:r w:rsidR="00456CBA" w:rsidRPr="00C3722F">
        <w:rPr>
          <w:color w:val="A6A6A6" w:themeColor="background1" w:themeShade="A6"/>
          <w:szCs w:val="20"/>
        </w:rPr>
        <w:t>●</w:t>
      </w:r>
      <w:r w:rsidR="00456CBA" w:rsidRPr="00C3722F">
        <w:rPr>
          <w:szCs w:val="20"/>
        </w:rPr>
        <w:t>) and Lock 1 (</w:t>
      </w:r>
      <w:r w:rsidR="00456CBA" w:rsidRPr="00C3722F">
        <w:rPr>
          <w:color w:val="ED7D31" w:themeColor="accent2"/>
          <w:szCs w:val="20"/>
        </w:rPr>
        <w:t>●</w:t>
      </w:r>
      <w:r w:rsidR="00456CBA" w:rsidRPr="00C3722F">
        <w:rPr>
          <w:szCs w:val="20"/>
        </w:rPr>
        <w:t>) when</w:t>
      </w:r>
      <w:r w:rsidR="00456CBA" w:rsidRPr="005F7109">
        <w:t xml:space="preserve"> water velocities were greater than 0.</w:t>
      </w:r>
      <w:r w:rsidR="00456CBA">
        <w:t>18</w:t>
      </w:r>
      <w:r w:rsidR="00456CBA" w:rsidRPr="005F7109">
        <w:t xml:space="preserve"> m/s. Regression, y </w:t>
      </w:r>
      <w:r w:rsidR="00DF7986">
        <w:t>= 0.70x+34.2, r</w:t>
      </w:r>
      <w:r w:rsidR="00DF7986">
        <w:rPr>
          <w:vertAlign w:val="superscript"/>
        </w:rPr>
        <w:t>2</w:t>
      </w:r>
      <w:r w:rsidR="00DF7986">
        <w:t>=0.35</w:t>
      </w:r>
      <w:r w:rsidR="00456CBA" w:rsidRPr="005F7109">
        <w:t>.</w:t>
      </w:r>
      <w:bookmarkEnd w:id="120"/>
    </w:p>
    <w:p w14:paraId="5BBD9CE7" w14:textId="0F595BF1" w:rsidR="00456CBA" w:rsidRDefault="00456CBA" w:rsidP="00456CBA">
      <w:pPr>
        <w:rPr>
          <w:lang w:val="en-US"/>
        </w:rPr>
      </w:pPr>
      <w:r>
        <w:rPr>
          <w:lang w:val="en-US"/>
        </w:rPr>
        <w:t>In naturally flowing rivers there is a relationship between flow and water depth, but at the study sites within the weir pools of the LMR, this connection is decoupled. At these sites there is minimal change in water depth unless flows are sufficient to overwhelm the functioning of the weirs, or alternatively weir operations are managed to influence depth. The high flows associated with environmental water delivery between mid-September 2019 and early November 2020 resulted in depth changes at each of the sites (</w:t>
      </w:r>
      <w:r w:rsidR="00741669">
        <w:rPr>
          <w:lang w:val="en-US"/>
        </w:rPr>
        <w:fldChar w:fldCharType="begin"/>
      </w:r>
      <w:r w:rsidR="00741669">
        <w:rPr>
          <w:lang w:val="en-US"/>
        </w:rPr>
        <w:instrText xml:space="preserve"> REF _Ref59030640 \h </w:instrText>
      </w:r>
      <w:r w:rsidR="00741669">
        <w:rPr>
          <w:lang w:val="en-US"/>
        </w:rPr>
      </w:r>
      <w:r w:rsidR="00741669">
        <w:rPr>
          <w:lang w:val="en-US"/>
        </w:rPr>
        <w:fldChar w:fldCharType="separate"/>
      </w:r>
      <w:r w:rsidR="00AD0721">
        <w:t xml:space="preserve">Figure </w:t>
      </w:r>
      <w:r w:rsidR="00AD0721">
        <w:rPr>
          <w:noProof/>
        </w:rPr>
        <w:t>19</w:t>
      </w:r>
      <w:r w:rsidR="00741669">
        <w:rPr>
          <w:lang w:val="en-US"/>
        </w:rPr>
        <w:fldChar w:fldCharType="end"/>
      </w:r>
      <w:r>
        <w:rPr>
          <w:lang w:val="en-US"/>
        </w:rPr>
        <w:t>). At Lock 6 the average depth of 2.5 m was maintained for most of the season but increased by up to 0.5 m during the peak flows. At Lock 4 the water level was less stable, slowly increasing from 2.5 to 2.8 m over the season, and with a peak in the high flow period that increased the depth by a maximum of 1m. The monitoring site at Lock 1 is not in a weir pool but is influenced by water levels in Lake Alexandrina and by winds aligned with the long river reach that push water upstream. At this site water depth slowly declined from 3.2 to 3.0 m over the monitoring period but increased during the high flow period by a maximum of 0.3 m.</w:t>
      </w:r>
    </w:p>
    <w:p w14:paraId="1439428E" w14:textId="77777777" w:rsidR="00456CBA" w:rsidRDefault="00456CBA" w:rsidP="00456CBA">
      <w:pPr>
        <w:rPr>
          <w:lang w:val="en-US"/>
        </w:rPr>
      </w:pPr>
    </w:p>
    <w:p w14:paraId="73BB05FE" w14:textId="77777777" w:rsidR="00456CBA" w:rsidRDefault="00456CBA" w:rsidP="00456CBA">
      <w:pPr>
        <w:rPr>
          <w:lang w:val="en-US"/>
        </w:rPr>
      </w:pPr>
    </w:p>
    <w:p w14:paraId="68E1DB41" w14:textId="77777777" w:rsidR="00456CBA" w:rsidRDefault="00456CBA" w:rsidP="00456CBA">
      <w:pPr>
        <w:rPr>
          <w:lang w:val="en-US"/>
        </w:rPr>
      </w:pPr>
    </w:p>
    <w:p w14:paraId="3BA541BA" w14:textId="055396C8" w:rsidR="00456CBA" w:rsidRDefault="001D7EED" w:rsidP="00456CBA">
      <w:pPr>
        <w:rPr>
          <w:lang w:val="en-US"/>
        </w:rPr>
      </w:pPr>
      <w:r w:rsidRPr="001D7EED">
        <w:rPr>
          <w:noProof/>
        </w:rPr>
        <w:drawing>
          <wp:inline distT="0" distB="0" distL="0" distR="0" wp14:anchorId="2BBFEE85" wp14:editId="3852C96C">
            <wp:extent cx="5725160" cy="5286184"/>
            <wp:effectExtent l="0" t="0" r="889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5" cstate="email">
                      <a:extLst>
                        <a:ext uri="{28A0092B-C50C-407E-A947-70E740481C1C}">
                          <a14:useLocalDpi xmlns:a14="http://schemas.microsoft.com/office/drawing/2010/main"/>
                        </a:ext>
                      </a:extLst>
                    </a:blip>
                    <a:srcRect l="1313"/>
                    <a:stretch/>
                  </pic:blipFill>
                  <pic:spPr bwMode="auto">
                    <a:xfrm>
                      <a:off x="0" y="0"/>
                      <a:ext cx="5727514" cy="5288357"/>
                    </a:xfrm>
                    <a:prstGeom prst="rect">
                      <a:avLst/>
                    </a:prstGeom>
                    <a:noFill/>
                    <a:ln>
                      <a:noFill/>
                    </a:ln>
                    <a:extLst>
                      <a:ext uri="{53640926-AAD7-44D8-BBD7-CCE9431645EC}">
                        <a14:shadowObscured xmlns:a14="http://schemas.microsoft.com/office/drawing/2010/main"/>
                      </a:ext>
                    </a:extLst>
                  </pic:spPr>
                </pic:pic>
              </a:graphicData>
            </a:graphic>
          </wp:inline>
        </w:drawing>
      </w:r>
    </w:p>
    <w:p w14:paraId="4DD752BD" w14:textId="3F0DC2D5" w:rsidR="00456CBA" w:rsidRDefault="00741669" w:rsidP="00741669">
      <w:pPr>
        <w:pStyle w:val="Caption"/>
      </w:pPr>
      <w:bookmarkStart w:id="121" w:name="_Ref59030640"/>
      <w:bookmarkStart w:id="122" w:name="_Toc69387683"/>
      <w:r>
        <w:t xml:space="preserve">Figure </w:t>
      </w:r>
      <w:r w:rsidR="006C38E9">
        <w:fldChar w:fldCharType="begin"/>
      </w:r>
      <w:r w:rsidR="006C38E9">
        <w:instrText xml:space="preserve"> SEQ Figure \* ARABIC </w:instrText>
      </w:r>
      <w:r w:rsidR="006C38E9">
        <w:fldChar w:fldCharType="separate"/>
      </w:r>
      <w:r w:rsidR="00025EB2">
        <w:rPr>
          <w:noProof/>
        </w:rPr>
        <w:t>19</w:t>
      </w:r>
      <w:r w:rsidR="006C38E9">
        <w:rPr>
          <w:noProof/>
        </w:rPr>
        <w:fldChar w:fldCharType="end"/>
      </w:r>
      <w:bookmarkEnd w:id="121"/>
      <w:r>
        <w:t xml:space="preserve">. </w:t>
      </w:r>
      <w:r w:rsidR="00456CBA">
        <w:t xml:space="preserve">(Left) The average depths at </w:t>
      </w:r>
      <w:r w:rsidR="009D6230">
        <w:t xml:space="preserve">(a) </w:t>
      </w:r>
      <w:r w:rsidR="00456CBA">
        <w:t>Lock 6,</w:t>
      </w:r>
      <w:r w:rsidR="009D6230">
        <w:t xml:space="preserve"> (b)</w:t>
      </w:r>
      <w:r w:rsidR="00456CBA">
        <w:t xml:space="preserve"> Lock 4 and</w:t>
      </w:r>
      <w:r w:rsidR="009D6230">
        <w:t xml:space="preserve"> (c)</w:t>
      </w:r>
      <w:r w:rsidR="00456CBA">
        <w:t xml:space="preserve"> Lock 1 </w:t>
      </w:r>
      <w:r w:rsidR="00456CBA" w:rsidRPr="00C3722F">
        <w:rPr>
          <w:szCs w:val="20"/>
        </w:rPr>
        <w:t>observed</w:t>
      </w:r>
      <w:r w:rsidR="009D6230" w:rsidRPr="00C3722F">
        <w:rPr>
          <w:szCs w:val="20"/>
        </w:rPr>
        <w:t xml:space="preserve"> </w:t>
      </w:r>
      <w:r w:rsidR="00456CBA" w:rsidRPr="00C3722F">
        <w:rPr>
          <w:szCs w:val="20"/>
        </w:rPr>
        <w:t>(</w:t>
      </w:r>
      <w:r w:rsidR="00456CBA" w:rsidRPr="00C3722F">
        <w:rPr>
          <w:color w:val="0070C0"/>
          <w:szCs w:val="20"/>
        </w:rPr>
        <w:t>●</w:t>
      </w:r>
      <w:r w:rsidR="00456CBA" w:rsidRPr="00C3722F">
        <w:rPr>
          <w:szCs w:val="20"/>
        </w:rPr>
        <w:t>), and for modelled flows without CEW (</w:t>
      </w:r>
      <w:r w:rsidR="00456CBA" w:rsidRPr="00C3722F">
        <w:rPr>
          <w:color w:val="ED7D31" w:themeColor="accent2"/>
          <w:szCs w:val="20"/>
        </w:rPr>
        <w:t>●</w:t>
      </w:r>
      <w:r w:rsidR="00456CBA" w:rsidRPr="00C3722F">
        <w:rPr>
          <w:szCs w:val="20"/>
        </w:rPr>
        <w:t>), and without environmental water (EW) (</w:t>
      </w:r>
      <w:r w:rsidR="00456CBA" w:rsidRPr="00C3722F">
        <w:rPr>
          <w:color w:val="808080" w:themeColor="background1" w:themeShade="80"/>
          <w:szCs w:val="20"/>
        </w:rPr>
        <w:t>●</w:t>
      </w:r>
      <w:r w:rsidR="00456CBA" w:rsidRPr="00C3722F">
        <w:rPr>
          <w:szCs w:val="20"/>
        </w:rPr>
        <w:t xml:space="preserve">), </w:t>
      </w:r>
      <w:r w:rsidR="00EC715A" w:rsidRPr="00C3722F">
        <w:rPr>
          <w:szCs w:val="20"/>
        </w:rPr>
        <w:t>and the fraction</w:t>
      </w:r>
      <w:r w:rsidR="00EC715A">
        <w:rPr>
          <w:szCs w:val="20"/>
        </w:rPr>
        <w:t xml:space="preserve">al reduction in GPP(b) due to the increased depths associated with </w:t>
      </w:r>
      <w:r w:rsidR="00EC715A" w:rsidRPr="00C3722F">
        <w:rPr>
          <w:szCs w:val="20"/>
        </w:rPr>
        <w:t>CEW</w:t>
      </w:r>
      <w:r w:rsidR="00456CBA" w:rsidRPr="00C3722F">
        <w:rPr>
          <w:szCs w:val="20"/>
        </w:rPr>
        <w:t xml:space="preserve"> (</w:t>
      </w:r>
      <w:r w:rsidR="00456CBA" w:rsidRPr="00C3722F">
        <w:rPr>
          <w:color w:val="FFC000" w:themeColor="accent4"/>
          <w:szCs w:val="20"/>
        </w:rPr>
        <w:t>●</w:t>
      </w:r>
      <w:r w:rsidR="00456CBA" w:rsidRPr="00C3722F">
        <w:rPr>
          <w:szCs w:val="20"/>
        </w:rPr>
        <w:t>) and without EW (</w:t>
      </w:r>
      <w:r w:rsidR="00456CBA" w:rsidRPr="00C3722F">
        <w:rPr>
          <w:color w:val="70AD47" w:themeColor="accent6"/>
          <w:szCs w:val="20"/>
        </w:rPr>
        <w:t>●</w:t>
      </w:r>
      <w:r w:rsidR="00456CBA" w:rsidRPr="00C3722F">
        <w:rPr>
          <w:szCs w:val="20"/>
        </w:rPr>
        <w:t>). (Right) The fractional change in cross-sectional GPP due to the combined change in depth and cross-sectional area for modelled flows without CEW (</w:t>
      </w:r>
      <w:r w:rsidR="00456CBA" w:rsidRPr="00C3722F">
        <w:rPr>
          <w:color w:val="FFC000" w:themeColor="accent4"/>
          <w:szCs w:val="20"/>
        </w:rPr>
        <w:t>●</w:t>
      </w:r>
      <w:r w:rsidR="00456CBA" w:rsidRPr="00C3722F">
        <w:rPr>
          <w:szCs w:val="20"/>
        </w:rPr>
        <w:t>) and without EW (</w:t>
      </w:r>
      <w:r w:rsidR="00456CBA" w:rsidRPr="00C3722F">
        <w:rPr>
          <w:color w:val="70AD47" w:themeColor="accent6"/>
          <w:szCs w:val="20"/>
        </w:rPr>
        <w:t>●</w:t>
      </w:r>
      <w:r w:rsidR="00456CBA" w:rsidRPr="00C3722F">
        <w:rPr>
          <w:szCs w:val="20"/>
        </w:rPr>
        <w:t>)</w:t>
      </w:r>
      <w:r w:rsidR="00456CBA">
        <w:t>.</w:t>
      </w:r>
      <w:bookmarkEnd w:id="122"/>
    </w:p>
    <w:p w14:paraId="588DF227" w14:textId="3F1B9F26" w:rsidR="00456CBA" w:rsidRDefault="00456CBA" w:rsidP="00456CBA">
      <w:pPr>
        <w:rPr>
          <w:lang w:val="en-US"/>
        </w:rPr>
      </w:pPr>
      <w:r>
        <w:rPr>
          <w:lang w:val="en-US"/>
        </w:rPr>
        <w:t xml:space="preserve">As </w:t>
      </w:r>
      <w:proofErr w:type="spellStart"/>
      <w:r w:rsidRPr="0014354C">
        <w:rPr>
          <w:i/>
          <w:iCs/>
          <w:lang w:val="en-US"/>
        </w:rPr>
        <w:t>I</w:t>
      </w:r>
      <w:r w:rsidRPr="00D24D0E">
        <w:rPr>
          <w:i/>
          <w:iCs/>
          <w:lang w:val="en-US"/>
        </w:rPr>
        <w:t>m</w:t>
      </w:r>
      <w:proofErr w:type="spellEnd"/>
      <w:r>
        <w:rPr>
          <w:lang w:val="en-US"/>
        </w:rPr>
        <w:t xml:space="preserve"> is inversely related to the average depth of the water column (Equation 1), increases in flow that lead to increases in depth reduce the available light and reduce GPP(b) </w:t>
      </w:r>
      <w:r w:rsidRPr="005F7109">
        <w:rPr>
          <w:lang w:val="en-US"/>
        </w:rPr>
        <w:t>in inverse proportion to the relative change in depth</w:t>
      </w:r>
      <w:r>
        <w:rPr>
          <w:lang w:val="en-US"/>
        </w:rPr>
        <w:t xml:space="preserve">, provided other conditions remain the same (Ye </w:t>
      </w:r>
      <w:r w:rsidRPr="009D6230">
        <w:rPr>
          <w:i/>
          <w:iCs/>
          <w:lang w:val="en-US"/>
        </w:rPr>
        <w:t>et al.</w:t>
      </w:r>
      <w:r>
        <w:rPr>
          <w:lang w:val="en-US"/>
        </w:rPr>
        <w:t xml:space="preserve"> 2020)</w:t>
      </w:r>
      <w:r w:rsidRPr="005F7109">
        <w:rPr>
          <w:lang w:val="en-US"/>
        </w:rPr>
        <w:t>.</w:t>
      </w:r>
      <w:r w:rsidRPr="000526F8">
        <w:rPr>
          <w:lang w:val="en-US"/>
        </w:rPr>
        <w:t xml:space="preserve"> </w:t>
      </w:r>
      <w:r>
        <w:rPr>
          <w:lang w:val="en-US"/>
        </w:rPr>
        <w:t>Accepting that water quality remains unchanged between the flow conditions, the effect of environmental flows on the relative change in GPP(b) was determined from the ratio of the modelled water depth without environmental water to the observed depth with all flows, in effect assessing the influence of environmental water delivery on GPP(b) (</w:t>
      </w:r>
      <w:r w:rsidR="00741669">
        <w:rPr>
          <w:lang w:val="en-US"/>
        </w:rPr>
        <w:fldChar w:fldCharType="begin"/>
      </w:r>
      <w:r w:rsidR="00741669">
        <w:rPr>
          <w:lang w:val="en-US"/>
        </w:rPr>
        <w:instrText xml:space="preserve"> REF _Ref59030640 \h </w:instrText>
      </w:r>
      <w:r w:rsidR="00741669">
        <w:rPr>
          <w:lang w:val="en-US"/>
        </w:rPr>
      </w:r>
      <w:r w:rsidR="00741669">
        <w:rPr>
          <w:lang w:val="en-US"/>
        </w:rPr>
        <w:fldChar w:fldCharType="separate"/>
      </w:r>
      <w:r w:rsidR="00AD0721">
        <w:t xml:space="preserve">Figure </w:t>
      </w:r>
      <w:r w:rsidR="00AD0721">
        <w:rPr>
          <w:noProof/>
        </w:rPr>
        <w:t>19</w:t>
      </w:r>
      <w:r w:rsidR="00741669">
        <w:rPr>
          <w:lang w:val="en-US"/>
        </w:rPr>
        <w:fldChar w:fldCharType="end"/>
      </w:r>
      <w:r>
        <w:rPr>
          <w:lang w:val="en-US"/>
        </w:rPr>
        <w:t xml:space="preserve">). At Lock 6, the increases in flow due to Commonwealth environmental water had a small effect on GPP(b) except during the high flows </w:t>
      </w:r>
      <w:r w:rsidR="00C439AF">
        <w:rPr>
          <w:lang w:val="en-US"/>
        </w:rPr>
        <w:t xml:space="preserve">of mid- to late October 2019 </w:t>
      </w:r>
      <w:r>
        <w:rPr>
          <w:lang w:val="en-US"/>
        </w:rPr>
        <w:t>when estimated rates were depressed by a maximum of 16% at the flow peak.</w:t>
      </w:r>
      <w:r w:rsidRPr="00217E3D">
        <w:rPr>
          <w:lang w:val="en-US"/>
        </w:rPr>
        <w:t xml:space="preserve"> </w:t>
      </w:r>
      <w:r>
        <w:rPr>
          <w:lang w:val="en-US"/>
        </w:rPr>
        <w:t xml:space="preserve">At Lock 4, environmental water had a larger effect, </w:t>
      </w:r>
      <w:r w:rsidRPr="00217E3D">
        <w:rPr>
          <w:lang w:val="en-US"/>
        </w:rPr>
        <w:t>reduc</w:t>
      </w:r>
      <w:r>
        <w:rPr>
          <w:lang w:val="en-US"/>
        </w:rPr>
        <w:t xml:space="preserve">ing </w:t>
      </w:r>
      <w:r w:rsidRPr="00217E3D">
        <w:rPr>
          <w:lang w:val="en-US"/>
        </w:rPr>
        <w:t xml:space="preserve">GPP(b) </w:t>
      </w:r>
      <w:r>
        <w:rPr>
          <w:lang w:val="en-US"/>
        </w:rPr>
        <w:t>by about 6–10% and with a maximum reduction of around 30% at the flow peak. At Lock 1 GPP(b) was generally reduced by 1–4% with a maximum reduction of 7%</w:t>
      </w:r>
      <w:r w:rsidRPr="00217E3D">
        <w:rPr>
          <w:lang w:val="en-US"/>
        </w:rPr>
        <w:t xml:space="preserve">. </w:t>
      </w:r>
    </w:p>
    <w:p w14:paraId="588FA5AC" w14:textId="06407831" w:rsidR="00456CBA" w:rsidRDefault="00456CBA" w:rsidP="00456CBA">
      <w:pPr>
        <w:rPr>
          <w:lang w:val="en-US"/>
        </w:rPr>
      </w:pPr>
      <w:r w:rsidRPr="000526F8">
        <w:rPr>
          <w:lang w:val="en-US"/>
        </w:rPr>
        <w:t>If chlorophyll concentration</w:t>
      </w:r>
      <w:r>
        <w:rPr>
          <w:lang w:val="en-US"/>
        </w:rPr>
        <w:t xml:space="preserve">s and </w:t>
      </w:r>
      <w:proofErr w:type="spellStart"/>
      <w:r w:rsidRPr="00FB258E">
        <w:rPr>
          <w:i/>
          <w:iCs/>
          <w:lang w:val="en-US"/>
        </w:rPr>
        <w:t>kd</w:t>
      </w:r>
      <w:proofErr w:type="spellEnd"/>
      <w:r w:rsidRPr="000526F8">
        <w:rPr>
          <w:lang w:val="en-US"/>
        </w:rPr>
        <w:t xml:space="preserve"> </w:t>
      </w:r>
      <w:r>
        <w:rPr>
          <w:lang w:val="en-US"/>
        </w:rPr>
        <w:t xml:space="preserve">remain </w:t>
      </w:r>
      <w:r w:rsidRPr="000526F8">
        <w:rPr>
          <w:lang w:val="en-US"/>
        </w:rPr>
        <w:t xml:space="preserve">unchanged </w:t>
      </w:r>
      <w:r>
        <w:rPr>
          <w:lang w:val="en-US"/>
        </w:rPr>
        <w:t xml:space="preserve">for the daily comparisons of flows with and without environmental water, </w:t>
      </w:r>
      <w:r w:rsidRPr="000526F8">
        <w:rPr>
          <w:lang w:val="en-US"/>
        </w:rPr>
        <w:t xml:space="preserve">then </w:t>
      </w:r>
      <w:r>
        <w:rPr>
          <w:lang w:val="en-US"/>
        </w:rPr>
        <w:t xml:space="preserve">fractional changes in </w:t>
      </w:r>
      <w:r w:rsidRPr="000526F8">
        <w:rPr>
          <w:lang w:val="en-US"/>
        </w:rPr>
        <w:t>volumetric GPP</w:t>
      </w:r>
      <w:r>
        <w:rPr>
          <w:lang w:val="en-US"/>
        </w:rPr>
        <w:t>(b)</w:t>
      </w:r>
      <w:r w:rsidRPr="000526F8">
        <w:rPr>
          <w:lang w:val="en-US"/>
        </w:rPr>
        <w:t xml:space="preserve"> </w:t>
      </w:r>
      <w:r>
        <w:rPr>
          <w:lang w:val="en-US"/>
        </w:rPr>
        <w:t>and GPP are</w:t>
      </w:r>
      <w:r w:rsidRPr="000526F8">
        <w:rPr>
          <w:lang w:val="en-US"/>
        </w:rPr>
        <w:t xml:space="preserve"> </w:t>
      </w:r>
      <w:r>
        <w:rPr>
          <w:lang w:val="en-US"/>
        </w:rPr>
        <w:t>equivalent</w:t>
      </w:r>
      <w:r w:rsidRPr="000526F8">
        <w:rPr>
          <w:lang w:val="en-US"/>
        </w:rPr>
        <w:t>.</w:t>
      </w:r>
      <w:r>
        <w:rPr>
          <w:lang w:val="en-US"/>
        </w:rPr>
        <w:t xml:space="preserve"> The influence of the changing daily depth ratios (</w:t>
      </w:r>
      <w:r w:rsidR="00741669">
        <w:rPr>
          <w:lang w:val="en-US"/>
        </w:rPr>
        <w:fldChar w:fldCharType="begin"/>
      </w:r>
      <w:r w:rsidR="00741669">
        <w:rPr>
          <w:lang w:val="en-US"/>
        </w:rPr>
        <w:instrText xml:space="preserve"> REF _Ref59030640 \h </w:instrText>
      </w:r>
      <w:r w:rsidR="00741669">
        <w:rPr>
          <w:lang w:val="en-US"/>
        </w:rPr>
      </w:r>
      <w:r w:rsidR="00741669">
        <w:rPr>
          <w:lang w:val="en-US"/>
        </w:rPr>
        <w:fldChar w:fldCharType="separate"/>
      </w:r>
      <w:r w:rsidR="00AD0721">
        <w:t xml:space="preserve">Figure </w:t>
      </w:r>
      <w:r w:rsidR="00AD0721">
        <w:rPr>
          <w:noProof/>
        </w:rPr>
        <w:t>19</w:t>
      </w:r>
      <w:r w:rsidR="00741669">
        <w:rPr>
          <w:lang w:val="en-US"/>
        </w:rPr>
        <w:fldChar w:fldCharType="end"/>
      </w:r>
      <w:r>
        <w:rPr>
          <w:lang w:val="en-US"/>
        </w:rPr>
        <w:t xml:space="preserve">) on the actual magnitude of GPP </w:t>
      </w:r>
      <w:r w:rsidR="00D9462F">
        <w:rPr>
          <w:lang w:val="en-US"/>
        </w:rPr>
        <w:t>were generally small</w:t>
      </w:r>
      <w:r>
        <w:rPr>
          <w:lang w:val="en-US"/>
        </w:rPr>
        <w:t>. The period of maximum change was during the second half of October when GPP was reduced by 0.5 mgO</w:t>
      </w:r>
      <w:r w:rsidRPr="00EA478F">
        <w:rPr>
          <w:vertAlign w:val="subscript"/>
          <w:lang w:val="en-US"/>
        </w:rPr>
        <w:t>2</w:t>
      </w:r>
      <w:r>
        <w:rPr>
          <w:lang w:val="en-US"/>
        </w:rPr>
        <w:t>/L/d.</w:t>
      </w:r>
    </w:p>
    <w:p w14:paraId="19D399B8" w14:textId="6A5E823B" w:rsidR="00456CBA" w:rsidRDefault="00456CBA" w:rsidP="00456CBA">
      <w:pPr>
        <w:rPr>
          <w:lang w:val="en-US"/>
        </w:rPr>
      </w:pPr>
      <w:r>
        <w:rPr>
          <w:lang w:val="en-US"/>
        </w:rPr>
        <w:t xml:space="preserve">The cumulative effect of the depression in GPP due to additional flows can be assessed from the integrated production over the monitoring period, estimated as the sum of daily rates. Due to the increased flows associated with Commonwealth environmental water, the cumulative </w:t>
      </w:r>
      <w:r w:rsidR="00C439AF">
        <w:rPr>
          <w:lang w:val="en-US"/>
        </w:rPr>
        <w:t>production over the monitoring period</w:t>
      </w:r>
      <w:r>
        <w:rPr>
          <w:lang w:val="en-US"/>
        </w:rPr>
        <w:t xml:space="preserve"> reduced at Lock 6 from 334 to 326 mgO</w:t>
      </w:r>
      <w:r w:rsidRPr="00883A1D">
        <w:rPr>
          <w:vertAlign w:val="subscript"/>
          <w:lang w:val="en-US"/>
        </w:rPr>
        <w:t>2</w:t>
      </w:r>
      <w:r>
        <w:rPr>
          <w:lang w:val="en-US"/>
        </w:rPr>
        <w:t xml:space="preserve">/L (125 to 122 </w:t>
      </w:r>
      <w:proofErr w:type="spellStart"/>
      <w:r>
        <w:rPr>
          <w:lang w:val="en-US"/>
        </w:rPr>
        <w:t>mgC</w:t>
      </w:r>
      <w:proofErr w:type="spellEnd"/>
      <w:r>
        <w:rPr>
          <w:lang w:val="en-US"/>
        </w:rPr>
        <w:t>/L), at Lock 4 from to 265 to 244 mgO</w:t>
      </w:r>
      <w:r w:rsidRPr="00883A1D">
        <w:rPr>
          <w:vertAlign w:val="subscript"/>
          <w:lang w:val="en-US"/>
        </w:rPr>
        <w:t>2</w:t>
      </w:r>
      <w:r>
        <w:rPr>
          <w:lang w:val="en-US"/>
        </w:rPr>
        <w:t xml:space="preserve">/L (99 to 91 </w:t>
      </w:r>
      <w:proofErr w:type="spellStart"/>
      <w:r>
        <w:rPr>
          <w:lang w:val="en-US"/>
        </w:rPr>
        <w:t>mgC</w:t>
      </w:r>
      <w:proofErr w:type="spellEnd"/>
      <w:r>
        <w:rPr>
          <w:lang w:val="en-US"/>
        </w:rPr>
        <w:t>/L), and at Lock 1 from 310 to 300 mgO</w:t>
      </w:r>
      <w:r w:rsidRPr="00883A1D">
        <w:rPr>
          <w:vertAlign w:val="subscript"/>
          <w:lang w:val="en-US"/>
        </w:rPr>
        <w:t>2</w:t>
      </w:r>
      <w:r>
        <w:rPr>
          <w:lang w:val="en-US"/>
        </w:rPr>
        <w:t xml:space="preserve">/L (116 to 112 </w:t>
      </w:r>
      <w:proofErr w:type="spellStart"/>
      <w:r>
        <w:rPr>
          <w:lang w:val="en-US"/>
        </w:rPr>
        <w:t>mgC</w:t>
      </w:r>
      <w:proofErr w:type="spellEnd"/>
      <w:r>
        <w:rPr>
          <w:lang w:val="en-US"/>
        </w:rPr>
        <w:t>/L). These small differences reflect the minimal changes in weir pool depths.</w:t>
      </w:r>
    </w:p>
    <w:p w14:paraId="2B19B85E" w14:textId="52B9E728" w:rsidR="00456CBA" w:rsidRDefault="00456CBA" w:rsidP="00456CBA">
      <w:pPr>
        <w:rPr>
          <w:lang w:val="en-US"/>
        </w:rPr>
      </w:pPr>
      <w:r>
        <w:rPr>
          <w:lang w:val="en-US"/>
        </w:rPr>
        <w:t xml:space="preserve">The volumetric rate of GPP measures the concentration change in the supply of primary production but does not describe the total supply in the river, which will depend on the cross-sectional area of the flow (Ye </w:t>
      </w:r>
      <w:r w:rsidRPr="009D6230">
        <w:rPr>
          <w:i/>
          <w:iCs/>
          <w:lang w:val="en-US"/>
        </w:rPr>
        <w:t>et al.</w:t>
      </w:r>
      <w:r>
        <w:rPr>
          <w:lang w:val="en-US"/>
        </w:rPr>
        <w:t xml:space="preserve"> 2020). The cross-sectional production, or GPP per linear </w:t>
      </w:r>
      <w:proofErr w:type="spellStart"/>
      <w:r>
        <w:rPr>
          <w:lang w:val="en-US"/>
        </w:rPr>
        <w:t>metre</w:t>
      </w:r>
      <w:proofErr w:type="spellEnd"/>
      <w:r>
        <w:rPr>
          <w:lang w:val="en-US"/>
        </w:rPr>
        <w:t xml:space="preserve"> of river, was calculated from the volumetric production rate and the cross-sectional area. To encompass the influence of depth changes associated with flows, the volumetric GPP rates adjusted for the relative changes in average depth were used with the corresponding cross-sectional areas to assess the changes in cross-sectional production. Despite reductions in the volumetric GPP(b) at all sites, especially during the high flow period (</w:t>
      </w:r>
      <w:r w:rsidR="00741669">
        <w:rPr>
          <w:lang w:val="en-US"/>
        </w:rPr>
        <w:fldChar w:fldCharType="begin"/>
      </w:r>
      <w:r w:rsidR="00741669">
        <w:rPr>
          <w:lang w:val="en-US"/>
        </w:rPr>
        <w:instrText xml:space="preserve"> REF _Ref59030640 \h </w:instrText>
      </w:r>
      <w:r w:rsidR="00741669">
        <w:rPr>
          <w:lang w:val="en-US"/>
        </w:rPr>
      </w:r>
      <w:r w:rsidR="00741669">
        <w:rPr>
          <w:lang w:val="en-US"/>
        </w:rPr>
        <w:fldChar w:fldCharType="separate"/>
      </w:r>
      <w:r w:rsidR="00AD0721">
        <w:t xml:space="preserve">Figure </w:t>
      </w:r>
      <w:r w:rsidR="00AD0721">
        <w:rPr>
          <w:noProof/>
        </w:rPr>
        <w:t>19</w:t>
      </w:r>
      <w:r w:rsidR="00741669">
        <w:rPr>
          <w:lang w:val="en-US"/>
        </w:rPr>
        <w:fldChar w:fldCharType="end"/>
      </w:r>
      <w:r>
        <w:rPr>
          <w:lang w:val="en-US"/>
        </w:rPr>
        <w:t xml:space="preserve">), the production per </w:t>
      </w:r>
      <w:proofErr w:type="spellStart"/>
      <w:r>
        <w:rPr>
          <w:lang w:val="en-US"/>
        </w:rPr>
        <w:t>metre</w:t>
      </w:r>
      <w:proofErr w:type="spellEnd"/>
      <w:r>
        <w:rPr>
          <w:lang w:val="en-US"/>
        </w:rPr>
        <w:t xml:space="preserve"> of river increased at Lock 6 and Lock 1 (</w:t>
      </w:r>
      <w:r w:rsidR="00741669">
        <w:rPr>
          <w:lang w:val="en-US"/>
        </w:rPr>
        <w:fldChar w:fldCharType="begin"/>
      </w:r>
      <w:r w:rsidR="00741669">
        <w:rPr>
          <w:lang w:val="en-US"/>
        </w:rPr>
        <w:instrText xml:space="preserve"> REF _Ref59030640 \h </w:instrText>
      </w:r>
      <w:r w:rsidR="00741669">
        <w:rPr>
          <w:lang w:val="en-US"/>
        </w:rPr>
      </w:r>
      <w:r w:rsidR="00741669">
        <w:rPr>
          <w:lang w:val="en-US"/>
        </w:rPr>
        <w:fldChar w:fldCharType="separate"/>
      </w:r>
      <w:r w:rsidR="00AD0721">
        <w:t xml:space="preserve">Figure </w:t>
      </w:r>
      <w:r w:rsidR="00AD0721">
        <w:rPr>
          <w:noProof/>
        </w:rPr>
        <w:t>19</w:t>
      </w:r>
      <w:r w:rsidR="00741669">
        <w:rPr>
          <w:lang w:val="en-US"/>
        </w:rPr>
        <w:fldChar w:fldCharType="end"/>
      </w:r>
      <w:r>
        <w:rPr>
          <w:lang w:val="en-US"/>
        </w:rPr>
        <w:t>). These changes were small, at Lock 6 a maximum increase of 7% and at Lock 1 a maximum increase of 3%. In contrast the cross-sectional production at Lock 4 decreased in response to the high flows by a maximum of 3% (</w:t>
      </w:r>
      <w:r w:rsidR="00741669">
        <w:rPr>
          <w:lang w:val="en-US"/>
        </w:rPr>
        <w:fldChar w:fldCharType="begin"/>
      </w:r>
      <w:r w:rsidR="00741669">
        <w:rPr>
          <w:lang w:val="en-US"/>
        </w:rPr>
        <w:instrText xml:space="preserve"> REF _Ref59030640 \h </w:instrText>
      </w:r>
      <w:r w:rsidR="00741669">
        <w:rPr>
          <w:lang w:val="en-US"/>
        </w:rPr>
      </w:r>
      <w:r w:rsidR="00741669">
        <w:rPr>
          <w:lang w:val="en-US"/>
        </w:rPr>
        <w:fldChar w:fldCharType="separate"/>
      </w:r>
      <w:r w:rsidR="00AD0721">
        <w:t xml:space="preserve">Figure </w:t>
      </w:r>
      <w:r w:rsidR="00AD0721">
        <w:rPr>
          <w:noProof/>
        </w:rPr>
        <w:t>19</w:t>
      </w:r>
      <w:r w:rsidR="00741669">
        <w:rPr>
          <w:lang w:val="en-US"/>
        </w:rPr>
        <w:fldChar w:fldCharType="end"/>
      </w:r>
      <w:r>
        <w:rPr>
          <w:lang w:val="en-US"/>
        </w:rPr>
        <w:t>). These opposite effects are a function of the relationships between depth and cross-sectional area at the different sites.</w:t>
      </w:r>
    </w:p>
    <w:p w14:paraId="7172F1E3" w14:textId="459FE852" w:rsidR="00C439AF" w:rsidRDefault="00C439AF" w:rsidP="00C439AF">
      <w:pPr>
        <w:rPr>
          <w:lang w:val="en-US"/>
        </w:rPr>
      </w:pPr>
      <w:r>
        <w:rPr>
          <w:lang w:val="en-US"/>
        </w:rPr>
        <w:t>The effects of flow on the cumulative cross-section production over the monitoring period were small within sites. At Lock 6 Commonwealth environmental water increased production from 99.7 to 100.8 gO</w:t>
      </w:r>
      <w:r w:rsidRPr="009D6230">
        <w:rPr>
          <w:vertAlign w:val="subscript"/>
          <w:lang w:val="en-US"/>
        </w:rPr>
        <w:t>2</w:t>
      </w:r>
      <w:r>
        <w:rPr>
          <w:lang w:val="en-US"/>
        </w:rPr>
        <w:t xml:space="preserve">/m (37.4 to 37.8 </w:t>
      </w:r>
      <w:proofErr w:type="spellStart"/>
      <w:r>
        <w:rPr>
          <w:lang w:val="en-US"/>
        </w:rPr>
        <w:t>gC</w:t>
      </w:r>
      <w:proofErr w:type="spellEnd"/>
      <w:r>
        <w:rPr>
          <w:lang w:val="en-US"/>
        </w:rPr>
        <w:t>/m) and at Lock 1 from 153.5 to 155.0 gO</w:t>
      </w:r>
      <w:r w:rsidRPr="009D6230">
        <w:rPr>
          <w:vertAlign w:val="subscript"/>
          <w:lang w:val="en-US"/>
        </w:rPr>
        <w:t>2</w:t>
      </w:r>
      <w:r>
        <w:rPr>
          <w:lang w:val="en-US"/>
        </w:rPr>
        <w:t xml:space="preserve">/m (57.5 to 58.1 </w:t>
      </w:r>
      <w:proofErr w:type="spellStart"/>
      <w:r>
        <w:rPr>
          <w:lang w:val="en-US"/>
        </w:rPr>
        <w:t>gC</w:t>
      </w:r>
      <w:proofErr w:type="spellEnd"/>
      <w:r>
        <w:rPr>
          <w:lang w:val="en-US"/>
        </w:rPr>
        <w:t>/m). Commonwealth environmental water had the opposite effect at Lock 4 with the cumulative cross-section production reducing from 111.6 to 111.1 gO</w:t>
      </w:r>
      <w:r w:rsidRPr="009D6230">
        <w:rPr>
          <w:vertAlign w:val="superscript"/>
          <w:lang w:val="en-US"/>
        </w:rPr>
        <w:t>2</w:t>
      </w:r>
      <w:r>
        <w:rPr>
          <w:lang w:val="en-US"/>
        </w:rPr>
        <w:t xml:space="preserve">/m (41.9 to 41.7 </w:t>
      </w:r>
      <w:proofErr w:type="spellStart"/>
      <w:r>
        <w:rPr>
          <w:lang w:val="en-US"/>
        </w:rPr>
        <w:t>gC</w:t>
      </w:r>
      <w:proofErr w:type="spellEnd"/>
      <w:r>
        <w:rPr>
          <w:lang w:val="en-US"/>
        </w:rPr>
        <w:t xml:space="preserve">/m) over the monitoring period. </w:t>
      </w:r>
    </w:p>
    <w:p w14:paraId="0D7F5D9B" w14:textId="18507AAD" w:rsidR="00456CBA" w:rsidRDefault="00456CBA" w:rsidP="00456CBA">
      <w:pPr>
        <w:rPr>
          <w:lang w:val="en-US"/>
        </w:rPr>
      </w:pPr>
      <w:r>
        <w:rPr>
          <w:lang w:val="en-US"/>
        </w:rPr>
        <w:t>In contrast, the large differences in the cumulative cross-sectional production between sites, for example Lock 4 being 1.5 times higher than Lock 6, reflected the average cross-sections at the sites, 526 m</w:t>
      </w:r>
      <w:r w:rsidRPr="00300462">
        <w:rPr>
          <w:vertAlign w:val="superscript"/>
          <w:lang w:val="en-US"/>
        </w:rPr>
        <w:t>2</w:t>
      </w:r>
      <w:r>
        <w:rPr>
          <w:lang w:val="en-US"/>
        </w:rPr>
        <w:t xml:space="preserve"> at Lock 1, 456 m</w:t>
      </w:r>
      <w:r w:rsidRPr="00300462">
        <w:rPr>
          <w:vertAlign w:val="superscript"/>
          <w:lang w:val="en-US"/>
        </w:rPr>
        <w:t>2</w:t>
      </w:r>
      <w:r>
        <w:rPr>
          <w:lang w:val="en-US"/>
        </w:rPr>
        <w:t xml:space="preserve"> at Lock 4 and 311 m</w:t>
      </w:r>
      <w:r w:rsidRPr="00300462">
        <w:rPr>
          <w:vertAlign w:val="superscript"/>
          <w:lang w:val="en-US"/>
        </w:rPr>
        <w:t>2</w:t>
      </w:r>
      <w:r w:rsidRPr="00BB4667">
        <w:rPr>
          <w:lang w:val="en-US"/>
        </w:rPr>
        <w:t xml:space="preserve"> </w:t>
      </w:r>
      <w:r>
        <w:rPr>
          <w:lang w:val="en-US"/>
        </w:rPr>
        <w:t>at Lock 6. Volumetric rates of GPP were not substantially different between the sites (</w:t>
      </w:r>
      <w:r w:rsidR="00741669">
        <w:rPr>
          <w:lang w:val="en-US"/>
        </w:rPr>
        <w:fldChar w:fldCharType="begin"/>
      </w:r>
      <w:r w:rsidR="00741669">
        <w:rPr>
          <w:lang w:val="en-US"/>
        </w:rPr>
        <w:instrText xml:space="preserve"> REF _Ref59030607 \h </w:instrText>
      </w:r>
      <w:r w:rsidR="00741669">
        <w:rPr>
          <w:lang w:val="en-US"/>
        </w:rPr>
      </w:r>
      <w:r w:rsidR="00741669">
        <w:rPr>
          <w:lang w:val="en-US"/>
        </w:rPr>
        <w:fldChar w:fldCharType="separate"/>
      </w:r>
      <w:r w:rsidR="00AD0721">
        <w:t xml:space="preserve">Figure </w:t>
      </w:r>
      <w:r w:rsidR="00AD0721">
        <w:rPr>
          <w:noProof/>
        </w:rPr>
        <w:t>17</w:t>
      </w:r>
      <w:r w:rsidR="00741669">
        <w:rPr>
          <w:lang w:val="en-US"/>
        </w:rPr>
        <w:fldChar w:fldCharType="end"/>
      </w:r>
      <w:r>
        <w:rPr>
          <w:lang w:val="en-US"/>
        </w:rPr>
        <w:t>) and consequently the cumulative cross-sectional production rates were proportional to the cross-sections. This demonstrates the large changes in GPP that will occur in response to flow at river sites where the naturally related changes in depth and cross-sectional area occur.</w:t>
      </w:r>
    </w:p>
    <w:p w14:paraId="15049304" w14:textId="77777777" w:rsidR="00971C28" w:rsidRDefault="00971C28" w:rsidP="00456CBA">
      <w:pPr>
        <w:pStyle w:val="ListParagraph"/>
        <w:ind w:left="0"/>
        <w:rPr>
          <w:i/>
          <w:u w:val="single"/>
        </w:rPr>
      </w:pPr>
    </w:p>
    <w:p w14:paraId="77F83148" w14:textId="77777777" w:rsidR="00971C28" w:rsidRDefault="00971C28" w:rsidP="00456CBA">
      <w:pPr>
        <w:pStyle w:val="ListParagraph"/>
        <w:ind w:left="0"/>
        <w:rPr>
          <w:i/>
          <w:u w:val="single"/>
        </w:rPr>
      </w:pPr>
    </w:p>
    <w:p w14:paraId="6A36BAFA" w14:textId="6B88BE44" w:rsidR="00456CBA" w:rsidRPr="00227FE9" w:rsidRDefault="00456CBA" w:rsidP="00456CBA">
      <w:pPr>
        <w:pStyle w:val="ListParagraph"/>
        <w:ind w:left="0"/>
        <w:rPr>
          <w:i/>
          <w:u w:val="single"/>
        </w:rPr>
      </w:pPr>
      <w:r>
        <w:rPr>
          <w:i/>
          <w:u w:val="single"/>
        </w:rPr>
        <w:t xml:space="preserve">Determinants of ecosystem respiration </w:t>
      </w:r>
    </w:p>
    <w:p w14:paraId="50B00773" w14:textId="5BA4AAFE" w:rsidR="00456CBA" w:rsidRDefault="00456CBA" w:rsidP="00456CBA">
      <w:pPr>
        <w:rPr>
          <w:iCs/>
          <w:szCs w:val="22"/>
          <w:lang w:val="en-US"/>
        </w:rPr>
      </w:pPr>
      <w:r>
        <w:rPr>
          <w:iCs/>
          <w:szCs w:val="22"/>
          <w:lang w:val="en-US"/>
        </w:rPr>
        <w:t xml:space="preserve">Previous analyses indicated that ER was largely associated with carbon sources from GPP and DOC (Ye </w:t>
      </w:r>
      <w:r w:rsidRPr="009D6230">
        <w:rPr>
          <w:i/>
          <w:szCs w:val="22"/>
          <w:lang w:val="en-US"/>
        </w:rPr>
        <w:t>et al.</w:t>
      </w:r>
      <w:r>
        <w:rPr>
          <w:iCs/>
          <w:szCs w:val="22"/>
          <w:lang w:val="en-US"/>
        </w:rPr>
        <w:t xml:space="preserve"> 2020). Rates of ER and GPP were converted to carbon units (</w:t>
      </w:r>
      <w:proofErr w:type="spellStart"/>
      <w:r>
        <w:rPr>
          <w:iCs/>
          <w:szCs w:val="22"/>
          <w:lang w:val="en-US"/>
        </w:rPr>
        <w:t>mgC</w:t>
      </w:r>
      <w:proofErr w:type="spellEnd"/>
      <w:r>
        <w:rPr>
          <w:iCs/>
          <w:szCs w:val="22"/>
          <w:lang w:val="en-US"/>
        </w:rPr>
        <w:t xml:space="preserve">/L/day) and combined in a multiple linear regression assuming there were no other major sources of respiration. This yielded a relationship with regression </w:t>
      </w:r>
      <w:r w:rsidR="0014354C">
        <w:rPr>
          <w:iCs/>
          <w:szCs w:val="22"/>
          <w:lang w:val="en-US"/>
        </w:rPr>
        <w:t xml:space="preserve">coefficients that were </w:t>
      </w:r>
      <w:proofErr w:type="gramStart"/>
      <w:r w:rsidR="0014354C">
        <w:rPr>
          <w:iCs/>
          <w:szCs w:val="22"/>
          <w:lang w:val="en-US"/>
        </w:rPr>
        <w:t xml:space="preserve">similar </w:t>
      </w:r>
      <w:r>
        <w:rPr>
          <w:iCs/>
          <w:szCs w:val="22"/>
          <w:lang w:val="en-US"/>
        </w:rPr>
        <w:t>to</w:t>
      </w:r>
      <w:proofErr w:type="gramEnd"/>
      <w:r>
        <w:rPr>
          <w:iCs/>
          <w:szCs w:val="22"/>
          <w:lang w:val="en-US"/>
        </w:rPr>
        <w:t xml:space="preserve"> previous estimates (Ye </w:t>
      </w:r>
      <w:r w:rsidRPr="009D6230">
        <w:rPr>
          <w:i/>
          <w:szCs w:val="22"/>
          <w:lang w:val="en-US"/>
        </w:rPr>
        <w:t>et al.</w:t>
      </w:r>
      <w:r>
        <w:rPr>
          <w:iCs/>
          <w:szCs w:val="22"/>
          <w:lang w:val="en-US"/>
        </w:rPr>
        <w:t xml:space="preserve"> 2020):</w:t>
      </w:r>
    </w:p>
    <w:p w14:paraId="0C1A9F92" w14:textId="77777777" w:rsidR="00456CBA" w:rsidRDefault="00456CBA" w:rsidP="00456CBA">
      <w:pPr>
        <w:rPr>
          <w:iCs/>
          <w:szCs w:val="22"/>
          <w:lang w:val="en-US"/>
        </w:rPr>
      </w:pPr>
      <w:r>
        <w:rPr>
          <w:iCs/>
          <w:szCs w:val="22"/>
          <w:lang w:val="en-US"/>
        </w:rPr>
        <w:t>ER = 0.68 (±0.</w:t>
      </w:r>
      <w:proofErr w:type="gramStart"/>
      <w:r>
        <w:rPr>
          <w:iCs/>
          <w:szCs w:val="22"/>
          <w:lang w:val="en-US"/>
        </w:rPr>
        <w:t>06)*</w:t>
      </w:r>
      <w:proofErr w:type="gramEnd"/>
      <w:r>
        <w:rPr>
          <w:iCs/>
          <w:szCs w:val="22"/>
          <w:lang w:val="en-US"/>
        </w:rPr>
        <w:t xml:space="preserve">GPP + 0.05(±0.01)*DOC  </w:t>
      </w:r>
    </w:p>
    <w:p w14:paraId="7E37CB77" w14:textId="071C9504" w:rsidR="00971C28" w:rsidRDefault="00456CBA" w:rsidP="00971C28">
      <w:pPr>
        <w:rPr>
          <w:iCs/>
          <w:szCs w:val="22"/>
          <w:lang w:val="en-US"/>
        </w:rPr>
      </w:pPr>
      <w:r>
        <w:rPr>
          <w:iCs/>
          <w:szCs w:val="22"/>
          <w:lang w:val="en-US"/>
        </w:rPr>
        <w:t xml:space="preserve">Based on these an initial effort was made at </w:t>
      </w:r>
      <w:r>
        <w:rPr>
          <w:lang w:val="en-US"/>
        </w:rPr>
        <w:t>evaluating separately the respiration rates due to phytoplankton (autotrophs) and bacteria (heterotrophs) across sites for 2019-20, but it is stressed that these are approximations only due to the limited data set and unexplained variation. Values reported (</w:t>
      </w:r>
      <w:r w:rsidR="00741669">
        <w:rPr>
          <w:lang w:val="en-US"/>
        </w:rPr>
        <w:fldChar w:fldCharType="begin"/>
      </w:r>
      <w:r w:rsidR="00741669">
        <w:rPr>
          <w:lang w:val="en-US"/>
        </w:rPr>
        <w:instrText xml:space="preserve"> REF _Ref59030717 \h </w:instrText>
      </w:r>
      <w:r w:rsidR="00741669">
        <w:rPr>
          <w:lang w:val="en-US"/>
        </w:rPr>
      </w:r>
      <w:r w:rsidR="00741669">
        <w:rPr>
          <w:lang w:val="en-US"/>
        </w:rPr>
        <w:fldChar w:fldCharType="separate"/>
      </w:r>
      <w:r w:rsidR="00AD0721">
        <w:t xml:space="preserve">Figure </w:t>
      </w:r>
      <w:r w:rsidR="00AD0721">
        <w:rPr>
          <w:noProof/>
        </w:rPr>
        <w:t>20</w:t>
      </w:r>
      <w:r w:rsidR="00741669">
        <w:rPr>
          <w:lang w:val="en-US"/>
        </w:rPr>
        <w:fldChar w:fldCharType="end"/>
      </w:r>
      <w:r>
        <w:rPr>
          <w:lang w:val="en-US"/>
        </w:rPr>
        <w:t>) are for occasions when the sum of PCR and BCR were within ±30% of the measured respiration rates, a constraint that reduced the number of data points from 38 to 24</w:t>
      </w:r>
      <w:r>
        <w:rPr>
          <w:iCs/>
          <w:szCs w:val="22"/>
          <w:lang w:val="en-US"/>
        </w:rPr>
        <w:t>. Corresponding net production rates were estimated,</w:t>
      </w:r>
      <w:r w:rsidRPr="00B26C62">
        <w:rPr>
          <w:iCs/>
          <w:szCs w:val="22"/>
          <w:lang w:val="en-US"/>
        </w:rPr>
        <w:t xml:space="preserve"> </w:t>
      </w:r>
      <w:r>
        <w:rPr>
          <w:iCs/>
          <w:szCs w:val="22"/>
          <w:lang w:val="en-US"/>
        </w:rPr>
        <w:t>PNP as the difference between GPP and the phytoplankton respiration, and BNP using BCR in Equation 2 (</w:t>
      </w:r>
      <w:r w:rsidR="00741669">
        <w:rPr>
          <w:iCs/>
          <w:szCs w:val="22"/>
          <w:lang w:val="en-US"/>
        </w:rPr>
        <w:fldChar w:fldCharType="begin"/>
      </w:r>
      <w:r w:rsidR="00741669">
        <w:rPr>
          <w:iCs/>
          <w:szCs w:val="22"/>
          <w:lang w:val="en-US"/>
        </w:rPr>
        <w:instrText xml:space="preserve"> REF _Ref59030717 \h </w:instrText>
      </w:r>
      <w:r w:rsidR="00741669">
        <w:rPr>
          <w:iCs/>
          <w:szCs w:val="22"/>
          <w:lang w:val="en-US"/>
        </w:rPr>
      </w:r>
      <w:r w:rsidR="00741669">
        <w:rPr>
          <w:iCs/>
          <w:szCs w:val="22"/>
          <w:lang w:val="en-US"/>
        </w:rPr>
        <w:fldChar w:fldCharType="separate"/>
      </w:r>
      <w:r w:rsidR="00AD0721">
        <w:t xml:space="preserve">Figure </w:t>
      </w:r>
      <w:r w:rsidR="00AD0721">
        <w:rPr>
          <w:noProof/>
        </w:rPr>
        <w:t>20</w:t>
      </w:r>
      <w:r w:rsidR="00741669">
        <w:rPr>
          <w:iCs/>
          <w:szCs w:val="22"/>
          <w:lang w:val="en-US"/>
        </w:rPr>
        <w:fldChar w:fldCharType="end"/>
      </w:r>
      <w:r>
        <w:rPr>
          <w:iCs/>
          <w:szCs w:val="22"/>
          <w:lang w:val="en-US"/>
        </w:rPr>
        <w:t>).</w:t>
      </w:r>
      <w:r w:rsidRPr="00CC1CA3">
        <w:rPr>
          <w:iCs/>
          <w:szCs w:val="22"/>
          <w:lang w:val="en-US"/>
        </w:rPr>
        <w:t xml:space="preserve"> </w:t>
      </w:r>
      <w:r>
        <w:rPr>
          <w:iCs/>
          <w:szCs w:val="22"/>
          <w:lang w:val="en-US"/>
        </w:rPr>
        <w:t>During 2019-20 the respiration and net production attributable to bacteria was small relative to the phytoplankton with BNP on average providing 20% of the combined net production.</w:t>
      </w:r>
    </w:p>
    <w:p w14:paraId="7C3B6BEB" w14:textId="1D08B2CD" w:rsidR="00456CBA" w:rsidRDefault="00971C28" w:rsidP="00CE5EF5">
      <w:pPr>
        <w:jc w:val="center"/>
        <w:rPr>
          <w:iCs/>
          <w:szCs w:val="22"/>
          <w:lang w:val="en-US"/>
        </w:rPr>
      </w:pPr>
      <w:r w:rsidRPr="00971C28">
        <w:rPr>
          <w:noProof/>
        </w:rPr>
        <w:drawing>
          <wp:inline distT="0" distB="0" distL="0" distR="0" wp14:anchorId="5CA407A3" wp14:editId="618A987C">
            <wp:extent cx="4495800" cy="4819650"/>
            <wp:effectExtent l="0" t="0" r="0" b="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4495800" cy="4819650"/>
                    </a:xfrm>
                    <a:prstGeom prst="rect">
                      <a:avLst/>
                    </a:prstGeom>
                    <a:noFill/>
                    <a:ln>
                      <a:noFill/>
                    </a:ln>
                  </pic:spPr>
                </pic:pic>
              </a:graphicData>
            </a:graphic>
          </wp:inline>
        </w:drawing>
      </w:r>
    </w:p>
    <w:p w14:paraId="1F32A576" w14:textId="3B241357" w:rsidR="00456CBA" w:rsidRDefault="00741669" w:rsidP="00971C28">
      <w:pPr>
        <w:pStyle w:val="Caption"/>
        <w:rPr>
          <w:i/>
          <w:u w:val="single"/>
        </w:rPr>
      </w:pPr>
      <w:bookmarkStart w:id="123" w:name="_Ref59030717"/>
      <w:bookmarkStart w:id="124" w:name="_Toc69387684"/>
      <w:r>
        <w:t xml:space="preserve">Figure </w:t>
      </w:r>
      <w:r w:rsidR="006C38E9">
        <w:fldChar w:fldCharType="begin"/>
      </w:r>
      <w:r w:rsidR="006C38E9">
        <w:instrText xml:space="preserve"> SEQ Figure \* ARABIC </w:instrText>
      </w:r>
      <w:r w:rsidR="006C38E9">
        <w:fldChar w:fldCharType="separate"/>
      </w:r>
      <w:r w:rsidR="00996426">
        <w:rPr>
          <w:noProof/>
        </w:rPr>
        <w:t>20</w:t>
      </w:r>
      <w:r w:rsidR="006C38E9">
        <w:rPr>
          <w:noProof/>
        </w:rPr>
        <w:fldChar w:fldCharType="end"/>
      </w:r>
      <w:bookmarkEnd w:id="123"/>
      <w:r>
        <w:t xml:space="preserve">. </w:t>
      </w:r>
      <w:r w:rsidR="00456CBA">
        <w:t xml:space="preserve">Respiration </w:t>
      </w:r>
      <w:r w:rsidR="00CE5EF5">
        <w:t>(</w:t>
      </w:r>
      <w:r w:rsidR="00971C28">
        <w:t>a</w:t>
      </w:r>
      <w:r w:rsidR="00CE5EF5">
        <w:t xml:space="preserve">) </w:t>
      </w:r>
      <w:r w:rsidR="00456CBA">
        <w:t xml:space="preserve">and net </w:t>
      </w:r>
      <w:r w:rsidR="00456CBA" w:rsidRPr="00C3722F">
        <w:rPr>
          <w:szCs w:val="20"/>
        </w:rPr>
        <w:t xml:space="preserve">production rates </w:t>
      </w:r>
      <w:r w:rsidR="00CE5EF5">
        <w:rPr>
          <w:szCs w:val="20"/>
        </w:rPr>
        <w:t xml:space="preserve">(b) </w:t>
      </w:r>
      <w:r w:rsidR="00456CBA" w:rsidRPr="00C3722F">
        <w:rPr>
          <w:szCs w:val="20"/>
        </w:rPr>
        <w:t>of phytoplankton (</w:t>
      </w:r>
      <w:r w:rsidR="00456CBA" w:rsidRPr="00C3722F">
        <w:rPr>
          <w:color w:val="0070C0"/>
          <w:szCs w:val="20"/>
        </w:rPr>
        <w:t>●</w:t>
      </w:r>
      <w:r w:rsidR="00456CBA" w:rsidRPr="00C3722F">
        <w:rPr>
          <w:szCs w:val="20"/>
        </w:rPr>
        <w:t>), bacteria (</w:t>
      </w:r>
      <w:r w:rsidR="00456CBA" w:rsidRPr="00C3722F">
        <w:rPr>
          <w:color w:val="ED7D31" w:themeColor="accent2"/>
          <w:szCs w:val="20"/>
        </w:rPr>
        <w:t>●</w:t>
      </w:r>
      <w:r w:rsidR="00456CBA" w:rsidRPr="00C3722F">
        <w:rPr>
          <w:szCs w:val="20"/>
        </w:rPr>
        <w:t>) and net production of both combined (</w:t>
      </w:r>
      <w:r w:rsidR="00456CBA" w:rsidRPr="00C3722F">
        <w:rPr>
          <w:color w:val="808080" w:themeColor="background1" w:themeShade="80"/>
          <w:szCs w:val="20"/>
        </w:rPr>
        <w:t>●</w:t>
      </w:r>
      <w:r w:rsidR="00456CBA" w:rsidRPr="00C3722F">
        <w:rPr>
          <w:szCs w:val="20"/>
        </w:rPr>
        <w:t>) for a</w:t>
      </w:r>
      <w:r w:rsidR="00456CBA">
        <w:t>ll sites during 2019-20.</w:t>
      </w:r>
      <w:bookmarkEnd w:id="124"/>
      <w:r w:rsidR="00456CBA">
        <w:rPr>
          <w:i/>
          <w:u w:val="single"/>
        </w:rPr>
        <w:br w:type="page"/>
      </w:r>
    </w:p>
    <w:p w14:paraId="75025297" w14:textId="77777777" w:rsidR="00456CBA" w:rsidRDefault="00456CBA" w:rsidP="00456CBA">
      <w:pPr>
        <w:pStyle w:val="ListParagraph"/>
        <w:ind w:left="0"/>
        <w:rPr>
          <w:i/>
          <w:u w:val="single"/>
        </w:rPr>
      </w:pPr>
      <w:r>
        <w:rPr>
          <w:i/>
          <w:u w:val="single"/>
        </w:rPr>
        <w:t>Water quality</w:t>
      </w:r>
    </w:p>
    <w:p w14:paraId="0417D211" w14:textId="783EBA7C" w:rsidR="00456CBA" w:rsidRDefault="00456CBA" w:rsidP="00456CBA">
      <w:bookmarkStart w:id="125" w:name="_Ref35595463"/>
      <w:r>
        <w:t xml:space="preserve">Concentrations of DOC </w:t>
      </w:r>
      <w:r w:rsidRPr="00D33BD7">
        <w:t>averaged 3 mg/L across the three sites during the sampling period, and showed little change except for an increase at Lock 1 to 4.6 mg/L during January, which appeared related to flow from Lake Victoria (</w:t>
      </w:r>
      <w:r w:rsidR="00741669" w:rsidRPr="00D33BD7">
        <w:fldChar w:fldCharType="begin"/>
      </w:r>
      <w:r w:rsidR="00741669" w:rsidRPr="00D33BD7">
        <w:instrText xml:space="preserve"> REF _Ref59030758 \h </w:instrText>
      </w:r>
      <w:r w:rsidR="00D33BD7">
        <w:instrText xml:space="preserve"> \* MERGEFORMAT </w:instrText>
      </w:r>
      <w:r w:rsidR="00741669" w:rsidRPr="00D33BD7">
        <w:fldChar w:fldCharType="separate"/>
      </w:r>
      <w:r w:rsidR="00CF2251">
        <w:t xml:space="preserve">Figure </w:t>
      </w:r>
      <w:r w:rsidR="00CF2251">
        <w:rPr>
          <w:noProof/>
        </w:rPr>
        <w:t>21</w:t>
      </w:r>
      <w:r w:rsidR="00741669" w:rsidRPr="00D33BD7">
        <w:fldChar w:fldCharType="end"/>
      </w:r>
      <w:r w:rsidR="00741669" w:rsidRPr="00D33BD7">
        <w:t>c</w:t>
      </w:r>
      <w:r w:rsidRPr="00D33BD7">
        <w:t>), but this cannot be confirmed from measurement</w:t>
      </w:r>
      <w:r>
        <w:t xml:space="preserve">s in the Selected Area alone and awaits a broader basin scale analysis. </w:t>
      </w:r>
    </w:p>
    <w:p w14:paraId="20E27A5E" w14:textId="6F037189" w:rsidR="00456CBA" w:rsidRDefault="00456CBA" w:rsidP="00456CBA">
      <w:r>
        <w:t>Turbidity also changed in response to flow, increasing when additional flows arrived from upstream both during October/November and in early January (</w:t>
      </w:r>
      <w:r w:rsidR="00741669">
        <w:fldChar w:fldCharType="begin"/>
      </w:r>
      <w:r w:rsidR="00741669">
        <w:instrText xml:space="preserve"> REF _Ref59030758 \h </w:instrText>
      </w:r>
      <w:r w:rsidR="00741669">
        <w:fldChar w:fldCharType="separate"/>
      </w:r>
      <w:r w:rsidR="00CF2251">
        <w:t xml:space="preserve">Figure </w:t>
      </w:r>
      <w:r w:rsidR="00CF2251">
        <w:rPr>
          <w:noProof/>
        </w:rPr>
        <w:t>21</w:t>
      </w:r>
      <w:r w:rsidR="00741669">
        <w:fldChar w:fldCharType="end"/>
      </w:r>
      <w:r>
        <w:t xml:space="preserve">b). There were no inflows from the Darling River, </w:t>
      </w:r>
      <w:r w:rsidR="00AC5D37">
        <w:t>h</w:t>
      </w:r>
      <w:r w:rsidR="00D33BD7">
        <w:t>istorically</w:t>
      </w:r>
      <w:r>
        <w:t xml:space="preserve"> a major source of turbidity in the Lower Murray, and the turbidity fluctuations appeared to be associated with flows from either Lake Victoria or further up along the Murray River. Again, analyses of the sources of the turbidity fluctuations requires basin scale data. The importance of turbidity to the vertical attenuation coefficient for PAR (</w:t>
      </w:r>
      <w:proofErr w:type="spellStart"/>
      <w:r w:rsidRPr="00FB258E">
        <w:rPr>
          <w:i/>
          <w:iCs/>
        </w:rPr>
        <w:t>kd</w:t>
      </w:r>
      <w:proofErr w:type="spellEnd"/>
      <w:r>
        <w:t>) is evident from the matched responses (</w:t>
      </w:r>
      <w:r w:rsidR="00741669">
        <w:fldChar w:fldCharType="begin"/>
      </w:r>
      <w:r w:rsidR="00741669">
        <w:instrText xml:space="preserve"> REF _Ref59030758 \h </w:instrText>
      </w:r>
      <w:r w:rsidR="00741669">
        <w:fldChar w:fldCharType="separate"/>
      </w:r>
      <w:r w:rsidR="00CF2251">
        <w:t xml:space="preserve">Figure </w:t>
      </w:r>
      <w:r w:rsidR="00CF2251">
        <w:rPr>
          <w:noProof/>
        </w:rPr>
        <w:t>21</w:t>
      </w:r>
      <w:r w:rsidR="00741669">
        <w:fldChar w:fldCharType="end"/>
      </w:r>
      <w:r w:rsidR="00741669">
        <w:t>b</w:t>
      </w:r>
      <w:r>
        <w:t xml:space="preserve">). </w:t>
      </w:r>
    </w:p>
    <w:p w14:paraId="2B7D37B9" w14:textId="3E750CE3" w:rsidR="00456CBA" w:rsidRDefault="00456CBA" w:rsidP="00456CBA">
      <w:r>
        <w:t>Although nutrients can influence rates of metabolism and phytoplankton concentrations, there was no clear evidence that this occurred during 2019-20. Both TP and TN responded to flows in a similar manner to turbidity and increased substantially (</w:t>
      </w:r>
      <w:r w:rsidR="00741669">
        <w:fldChar w:fldCharType="begin"/>
      </w:r>
      <w:r w:rsidR="00741669">
        <w:instrText xml:space="preserve"> REF _Ref59030834 \h </w:instrText>
      </w:r>
      <w:r w:rsidR="00741669">
        <w:fldChar w:fldCharType="separate"/>
      </w:r>
      <w:r w:rsidR="00CF2251">
        <w:t xml:space="preserve">Figure </w:t>
      </w:r>
      <w:r w:rsidR="00CF2251">
        <w:rPr>
          <w:noProof/>
        </w:rPr>
        <w:t>22</w:t>
      </w:r>
      <w:r w:rsidR="00741669">
        <w:fldChar w:fldCharType="end"/>
      </w:r>
      <w:r>
        <w:t>) but did not result in marked changes in metabolism. This suggested that phytoplankton metabolism was largely controlled by light, and heterotrophic metabolism by DOC concentrations. It is likely that these resources constrained population sizes such that nutrients were not reduced to limiting concentrations.</w:t>
      </w:r>
    </w:p>
    <w:p w14:paraId="7DCF8A4C" w14:textId="77777777" w:rsidR="00456CBA" w:rsidRDefault="00456CBA" w:rsidP="00456CBA">
      <w:pPr>
        <w:spacing w:before="0" w:after="160" w:line="259" w:lineRule="auto"/>
        <w:jc w:val="left"/>
      </w:pPr>
      <w:r>
        <w:br w:type="page"/>
      </w:r>
    </w:p>
    <w:p w14:paraId="1DF97A80" w14:textId="7187AD82" w:rsidR="00456CBA" w:rsidRDefault="00DB755B" w:rsidP="00456CBA">
      <w:pPr>
        <w:spacing w:before="0" w:after="160" w:line="259" w:lineRule="auto"/>
        <w:jc w:val="center"/>
      </w:pPr>
      <w:r w:rsidRPr="00DB755B">
        <w:rPr>
          <w:noProof/>
        </w:rPr>
        <w:drawing>
          <wp:inline distT="0" distB="0" distL="0" distR="0" wp14:anchorId="2312E099" wp14:editId="2281B964">
            <wp:extent cx="4286250" cy="7435332"/>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a:ext>
                      </a:extLst>
                    </a:blip>
                    <a:srcRect/>
                    <a:stretch>
                      <a:fillRect/>
                    </a:stretch>
                  </pic:blipFill>
                  <pic:spPr bwMode="auto">
                    <a:xfrm>
                      <a:off x="0" y="0"/>
                      <a:ext cx="4287876" cy="7438152"/>
                    </a:xfrm>
                    <a:prstGeom prst="rect">
                      <a:avLst/>
                    </a:prstGeom>
                    <a:noFill/>
                    <a:ln>
                      <a:noFill/>
                    </a:ln>
                  </pic:spPr>
                </pic:pic>
              </a:graphicData>
            </a:graphic>
          </wp:inline>
        </w:drawing>
      </w:r>
    </w:p>
    <w:p w14:paraId="06DD41C4" w14:textId="1C8D3782" w:rsidR="00456CBA" w:rsidRDefault="00741669" w:rsidP="00741669">
      <w:pPr>
        <w:pStyle w:val="Caption"/>
      </w:pPr>
      <w:bookmarkStart w:id="126" w:name="_Ref59030758"/>
      <w:bookmarkStart w:id="127" w:name="_Toc69387685"/>
      <w:r>
        <w:t xml:space="preserve">Figure </w:t>
      </w:r>
      <w:r w:rsidR="006C38E9">
        <w:fldChar w:fldCharType="begin"/>
      </w:r>
      <w:r w:rsidR="006C38E9">
        <w:instrText xml:space="preserve"> SEQ Figure \* ARABIC </w:instrText>
      </w:r>
      <w:r w:rsidR="006C38E9">
        <w:fldChar w:fldCharType="separate"/>
      </w:r>
      <w:r w:rsidR="00996426">
        <w:rPr>
          <w:noProof/>
        </w:rPr>
        <w:t>21</w:t>
      </w:r>
      <w:r w:rsidR="006C38E9">
        <w:rPr>
          <w:noProof/>
        </w:rPr>
        <w:fldChar w:fldCharType="end"/>
      </w:r>
      <w:bookmarkEnd w:id="126"/>
      <w:r>
        <w:t xml:space="preserve">. </w:t>
      </w:r>
      <w:r w:rsidR="00456CBA">
        <w:t>(</w:t>
      </w:r>
      <w:r w:rsidR="00DB755B">
        <w:t>a</w:t>
      </w:r>
      <w:r w:rsidR="00456CBA">
        <w:t xml:space="preserve">) </w:t>
      </w:r>
      <w:r w:rsidR="00456CBA" w:rsidRPr="00C3722F">
        <w:rPr>
          <w:szCs w:val="20"/>
        </w:rPr>
        <w:t>Cumulative contributions of water sources to total flow at the South Australian border with additional flow due to Darling River (</w:t>
      </w:r>
      <w:r w:rsidR="00456CBA" w:rsidRPr="00C3722F">
        <w:rPr>
          <w:color w:val="FFC000" w:themeColor="accent4"/>
          <w:szCs w:val="20"/>
        </w:rPr>
        <w:t>●</w:t>
      </w:r>
      <w:r w:rsidR="00456CBA" w:rsidRPr="00C3722F">
        <w:rPr>
          <w:szCs w:val="20"/>
        </w:rPr>
        <w:t>), Victorian Tributaries (</w:t>
      </w:r>
      <w:r w:rsidR="00456CBA" w:rsidRPr="00C3722F">
        <w:rPr>
          <w:color w:val="A6A6A6" w:themeColor="background1" w:themeShade="A6"/>
          <w:szCs w:val="20"/>
        </w:rPr>
        <w:t>●</w:t>
      </w:r>
      <w:r w:rsidR="00456CBA" w:rsidRPr="00C3722F">
        <w:rPr>
          <w:szCs w:val="20"/>
        </w:rPr>
        <w:t>), Murrumbidgee River (</w:t>
      </w:r>
      <w:r w:rsidR="00456CBA" w:rsidRPr="00C3722F">
        <w:rPr>
          <w:color w:val="ED7D31" w:themeColor="accent2"/>
          <w:szCs w:val="20"/>
        </w:rPr>
        <w:t>●</w:t>
      </w:r>
      <w:r w:rsidR="00456CBA" w:rsidRPr="00C3722F">
        <w:rPr>
          <w:szCs w:val="20"/>
        </w:rPr>
        <w:t>), Lake Victoria (</w:t>
      </w:r>
      <w:r w:rsidR="00456CBA" w:rsidRPr="00C3722F">
        <w:rPr>
          <w:color w:val="70AD47" w:themeColor="accent6"/>
          <w:szCs w:val="20"/>
        </w:rPr>
        <w:t>●</w:t>
      </w:r>
      <w:r w:rsidR="00456CBA" w:rsidRPr="00C3722F">
        <w:rPr>
          <w:szCs w:val="20"/>
        </w:rPr>
        <w:t>) and the Murray River (</w:t>
      </w:r>
      <w:r w:rsidR="00456CBA" w:rsidRPr="00C3722F">
        <w:rPr>
          <w:color w:val="0070C0"/>
          <w:szCs w:val="20"/>
        </w:rPr>
        <w:t>●</w:t>
      </w:r>
      <w:r w:rsidR="00456CBA" w:rsidRPr="00C3722F">
        <w:rPr>
          <w:szCs w:val="20"/>
        </w:rPr>
        <w:t>). (</w:t>
      </w:r>
      <w:r w:rsidR="00DB755B" w:rsidRPr="00C3722F">
        <w:rPr>
          <w:szCs w:val="20"/>
        </w:rPr>
        <w:t>b</w:t>
      </w:r>
      <w:r w:rsidR="00456CBA" w:rsidRPr="00C3722F">
        <w:rPr>
          <w:szCs w:val="20"/>
        </w:rPr>
        <w:t>) Turbidity at Lock 6 (</w:t>
      </w:r>
      <w:r w:rsidR="00456CBA" w:rsidRPr="00C3722F">
        <w:rPr>
          <w:color w:val="0070C0"/>
          <w:szCs w:val="20"/>
        </w:rPr>
        <w:t>●</w:t>
      </w:r>
      <w:r w:rsidR="00456CBA" w:rsidRPr="00C3722F">
        <w:rPr>
          <w:szCs w:val="20"/>
        </w:rPr>
        <w:t>), Lock 4 (</w:t>
      </w:r>
      <w:r w:rsidR="00456CBA" w:rsidRPr="00C3722F">
        <w:rPr>
          <w:color w:val="A6A6A6" w:themeColor="background1" w:themeShade="A6"/>
          <w:szCs w:val="20"/>
        </w:rPr>
        <w:t>●</w:t>
      </w:r>
      <w:r w:rsidR="00456CBA" w:rsidRPr="00C3722F">
        <w:rPr>
          <w:szCs w:val="20"/>
        </w:rPr>
        <w:t>) and Lock1 (</w:t>
      </w:r>
      <w:r w:rsidR="00456CBA" w:rsidRPr="00C3722F">
        <w:rPr>
          <w:color w:val="ED7D31" w:themeColor="accent2"/>
          <w:szCs w:val="20"/>
        </w:rPr>
        <w:t>●</w:t>
      </w:r>
      <w:r w:rsidR="00456CBA" w:rsidRPr="00C3722F">
        <w:rPr>
          <w:szCs w:val="20"/>
        </w:rPr>
        <w:t xml:space="preserve">) and </w:t>
      </w:r>
      <w:proofErr w:type="spellStart"/>
      <w:r w:rsidR="00456CBA" w:rsidRPr="00FB258E">
        <w:rPr>
          <w:i/>
          <w:iCs/>
          <w:szCs w:val="20"/>
        </w:rPr>
        <w:t>kd</w:t>
      </w:r>
      <w:proofErr w:type="spellEnd"/>
      <w:r w:rsidR="00456CBA" w:rsidRPr="00C3722F">
        <w:rPr>
          <w:szCs w:val="20"/>
        </w:rPr>
        <w:t xml:space="preserve"> at Lock 6 (</w:t>
      </w:r>
      <w:r w:rsidR="00456CBA" w:rsidRPr="00C3722F">
        <w:rPr>
          <w:color w:val="FFC000" w:themeColor="accent4"/>
          <w:szCs w:val="20"/>
        </w:rPr>
        <w:t>●</w:t>
      </w:r>
      <w:r w:rsidR="00456CBA" w:rsidRPr="00C3722F">
        <w:rPr>
          <w:szCs w:val="20"/>
        </w:rPr>
        <w:t>), Lock 4 (</w:t>
      </w:r>
      <w:r w:rsidR="00456CBA" w:rsidRPr="00C3722F">
        <w:rPr>
          <w:color w:val="5B9BD5" w:themeColor="accent1"/>
          <w:szCs w:val="20"/>
        </w:rPr>
        <w:t>●</w:t>
      </w:r>
      <w:r w:rsidR="00456CBA" w:rsidRPr="00C3722F">
        <w:rPr>
          <w:szCs w:val="20"/>
        </w:rPr>
        <w:t>) and Lock1 (</w:t>
      </w:r>
      <w:r w:rsidR="00456CBA" w:rsidRPr="00C3722F">
        <w:rPr>
          <w:color w:val="70AD47" w:themeColor="accent6"/>
          <w:szCs w:val="20"/>
        </w:rPr>
        <w:t>●</w:t>
      </w:r>
      <w:r w:rsidR="00456CBA" w:rsidRPr="00C3722F">
        <w:rPr>
          <w:szCs w:val="20"/>
        </w:rPr>
        <w:t>)</w:t>
      </w:r>
      <w:bookmarkEnd w:id="125"/>
      <w:r w:rsidR="00DB755B" w:rsidRPr="00C3722F">
        <w:rPr>
          <w:szCs w:val="20"/>
        </w:rPr>
        <w:t>. (c) Dissolved organic carbon at Lock 6 (</w:t>
      </w:r>
      <w:r w:rsidR="00DB755B" w:rsidRPr="00C3722F">
        <w:rPr>
          <w:color w:val="0070C0"/>
          <w:szCs w:val="20"/>
        </w:rPr>
        <w:t>●</w:t>
      </w:r>
      <w:r w:rsidR="00DB755B" w:rsidRPr="00C3722F">
        <w:rPr>
          <w:szCs w:val="20"/>
        </w:rPr>
        <w:t>), Lock 4 (</w:t>
      </w:r>
      <w:r w:rsidR="00DB755B" w:rsidRPr="00C3722F">
        <w:rPr>
          <w:color w:val="A6A6A6" w:themeColor="background1" w:themeShade="A6"/>
          <w:szCs w:val="20"/>
        </w:rPr>
        <w:t>●</w:t>
      </w:r>
      <w:r w:rsidR="00DB755B" w:rsidRPr="00C3722F">
        <w:rPr>
          <w:szCs w:val="20"/>
        </w:rPr>
        <w:t>) and Lock1 (</w:t>
      </w:r>
      <w:r w:rsidR="00DB755B" w:rsidRPr="00C3722F">
        <w:rPr>
          <w:color w:val="ED7D31" w:themeColor="accent2"/>
          <w:szCs w:val="20"/>
        </w:rPr>
        <w:t>●</w:t>
      </w:r>
      <w:r w:rsidR="00DB755B" w:rsidRPr="00C3722F">
        <w:rPr>
          <w:szCs w:val="20"/>
        </w:rPr>
        <w:t>)</w:t>
      </w:r>
      <w:r w:rsidR="00DB755B">
        <w:t>.</w:t>
      </w:r>
      <w:bookmarkEnd w:id="127"/>
    </w:p>
    <w:p w14:paraId="6FE3EBF8" w14:textId="0F598D09" w:rsidR="00C439AF" w:rsidRDefault="00C439AF" w:rsidP="00C439AF">
      <w:pPr>
        <w:jc w:val="center"/>
        <w:rPr>
          <w:rFonts w:eastAsiaTheme="majorEastAsia"/>
          <w:lang w:val="en-US"/>
        </w:rPr>
      </w:pPr>
      <w:r w:rsidRPr="00C439AF">
        <w:rPr>
          <w:rFonts w:eastAsiaTheme="majorEastAsia"/>
          <w:noProof/>
        </w:rPr>
        <w:drawing>
          <wp:inline distT="0" distB="0" distL="0" distR="0" wp14:anchorId="2396F5B3" wp14:editId="37B3F63C">
            <wp:extent cx="4193039" cy="48958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a:ext>
                      </a:extLst>
                    </a:blip>
                    <a:srcRect/>
                    <a:stretch>
                      <a:fillRect/>
                    </a:stretch>
                  </pic:blipFill>
                  <pic:spPr bwMode="auto">
                    <a:xfrm>
                      <a:off x="0" y="0"/>
                      <a:ext cx="4199517" cy="4903414"/>
                    </a:xfrm>
                    <a:prstGeom prst="rect">
                      <a:avLst/>
                    </a:prstGeom>
                    <a:noFill/>
                    <a:ln>
                      <a:noFill/>
                    </a:ln>
                  </pic:spPr>
                </pic:pic>
              </a:graphicData>
            </a:graphic>
          </wp:inline>
        </w:drawing>
      </w:r>
    </w:p>
    <w:p w14:paraId="063FB579" w14:textId="06BF1501" w:rsidR="00C439AF" w:rsidRDefault="00741669" w:rsidP="00741669">
      <w:pPr>
        <w:pStyle w:val="Caption"/>
        <w:rPr>
          <w:rFonts w:eastAsiaTheme="majorEastAsia" w:cstheme="majorBidi"/>
          <w:i/>
          <w:color w:val="44546A" w:themeColor="text2"/>
          <w:sz w:val="24"/>
          <w:szCs w:val="24"/>
        </w:rPr>
      </w:pPr>
      <w:bookmarkStart w:id="128" w:name="_Ref59030834"/>
      <w:bookmarkStart w:id="129" w:name="_Toc69387686"/>
      <w:r>
        <w:t xml:space="preserve">Figure </w:t>
      </w:r>
      <w:r w:rsidR="006C38E9">
        <w:fldChar w:fldCharType="begin"/>
      </w:r>
      <w:r w:rsidR="006C38E9">
        <w:instrText xml:space="preserve"> SEQ Figure \* ARABIC </w:instrText>
      </w:r>
      <w:r w:rsidR="006C38E9">
        <w:fldChar w:fldCharType="separate"/>
      </w:r>
      <w:r w:rsidR="00996426">
        <w:rPr>
          <w:noProof/>
        </w:rPr>
        <w:t>22</w:t>
      </w:r>
      <w:r w:rsidR="006C38E9">
        <w:rPr>
          <w:noProof/>
        </w:rPr>
        <w:fldChar w:fldCharType="end"/>
      </w:r>
      <w:bookmarkEnd w:id="128"/>
      <w:r>
        <w:t xml:space="preserve">. </w:t>
      </w:r>
      <w:r w:rsidR="00C439AF">
        <w:t>(</w:t>
      </w:r>
      <w:r w:rsidR="00DB755B">
        <w:t>a</w:t>
      </w:r>
      <w:r w:rsidR="00C439AF">
        <w:t xml:space="preserve">) Total </w:t>
      </w:r>
      <w:r w:rsidR="00C439AF" w:rsidRPr="00C3722F">
        <w:rPr>
          <w:szCs w:val="20"/>
        </w:rPr>
        <w:t>nitrogen and (</w:t>
      </w:r>
      <w:r w:rsidR="00DB755B" w:rsidRPr="00C3722F">
        <w:rPr>
          <w:szCs w:val="20"/>
        </w:rPr>
        <w:t>b</w:t>
      </w:r>
      <w:r w:rsidR="00C439AF" w:rsidRPr="00C3722F">
        <w:rPr>
          <w:szCs w:val="20"/>
        </w:rPr>
        <w:t>) Total phosphorus at Lock 6 (</w:t>
      </w:r>
      <w:r w:rsidR="00C439AF" w:rsidRPr="00C3722F">
        <w:rPr>
          <w:color w:val="0070C0"/>
          <w:szCs w:val="20"/>
        </w:rPr>
        <w:t>●</w:t>
      </w:r>
      <w:r w:rsidR="00C439AF" w:rsidRPr="00C3722F">
        <w:rPr>
          <w:szCs w:val="20"/>
        </w:rPr>
        <w:t>), Lock 4 (</w:t>
      </w:r>
      <w:r w:rsidR="00C439AF" w:rsidRPr="00C3722F">
        <w:rPr>
          <w:color w:val="A6A6A6" w:themeColor="background1" w:themeShade="A6"/>
          <w:szCs w:val="20"/>
        </w:rPr>
        <w:t>●</w:t>
      </w:r>
      <w:r w:rsidR="00C439AF" w:rsidRPr="00C3722F">
        <w:rPr>
          <w:szCs w:val="20"/>
        </w:rPr>
        <w:t>) and Lock1 (</w:t>
      </w:r>
      <w:r w:rsidR="00C439AF" w:rsidRPr="00C3722F">
        <w:rPr>
          <w:color w:val="ED7D31" w:themeColor="accent2"/>
          <w:szCs w:val="20"/>
        </w:rPr>
        <w:t>●</w:t>
      </w:r>
      <w:r w:rsidR="00C439AF" w:rsidRPr="00C3722F">
        <w:rPr>
          <w:szCs w:val="20"/>
        </w:rPr>
        <w:t>)</w:t>
      </w:r>
      <w:r w:rsidR="00C439AF">
        <w:t>.</w:t>
      </w:r>
      <w:bookmarkEnd w:id="129"/>
    </w:p>
    <w:p w14:paraId="49F63AEF" w14:textId="77777777" w:rsidR="00C439AF" w:rsidRPr="00C439AF" w:rsidRDefault="00C439AF" w:rsidP="00C439AF">
      <w:pPr>
        <w:rPr>
          <w:rFonts w:eastAsiaTheme="majorEastAsia"/>
          <w:lang w:val="en-US"/>
        </w:rPr>
      </w:pPr>
    </w:p>
    <w:p w14:paraId="06977ADA" w14:textId="77777777" w:rsidR="00C439AF" w:rsidRDefault="00C439AF" w:rsidP="00C439AF"/>
    <w:p w14:paraId="3D34F810" w14:textId="77777777" w:rsidR="00C439AF" w:rsidRDefault="00C439AF">
      <w:pPr>
        <w:spacing w:before="0" w:after="160" w:line="259" w:lineRule="auto"/>
        <w:jc w:val="left"/>
        <w:rPr>
          <w:rFonts w:eastAsiaTheme="majorEastAsia" w:cstheme="majorBidi"/>
          <w:b/>
          <w:i/>
          <w:color w:val="44546A" w:themeColor="text2"/>
          <w:sz w:val="24"/>
          <w:szCs w:val="24"/>
        </w:rPr>
      </w:pPr>
      <w:r>
        <w:br w:type="page"/>
      </w:r>
    </w:p>
    <w:p w14:paraId="7130B7B2" w14:textId="5FC8AE9F" w:rsidR="00456CBA" w:rsidRDefault="00456CBA" w:rsidP="00456CBA">
      <w:pPr>
        <w:pStyle w:val="Heading3"/>
      </w:pPr>
      <w:r>
        <w:t>Evaluation</w:t>
      </w:r>
    </w:p>
    <w:p w14:paraId="0EE8DE31" w14:textId="42CB29A5" w:rsidR="00EC715A" w:rsidRDefault="00EC715A" w:rsidP="00EC715A">
      <w:bookmarkStart w:id="130" w:name="_Ref31792748"/>
      <w:r>
        <w:rPr>
          <w:lang w:val="en-US"/>
        </w:rPr>
        <w:t>T</w:t>
      </w:r>
      <w:r w:rsidRPr="006E7799">
        <w:rPr>
          <w:lang w:val="en-US"/>
        </w:rPr>
        <w:t>he contribution</w:t>
      </w:r>
      <w:r>
        <w:rPr>
          <w:lang w:val="en-US"/>
        </w:rPr>
        <w:t>s</w:t>
      </w:r>
      <w:r w:rsidRPr="006E7799">
        <w:rPr>
          <w:lang w:val="en-US"/>
        </w:rPr>
        <w:t xml:space="preserve"> of Commonwealth environmental water </w:t>
      </w:r>
      <w:r>
        <w:rPr>
          <w:lang w:val="en-US"/>
        </w:rPr>
        <w:t xml:space="preserve">to environmental </w:t>
      </w:r>
      <w:r w:rsidRPr="006E7799">
        <w:rPr>
          <w:lang w:val="en-US"/>
        </w:rPr>
        <w:t>outcome</w:t>
      </w:r>
      <w:r>
        <w:rPr>
          <w:lang w:val="en-US"/>
        </w:rPr>
        <w:t xml:space="preserve">s associated with changes in </w:t>
      </w:r>
      <w:r w:rsidR="00040D61">
        <w:rPr>
          <w:lang w:val="en-US"/>
        </w:rPr>
        <w:t>dissolved oxygen</w:t>
      </w:r>
      <w:r>
        <w:rPr>
          <w:lang w:val="en-US"/>
        </w:rPr>
        <w:t xml:space="preserve"> and metabolism were assessed from a set of constructed metrics describing potential benefits from the evaluation questions. S</w:t>
      </w:r>
      <w:r w:rsidRPr="006E7799">
        <w:rPr>
          <w:lang w:val="en-US"/>
        </w:rPr>
        <w:t>ignificance level</w:t>
      </w:r>
      <w:r>
        <w:rPr>
          <w:lang w:val="en-US"/>
        </w:rPr>
        <w:t>s</w:t>
      </w:r>
      <w:r w:rsidRPr="006E7799">
        <w:rPr>
          <w:lang w:val="en-US"/>
        </w:rPr>
        <w:t xml:space="preserve"> w</w:t>
      </w:r>
      <w:r>
        <w:rPr>
          <w:lang w:val="en-US"/>
        </w:rPr>
        <w:t>ere</w:t>
      </w:r>
      <w:r w:rsidRPr="006E7799">
        <w:rPr>
          <w:lang w:val="en-US"/>
        </w:rPr>
        <w:t xml:space="preserve"> assigned to each evaluation question</w:t>
      </w:r>
      <w:r>
        <w:rPr>
          <w:lang w:val="en-US"/>
        </w:rPr>
        <w:t xml:space="preserve"> based on the </w:t>
      </w:r>
      <w:r w:rsidRPr="006E7799">
        <w:rPr>
          <w:lang w:val="en-US"/>
        </w:rPr>
        <w:t xml:space="preserve">extent </w:t>
      </w:r>
      <w:r>
        <w:rPr>
          <w:lang w:val="en-US"/>
        </w:rPr>
        <w:t xml:space="preserve">that </w:t>
      </w:r>
      <w:r w:rsidRPr="006E7799">
        <w:rPr>
          <w:lang w:val="en-US"/>
        </w:rPr>
        <w:t xml:space="preserve">Commonwealth environmental water contributed towards </w:t>
      </w:r>
      <w:r>
        <w:rPr>
          <w:lang w:val="en-US"/>
        </w:rPr>
        <w:t>the</w:t>
      </w:r>
      <w:r w:rsidRPr="006E7799">
        <w:rPr>
          <w:lang w:val="en-US"/>
        </w:rPr>
        <w:t xml:space="preserve"> observed outcome</w:t>
      </w:r>
      <w:r>
        <w:rPr>
          <w:lang w:val="en-US"/>
        </w:rPr>
        <w:t>, in one case the length of time of an enhanced effect, and in the other cases a percentage estimate of the extent of influence</w:t>
      </w:r>
      <w:r w:rsidRPr="006E7799">
        <w:rPr>
          <w:lang w:val="en-US"/>
        </w:rPr>
        <w:t xml:space="preserve">. The thresholds for significance </w:t>
      </w:r>
      <w:r>
        <w:rPr>
          <w:lang w:val="en-US"/>
        </w:rPr>
        <w:t xml:space="preserve">levels </w:t>
      </w:r>
      <w:r w:rsidRPr="006E7799">
        <w:rPr>
          <w:lang w:val="en-US"/>
        </w:rPr>
        <w:t xml:space="preserve">among </w:t>
      </w:r>
      <w:r>
        <w:rPr>
          <w:lang w:val="en-US"/>
        </w:rPr>
        <w:t xml:space="preserve">the </w:t>
      </w:r>
      <w:r w:rsidRPr="006E7799">
        <w:rPr>
          <w:lang w:val="en-US"/>
        </w:rPr>
        <w:t xml:space="preserve">indicators </w:t>
      </w:r>
      <w:r>
        <w:rPr>
          <w:lang w:val="en-US"/>
        </w:rPr>
        <w:t xml:space="preserve">are </w:t>
      </w:r>
      <w:r w:rsidRPr="006E7799">
        <w:rPr>
          <w:lang w:val="en-US"/>
        </w:rPr>
        <w:t>based on expert opinion</w:t>
      </w:r>
      <w:r>
        <w:rPr>
          <w:lang w:val="en-US"/>
        </w:rPr>
        <w:t xml:space="preserve"> and may be adjusted in response to developing understanding of these processes.</w:t>
      </w:r>
    </w:p>
    <w:p w14:paraId="370234DE" w14:textId="666D1D6D" w:rsidR="00456CBA" w:rsidRDefault="00456CBA" w:rsidP="00F8184E">
      <w:pPr>
        <w:pStyle w:val="Captions"/>
      </w:pPr>
      <w:bookmarkStart w:id="131" w:name="_Toc69387733"/>
      <w:r>
        <w:t xml:space="preserve">Table </w:t>
      </w:r>
      <w:r>
        <w:rPr>
          <w:noProof/>
        </w:rPr>
        <w:fldChar w:fldCharType="begin"/>
      </w:r>
      <w:r>
        <w:rPr>
          <w:noProof/>
        </w:rPr>
        <w:instrText xml:space="preserve"> SEQ Table \* ARABIC </w:instrText>
      </w:r>
      <w:r>
        <w:rPr>
          <w:noProof/>
        </w:rPr>
        <w:fldChar w:fldCharType="separate"/>
      </w:r>
      <w:r w:rsidR="00CE5EF5">
        <w:rPr>
          <w:noProof/>
        </w:rPr>
        <w:t>4</w:t>
      </w:r>
      <w:r>
        <w:rPr>
          <w:noProof/>
        </w:rPr>
        <w:fldChar w:fldCharType="end"/>
      </w:r>
      <w:bookmarkEnd w:id="130"/>
      <w:r>
        <w:rPr>
          <w:noProof/>
        </w:rPr>
        <w:t>.</w:t>
      </w:r>
      <w:r>
        <w:t xml:space="preserve"> Stream Metabolism evaluation questions and answers relating to Commonwealth environmental water (CEW) and environmental water (eWater). The Lock 6 site has been used to answer the evaluation questions.</w:t>
      </w:r>
      <w:bookmarkEnd w:id="131"/>
      <w:r>
        <w:t xml:space="preserve">  </w:t>
      </w:r>
    </w:p>
    <w:tbl>
      <w:tblPr>
        <w:tblW w:w="495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1"/>
        <w:gridCol w:w="1135"/>
        <w:gridCol w:w="203"/>
        <w:gridCol w:w="646"/>
        <w:gridCol w:w="64"/>
        <w:gridCol w:w="705"/>
        <w:gridCol w:w="82"/>
        <w:gridCol w:w="623"/>
        <w:gridCol w:w="227"/>
        <w:gridCol w:w="621"/>
        <w:gridCol w:w="230"/>
        <w:gridCol w:w="621"/>
        <w:gridCol w:w="796"/>
        <w:gridCol w:w="991"/>
      </w:tblGrid>
      <w:tr w:rsidR="00456CBA" w:rsidRPr="00BF0490" w14:paraId="3307122D" w14:textId="77777777" w:rsidTr="00DE73A8">
        <w:trPr>
          <w:cantSplit/>
          <w:trHeight w:val="20"/>
          <w:tblHeader/>
        </w:trPr>
        <w:tc>
          <w:tcPr>
            <w:tcW w:w="1109" w:type="pct"/>
            <w:vMerge w:val="restart"/>
            <w:tcBorders>
              <w:top w:val="single" w:sz="4" w:space="0" w:color="auto"/>
              <w:left w:val="single" w:sz="4" w:space="0" w:color="auto"/>
              <w:right w:val="single" w:sz="4" w:space="0" w:color="auto"/>
            </w:tcBorders>
          </w:tcPr>
          <w:p w14:paraId="6AB2FFA3" w14:textId="77777777" w:rsidR="00456CBA" w:rsidRPr="00BF0490" w:rsidRDefault="00456CBA" w:rsidP="00CF50EC">
            <w:pPr>
              <w:jc w:val="center"/>
              <w:rPr>
                <w:rFonts w:cs="Arial"/>
                <w:b/>
                <w:sz w:val="19"/>
                <w:szCs w:val="19"/>
              </w:rPr>
            </w:pPr>
            <w:r w:rsidRPr="00BF0490">
              <w:rPr>
                <w:rFonts w:cs="Arial"/>
                <w:b/>
                <w:sz w:val="19"/>
                <w:szCs w:val="19"/>
              </w:rPr>
              <w:t xml:space="preserve">CEWO evaluation questions </w:t>
            </w:r>
          </w:p>
        </w:tc>
        <w:tc>
          <w:tcPr>
            <w:tcW w:w="3891" w:type="pct"/>
            <w:gridSpan w:val="13"/>
            <w:tcBorders>
              <w:top w:val="single" w:sz="4" w:space="0" w:color="auto"/>
              <w:left w:val="single" w:sz="4" w:space="0" w:color="auto"/>
              <w:bottom w:val="single" w:sz="4" w:space="0" w:color="auto"/>
              <w:right w:val="single" w:sz="4" w:space="0" w:color="auto"/>
            </w:tcBorders>
            <w:vAlign w:val="bottom"/>
          </w:tcPr>
          <w:p w14:paraId="70060BFE" w14:textId="77777777" w:rsidR="00456CBA" w:rsidRPr="00BF0490" w:rsidRDefault="00456CBA" w:rsidP="00CF50EC">
            <w:pPr>
              <w:jc w:val="center"/>
              <w:rPr>
                <w:rFonts w:cs="Arial"/>
                <w:b/>
                <w:sz w:val="19"/>
                <w:szCs w:val="19"/>
              </w:rPr>
            </w:pPr>
            <w:r w:rsidRPr="00BF0490">
              <w:rPr>
                <w:rFonts w:cs="Arial"/>
                <w:b/>
                <w:sz w:val="19"/>
                <w:szCs w:val="19"/>
              </w:rPr>
              <w:t>Outcomes of CEW delivery</w:t>
            </w:r>
          </w:p>
        </w:tc>
      </w:tr>
      <w:tr w:rsidR="00315757" w:rsidRPr="00BF0490" w14:paraId="3951CDF1" w14:textId="77777777" w:rsidTr="00DE73A8">
        <w:trPr>
          <w:cantSplit/>
          <w:trHeight w:val="20"/>
          <w:tblHeader/>
        </w:trPr>
        <w:tc>
          <w:tcPr>
            <w:tcW w:w="1109" w:type="pct"/>
            <w:vMerge/>
            <w:tcBorders>
              <w:left w:val="single" w:sz="4" w:space="0" w:color="auto"/>
              <w:bottom w:val="single" w:sz="4" w:space="0" w:color="auto"/>
              <w:right w:val="single" w:sz="4" w:space="0" w:color="auto"/>
            </w:tcBorders>
          </w:tcPr>
          <w:p w14:paraId="3151086A" w14:textId="77777777" w:rsidR="00456CBA" w:rsidRPr="00BF0490" w:rsidRDefault="00456CBA" w:rsidP="00CF50EC">
            <w:pPr>
              <w:jc w:val="center"/>
              <w:rPr>
                <w:rFonts w:cs="Arial"/>
                <w:b/>
                <w:sz w:val="19"/>
                <w:szCs w:val="19"/>
              </w:rPr>
            </w:pPr>
          </w:p>
        </w:tc>
        <w:tc>
          <w:tcPr>
            <w:tcW w:w="636" w:type="pct"/>
            <w:tcBorders>
              <w:left w:val="single" w:sz="4" w:space="0" w:color="auto"/>
              <w:bottom w:val="single" w:sz="4" w:space="0" w:color="auto"/>
              <w:right w:val="single" w:sz="4" w:space="0" w:color="auto"/>
            </w:tcBorders>
            <w:vAlign w:val="bottom"/>
          </w:tcPr>
          <w:p w14:paraId="0CBC899A" w14:textId="77777777" w:rsidR="00456CBA" w:rsidRPr="00BF0490" w:rsidRDefault="00456CBA" w:rsidP="00CF50EC">
            <w:pPr>
              <w:jc w:val="center"/>
              <w:rPr>
                <w:rFonts w:cs="Arial"/>
                <w:b/>
                <w:sz w:val="19"/>
                <w:szCs w:val="19"/>
              </w:rPr>
            </w:pPr>
            <w:r w:rsidRPr="00BF0490">
              <w:rPr>
                <w:rFonts w:cs="Arial"/>
                <w:b/>
                <w:sz w:val="19"/>
                <w:szCs w:val="19"/>
              </w:rPr>
              <w:t>eWater type</w:t>
            </w:r>
          </w:p>
        </w:tc>
        <w:tc>
          <w:tcPr>
            <w:tcW w:w="476" w:type="pct"/>
            <w:gridSpan w:val="2"/>
            <w:tcBorders>
              <w:top w:val="single" w:sz="4" w:space="0" w:color="auto"/>
              <w:left w:val="single" w:sz="4" w:space="0" w:color="auto"/>
              <w:bottom w:val="single" w:sz="4" w:space="0" w:color="auto"/>
            </w:tcBorders>
            <w:vAlign w:val="bottom"/>
          </w:tcPr>
          <w:p w14:paraId="37F78A2D" w14:textId="77777777" w:rsidR="00456CBA" w:rsidRPr="00BF0490" w:rsidRDefault="00456CBA" w:rsidP="00CF50EC">
            <w:pPr>
              <w:jc w:val="center"/>
              <w:rPr>
                <w:rFonts w:cs="Arial"/>
                <w:b/>
                <w:sz w:val="19"/>
                <w:szCs w:val="19"/>
              </w:rPr>
            </w:pPr>
            <w:r w:rsidRPr="00BF0490">
              <w:rPr>
                <w:rFonts w:cs="Arial"/>
                <w:b/>
                <w:sz w:val="19"/>
                <w:szCs w:val="19"/>
              </w:rPr>
              <w:t>2014-15</w:t>
            </w:r>
          </w:p>
        </w:tc>
        <w:tc>
          <w:tcPr>
            <w:tcW w:w="477" w:type="pct"/>
            <w:gridSpan w:val="3"/>
            <w:tcBorders>
              <w:top w:val="single" w:sz="4" w:space="0" w:color="auto"/>
              <w:bottom w:val="single" w:sz="4" w:space="0" w:color="auto"/>
            </w:tcBorders>
            <w:vAlign w:val="bottom"/>
          </w:tcPr>
          <w:p w14:paraId="2E7CA0CA" w14:textId="77777777" w:rsidR="00456CBA" w:rsidRPr="00BF0490" w:rsidRDefault="00456CBA" w:rsidP="00CF50EC">
            <w:pPr>
              <w:jc w:val="center"/>
              <w:rPr>
                <w:rFonts w:cs="Arial"/>
                <w:b/>
                <w:sz w:val="19"/>
                <w:szCs w:val="19"/>
              </w:rPr>
            </w:pPr>
            <w:r w:rsidRPr="00BF0490">
              <w:rPr>
                <w:rFonts w:cs="Arial"/>
                <w:b/>
                <w:sz w:val="19"/>
                <w:szCs w:val="19"/>
              </w:rPr>
              <w:t>2015-16</w:t>
            </w:r>
          </w:p>
        </w:tc>
        <w:tc>
          <w:tcPr>
            <w:tcW w:w="476" w:type="pct"/>
            <w:gridSpan w:val="2"/>
            <w:tcBorders>
              <w:top w:val="single" w:sz="4" w:space="0" w:color="auto"/>
              <w:bottom w:val="single" w:sz="4" w:space="0" w:color="auto"/>
            </w:tcBorders>
            <w:vAlign w:val="bottom"/>
          </w:tcPr>
          <w:p w14:paraId="7E3120F3" w14:textId="77777777" w:rsidR="00456CBA" w:rsidRPr="00BF0490" w:rsidRDefault="00456CBA" w:rsidP="00CF50EC">
            <w:pPr>
              <w:jc w:val="center"/>
              <w:rPr>
                <w:rFonts w:cs="Arial"/>
                <w:b/>
                <w:sz w:val="19"/>
                <w:szCs w:val="19"/>
              </w:rPr>
            </w:pPr>
            <w:r w:rsidRPr="00BF0490">
              <w:rPr>
                <w:rFonts w:cs="Arial"/>
                <w:b/>
                <w:sz w:val="19"/>
                <w:szCs w:val="19"/>
              </w:rPr>
              <w:t>2016-17</w:t>
            </w:r>
          </w:p>
        </w:tc>
        <w:tc>
          <w:tcPr>
            <w:tcW w:w="477" w:type="pct"/>
            <w:gridSpan w:val="2"/>
            <w:tcBorders>
              <w:top w:val="single" w:sz="4" w:space="0" w:color="auto"/>
              <w:bottom w:val="single" w:sz="4" w:space="0" w:color="auto"/>
            </w:tcBorders>
            <w:vAlign w:val="bottom"/>
          </w:tcPr>
          <w:p w14:paraId="3DC9F3A1" w14:textId="77777777" w:rsidR="00456CBA" w:rsidRPr="00BF0490" w:rsidRDefault="00456CBA" w:rsidP="00CF50EC">
            <w:pPr>
              <w:jc w:val="center"/>
              <w:rPr>
                <w:rFonts w:cs="Arial"/>
                <w:b/>
                <w:sz w:val="19"/>
                <w:szCs w:val="19"/>
              </w:rPr>
            </w:pPr>
            <w:r w:rsidRPr="00BF0490">
              <w:rPr>
                <w:rFonts w:cs="Arial"/>
                <w:b/>
                <w:sz w:val="19"/>
                <w:szCs w:val="19"/>
              </w:rPr>
              <w:t>2017-18</w:t>
            </w:r>
          </w:p>
        </w:tc>
        <w:tc>
          <w:tcPr>
            <w:tcW w:w="794" w:type="pct"/>
            <w:gridSpan w:val="2"/>
            <w:tcBorders>
              <w:top w:val="single" w:sz="4" w:space="0" w:color="auto"/>
              <w:bottom w:val="single" w:sz="4" w:space="0" w:color="auto"/>
            </w:tcBorders>
            <w:shd w:val="clear" w:color="auto" w:fill="auto"/>
            <w:vAlign w:val="bottom"/>
          </w:tcPr>
          <w:p w14:paraId="079429F4" w14:textId="77777777" w:rsidR="00456CBA" w:rsidRPr="00BF0490" w:rsidRDefault="00456CBA" w:rsidP="00CF50EC">
            <w:pPr>
              <w:jc w:val="center"/>
              <w:rPr>
                <w:rFonts w:cs="Arial"/>
                <w:b/>
                <w:sz w:val="19"/>
                <w:szCs w:val="19"/>
              </w:rPr>
            </w:pPr>
            <w:r w:rsidRPr="00BF0490">
              <w:rPr>
                <w:rFonts w:cs="Arial"/>
                <w:b/>
                <w:sz w:val="19"/>
                <w:szCs w:val="19"/>
              </w:rPr>
              <w:t>2018-19</w:t>
            </w:r>
          </w:p>
        </w:tc>
        <w:tc>
          <w:tcPr>
            <w:tcW w:w="556" w:type="pct"/>
            <w:tcBorders>
              <w:top w:val="single" w:sz="4" w:space="0" w:color="auto"/>
              <w:bottom w:val="single" w:sz="4" w:space="0" w:color="auto"/>
            </w:tcBorders>
            <w:vAlign w:val="bottom"/>
          </w:tcPr>
          <w:p w14:paraId="5A1A2D89" w14:textId="77777777" w:rsidR="00456CBA" w:rsidRPr="00BF0490" w:rsidRDefault="00456CBA" w:rsidP="00CF50EC">
            <w:pPr>
              <w:jc w:val="center"/>
              <w:rPr>
                <w:rFonts w:cs="Arial"/>
                <w:b/>
                <w:sz w:val="19"/>
                <w:szCs w:val="19"/>
              </w:rPr>
            </w:pPr>
            <w:r>
              <w:rPr>
                <w:rFonts w:cs="Arial"/>
                <w:b/>
                <w:sz w:val="19"/>
                <w:szCs w:val="19"/>
              </w:rPr>
              <w:t>2019-20</w:t>
            </w:r>
          </w:p>
        </w:tc>
      </w:tr>
      <w:tr w:rsidR="00315757" w:rsidRPr="00BF0490" w14:paraId="0B10E540" w14:textId="77777777" w:rsidTr="00DE73A8">
        <w:trPr>
          <w:cantSplit/>
          <w:trHeight w:val="20"/>
        </w:trPr>
        <w:tc>
          <w:tcPr>
            <w:tcW w:w="1109" w:type="pct"/>
            <w:vMerge w:val="restart"/>
            <w:tcBorders>
              <w:top w:val="single" w:sz="4" w:space="0" w:color="auto"/>
              <w:left w:val="single" w:sz="4" w:space="0" w:color="auto"/>
              <w:right w:val="single" w:sz="4" w:space="0" w:color="auto"/>
            </w:tcBorders>
          </w:tcPr>
          <w:p w14:paraId="125662FB" w14:textId="77777777" w:rsidR="00456CBA" w:rsidRPr="00BF0490" w:rsidRDefault="00456CBA" w:rsidP="00CF50EC">
            <w:pPr>
              <w:jc w:val="left"/>
              <w:rPr>
                <w:color w:val="auto"/>
                <w:sz w:val="19"/>
                <w:szCs w:val="19"/>
              </w:rPr>
            </w:pPr>
            <w:r w:rsidRPr="00BF0490">
              <w:rPr>
                <w:sz w:val="19"/>
                <w:szCs w:val="19"/>
              </w:rPr>
              <w:t>What did CEW contribute to dissolved oxygen levels?</w:t>
            </w:r>
          </w:p>
        </w:tc>
        <w:tc>
          <w:tcPr>
            <w:tcW w:w="636" w:type="pct"/>
            <w:tcBorders>
              <w:top w:val="single" w:sz="4" w:space="0" w:color="auto"/>
              <w:left w:val="single" w:sz="4" w:space="0" w:color="auto"/>
              <w:right w:val="single" w:sz="4" w:space="0" w:color="auto"/>
            </w:tcBorders>
            <w:shd w:val="clear" w:color="auto" w:fill="auto"/>
          </w:tcPr>
          <w:p w14:paraId="171FF527" w14:textId="77777777" w:rsidR="00456CBA" w:rsidRPr="00BF0490" w:rsidRDefault="00456CBA" w:rsidP="00CF50EC">
            <w:pPr>
              <w:jc w:val="left"/>
              <w:rPr>
                <w:color w:val="auto"/>
                <w:sz w:val="19"/>
                <w:szCs w:val="19"/>
              </w:rPr>
            </w:pPr>
            <w:r w:rsidRPr="00BF0490">
              <w:rPr>
                <w:color w:val="auto"/>
                <w:sz w:val="19"/>
                <w:szCs w:val="19"/>
              </w:rPr>
              <w:t>All eWater</w:t>
            </w:r>
          </w:p>
        </w:tc>
        <w:tc>
          <w:tcPr>
            <w:tcW w:w="476" w:type="pct"/>
            <w:gridSpan w:val="2"/>
            <w:tcBorders>
              <w:top w:val="single" w:sz="4" w:space="0" w:color="auto"/>
              <w:left w:val="single" w:sz="4" w:space="0" w:color="auto"/>
              <w:bottom w:val="single" w:sz="4" w:space="0" w:color="auto"/>
              <w:right w:val="single" w:sz="4" w:space="0" w:color="auto"/>
            </w:tcBorders>
            <w:shd w:val="clear" w:color="auto" w:fill="5B9BD5" w:themeFill="accent1"/>
          </w:tcPr>
          <w:p w14:paraId="400C94F6" w14:textId="77777777" w:rsidR="00456CBA" w:rsidRPr="00BF0490" w:rsidRDefault="00456CBA" w:rsidP="00CF50EC">
            <w:pPr>
              <w:jc w:val="left"/>
              <w:rPr>
                <w:color w:val="auto"/>
                <w:sz w:val="19"/>
                <w:szCs w:val="19"/>
              </w:rPr>
            </w:pPr>
            <w:r w:rsidRPr="00BF0490">
              <w:rPr>
                <w:color w:val="auto"/>
                <w:sz w:val="19"/>
                <w:szCs w:val="19"/>
              </w:rPr>
              <w:t>31</w:t>
            </w:r>
          </w:p>
        </w:tc>
        <w:tc>
          <w:tcPr>
            <w:tcW w:w="477" w:type="pct"/>
            <w:gridSpan w:val="3"/>
            <w:tcBorders>
              <w:top w:val="single" w:sz="4" w:space="0" w:color="auto"/>
              <w:left w:val="single" w:sz="4" w:space="0" w:color="auto"/>
              <w:bottom w:val="single" w:sz="4" w:space="0" w:color="auto"/>
              <w:right w:val="single" w:sz="4" w:space="0" w:color="auto"/>
            </w:tcBorders>
            <w:shd w:val="clear" w:color="auto" w:fill="5B9BD5" w:themeFill="accent1"/>
          </w:tcPr>
          <w:p w14:paraId="3DBB7942" w14:textId="77777777" w:rsidR="00456CBA" w:rsidRPr="00BF0490" w:rsidRDefault="00456CBA" w:rsidP="00CF50EC">
            <w:pPr>
              <w:jc w:val="left"/>
              <w:rPr>
                <w:color w:val="auto"/>
                <w:sz w:val="19"/>
                <w:szCs w:val="19"/>
              </w:rPr>
            </w:pPr>
            <w:r w:rsidRPr="00BF0490">
              <w:rPr>
                <w:color w:val="auto"/>
                <w:sz w:val="19"/>
                <w:szCs w:val="19"/>
              </w:rPr>
              <w:t>69</w:t>
            </w:r>
          </w:p>
        </w:tc>
        <w:tc>
          <w:tcPr>
            <w:tcW w:w="476" w:type="pct"/>
            <w:gridSpan w:val="2"/>
            <w:tcBorders>
              <w:top w:val="single" w:sz="4" w:space="0" w:color="auto"/>
              <w:left w:val="single" w:sz="4" w:space="0" w:color="auto"/>
              <w:bottom w:val="single" w:sz="4" w:space="0" w:color="auto"/>
              <w:right w:val="single" w:sz="4" w:space="0" w:color="auto"/>
            </w:tcBorders>
            <w:shd w:val="clear" w:color="auto" w:fill="5B9BD5" w:themeFill="accent1"/>
          </w:tcPr>
          <w:p w14:paraId="5C27B549" w14:textId="77777777" w:rsidR="00456CBA" w:rsidRPr="00BF0490" w:rsidRDefault="00456CBA" w:rsidP="00CF50EC">
            <w:pPr>
              <w:jc w:val="left"/>
              <w:rPr>
                <w:color w:val="auto"/>
                <w:sz w:val="19"/>
                <w:szCs w:val="19"/>
              </w:rPr>
            </w:pPr>
            <w:r w:rsidRPr="00BF0490">
              <w:rPr>
                <w:color w:val="auto"/>
                <w:sz w:val="19"/>
                <w:szCs w:val="19"/>
              </w:rPr>
              <w:t>35</w:t>
            </w:r>
          </w:p>
        </w:tc>
        <w:tc>
          <w:tcPr>
            <w:tcW w:w="477" w:type="pct"/>
            <w:gridSpan w:val="2"/>
            <w:tcBorders>
              <w:top w:val="single" w:sz="4" w:space="0" w:color="auto"/>
              <w:left w:val="single" w:sz="4" w:space="0" w:color="auto"/>
              <w:bottom w:val="single" w:sz="4" w:space="0" w:color="auto"/>
              <w:right w:val="single" w:sz="4" w:space="0" w:color="auto"/>
            </w:tcBorders>
            <w:shd w:val="clear" w:color="auto" w:fill="5B9BD5" w:themeFill="accent1"/>
          </w:tcPr>
          <w:p w14:paraId="7A62A954" w14:textId="77777777" w:rsidR="00456CBA" w:rsidRPr="00BF0490" w:rsidRDefault="00456CBA" w:rsidP="00CF50EC">
            <w:pPr>
              <w:jc w:val="left"/>
              <w:rPr>
                <w:color w:val="auto"/>
                <w:sz w:val="19"/>
                <w:szCs w:val="19"/>
              </w:rPr>
            </w:pPr>
            <w:r w:rsidRPr="00BF0490">
              <w:rPr>
                <w:color w:val="auto"/>
                <w:sz w:val="19"/>
                <w:szCs w:val="19"/>
              </w:rPr>
              <w:t>68</w:t>
            </w:r>
          </w:p>
        </w:tc>
        <w:tc>
          <w:tcPr>
            <w:tcW w:w="794" w:type="pct"/>
            <w:gridSpan w:val="2"/>
            <w:tcBorders>
              <w:top w:val="single" w:sz="4" w:space="0" w:color="auto"/>
              <w:left w:val="single" w:sz="4" w:space="0" w:color="auto"/>
              <w:bottom w:val="single" w:sz="4" w:space="0" w:color="auto"/>
              <w:right w:val="single" w:sz="4" w:space="0" w:color="auto"/>
            </w:tcBorders>
            <w:shd w:val="clear" w:color="auto" w:fill="5B9BD5" w:themeFill="accent1"/>
          </w:tcPr>
          <w:p w14:paraId="3606E65D" w14:textId="77777777" w:rsidR="00456CBA" w:rsidRPr="00BF0490" w:rsidRDefault="00456CBA" w:rsidP="00CF50EC">
            <w:pPr>
              <w:jc w:val="left"/>
              <w:rPr>
                <w:color w:val="auto"/>
                <w:sz w:val="19"/>
                <w:szCs w:val="19"/>
              </w:rPr>
            </w:pPr>
            <w:r>
              <w:rPr>
                <w:color w:val="auto"/>
                <w:sz w:val="19"/>
                <w:szCs w:val="19"/>
              </w:rPr>
              <w:t>45</w:t>
            </w:r>
          </w:p>
        </w:tc>
        <w:tc>
          <w:tcPr>
            <w:tcW w:w="556" w:type="pct"/>
            <w:tcBorders>
              <w:top w:val="single" w:sz="4" w:space="0" w:color="auto"/>
              <w:left w:val="single" w:sz="4" w:space="0" w:color="auto"/>
              <w:bottom w:val="single" w:sz="4" w:space="0" w:color="auto"/>
              <w:right w:val="single" w:sz="4" w:space="0" w:color="auto"/>
            </w:tcBorders>
            <w:shd w:val="clear" w:color="auto" w:fill="5B9BD5" w:themeFill="accent1"/>
          </w:tcPr>
          <w:p w14:paraId="41C05886" w14:textId="77777777" w:rsidR="00456CBA" w:rsidRPr="00BF0490" w:rsidRDefault="00456CBA" w:rsidP="00CF50EC">
            <w:pPr>
              <w:jc w:val="left"/>
              <w:rPr>
                <w:color w:val="auto"/>
                <w:sz w:val="19"/>
                <w:szCs w:val="19"/>
              </w:rPr>
            </w:pPr>
            <w:r>
              <w:rPr>
                <w:color w:val="auto"/>
                <w:sz w:val="19"/>
                <w:szCs w:val="19"/>
              </w:rPr>
              <w:t>40</w:t>
            </w:r>
          </w:p>
        </w:tc>
      </w:tr>
      <w:tr w:rsidR="00315757" w:rsidRPr="00BF0490" w14:paraId="251C478A" w14:textId="77777777" w:rsidTr="00DE73A8">
        <w:trPr>
          <w:cantSplit/>
          <w:trHeight w:val="20"/>
        </w:trPr>
        <w:tc>
          <w:tcPr>
            <w:tcW w:w="1109" w:type="pct"/>
            <w:vMerge/>
            <w:tcBorders>
              <w:top w:val="single" w:sz="4" w:space="0" w:color="auto"/>
              <w:left w:val="single" w:sz="4" w:space="0" w:color="auto"/>
              <w:right w:val="single" w:sz="4" w:space="0" w:color="auto"/>
            </w:tcBorders>
          </w:tcPr>
          <w:p w14:paraId="22377030" w14:textId="77777777" w:rsidR="00456CBA" w:rsidRPr="00BF0490" w:rsidRDefault="00456CBA" w:rsidP="00CF50EC">
            <w:pPr>
              <w:jc w:val="left"/>
              <w:rPr>
                <w:sz w:val="19"/>
                <w:szCs w:val="19"/>
              </w:rPr>
            </w:pPr>
          </w:p>
        </w:tc>
        <w:tc>
          <w:tcPr>
            <w:tcW w:w="636" w:type="pct"/>
            <w:tcBorders>
              <w:top w:val="single" w:sz="4" w:space="0" w:color="auto"/>
              <w:left w:val="single" w:sz="4" w:space="0" w:color="auto"/>
              <w:right w:val="single" w:sz="4" w:space="0" w:color="auto"/>
            </w:tcBorders>
            <w:shd w:val="clear" w:color="auto" w:fill="auto"/>
          </w:tcPr>
          <w:p w14:paraId="43D7B429" w14:textId="77777777" w:rsidR="00456CBA" w:rsidRPr="00BF0490" w:rsidRDefault="00456CBA" w:rsidP="00CF50EC">
            <w:pPr>
              <w:jc w:val="left"/>
              <w:rPr>
                <w:color w:val="auto"/>
                <w:sz w:val="19"/>
                <w:szCs w:val="19"/>
              </w:rPr>
            </w:pPr>
            <w:r w:rsidRPr="00BF0490">
              <w:rPr>
                <w:color w:val="auto"/>
                <w:sz w:val="19"/>
                <w:szCs w:val="19"/>
              </w:rPr>
              <w:t>CEW</w:t>
            </w:r>
          </w:p>
        </w:tc>
        <w:tc>
          <w:tcPr>
            <w:tcW w:w="476" w:type="pct"/>
            <w:gridSpan w:val="2"/>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52750C0" w14:textId="77777777" w:rsidR="00456CBA" w:rsidRPr="00BF0490" w:rsidRDefault="00456CBA" w:rsidP="00CF50EC">
            <w:pPr>
              <w:jc w:val="left"/>
              <w:rPr>
                <w:color w:val="auto"/>
                <w:sz w:val="19"/>
                <w:szCs w:val="19"/>
              </w:rPr>
            </w:pPr>
            <w:r w:rsidRPr="00BF0490">
              <w:rPr>
                <w:color w:val="auto"/>
                <w:sz w:val="19"/>
                <w:szCs w:val="19"/>
              </w:rPr>
              <w:t>0</w:t>
            </w:r>
          </w:p>
        </w:tc>
        <w:tc>
          <w:tcPr>
            <w:tcW w:w="477" w:type="pct"/>
            <w:gridSpan w:val="3"/>
            <w:tcBorders>
              <w:top w:val="single" w:sz="4" w:space="0" w:color="auto"/>
              <w:left w:val="single" w:sz="4" w:space="0" w:color="auto"/>
              <w:bottom w:val="single" w:sz="4" w:space="0" w:color="auto"/>
              <w:right w:val="single" w:sz="4" w:space="0" w:color="auto"/>
            </w:tcBorders>
            <w:shd w:val="clear" w:color="auto" w:fill="5B9BD5" w:themeFill="accent1"/>
          </w:tcPr>
          <w:p w14:paraId="1051B703" w14:textId="77777777" w:rsidR="00456CBA" w:rsidRPr="00BF0490" w:rsidRDefault="00456CBA" w:rsidP="00CF50EC">
            <w:pPr>
              <w:jc w:val="left"/>
              <w:rPr>
                <w:color w:val="auto"/>
                <w:sz w:val="19"/>
                <w:szCs w:val="19"/>
              </w:rPr>
            </w:pPr>
            <w:r w:rsidRPr="00BF0490">
              <w:rPr>
                <w:color w:val="auto"/>
                <w:sz w:val="19"/>
                <w:szCs w:val="19"/>
              </w:rPr>
              <w:t>53</w:t>
            </w:r>
          </w:p>
        </w:tc>
        <w:tc>
          <w:tcPr>
            <w:tcW w:w="476" w:type="pct"/>
            <w:gridSpan w:val="2"/>
            <w:tcBorders>
              <w:top w:val="single" w:sz="4" w:space="0" w:color="auto"/>
              <w:left w:val="single" w:sz="4" w:space="0" w:color="auto"/>
              <w:bottom w:val="single" w:sz="4" w:space="0" w:color="auto"/>
              <w:right w:val="single" w:sz="4" w:space="0" w:color="auto"/>
            </w:tcBorders>
            <w:shd w:val="clear" w:color="auto" w:fill="70AD47" w:themeFill="accent6"/>
          </w:tcPr>
          <w:p w14:paraId="29E698BA" w14:textId="77777777" w:rsidR="00456CBA" w:rsidRPr="00BF0490" w:rsidRDefault="00456CBA" w:rsidP="00CF50EC">
            <w:pPr>
              <w:jc w:val="left"/>
              <w:rPr>
                <w:color w:val="auto"/>
                <w:sz w:val="19"/>
                <w:szCs w:val="19"/>
              </w:rPr>
            </w:pPr>
            <w:r w:rsidRPr="00BF0490">
              <w:rPr>
                <w:color w:val="auto"/>
                <w:sz w:val="19"/>
                <w:szCs w:val="19"/>
              </w:rPr>
              <w:t>21</w:t>
            </w:r>
          </w:p>
        </w:tc>
        <w:tc>
          <w:tcPr>
            <w:tcW w:w="477" w:type="pct"/>
            <w:gridSpan w:val="2"/>
            <w:tcBorders>
              <w:top w:val="single" w:sz="4" w:space="0" w:color="auto"/>
              <w:left w:val="single" w:sz="4" w:space="0" w:color="auto"/>
              <w:bottom w:val="single" w:sz="4" w:space="0" w:color="auto"/>
              <w:right w:val="single" w:sz="4" w:space="0" w:color="auto"/>
            </w:tcBorders>
            <w:shd w:val="clear" w:color="auto" w:fill="5B9BD5" w:themeFill="accent1"/>
          </w:tcPr>
          <w:p w14:paraId="0E7DD89D" w14:textId="77777777" w:rsidR="00456CBA" w:rsidRPr="00BF0490" w:rsidRDefault="00456CBA" w:rsidP="00CF50EC">
            <w:pPr>
              <w:jc w:val="left"/>
              <w:rPr>
                <w:color w:val="auto"/>
                <w:sz w:val="19"/>
                <w:szCs w:val="19"/>
              </w:rPr>
            </w:pPr>
            <w:r w:rsidRPr="00BF0490">
              <w:rPr>
                <w:color w:val="auto"/>
                <w:sz w:val="19"/>
                <w:szCs w:val="19"/>
              </w:rPr>
              <w:t>50</w:t>
            </w:r>
          </w:p>
        </w:tc>
        <w:tc>
          <w:tcPr>
            <w:tcW w:w="794" w:type="pct"/>
            <w:gridSpan w:val="2"/>
            <w:tcBorders>
              <w:top w:val="single" w:sz="4" w:space="0" w:color="auto"/>
              <w:left w:val="single" w:sz="4" w:space="0" w:color="auto"/>
              <w:bottom w:val="single" w:sz="4" w:space="0" w:color="auto"/>
              <w:right w:val="single" w:sz="4" w:space="0" w:color="auto"/>
            </w:tcBorders>
            <w:shd w:val="clear" w:color="auto" w:fill="70AD47" w:themeFill="accent6"/>
          </w:tcPr>
          <w:p w14:paraId="0CEBA5A0" w14:textId="77777777" w:rsidR="00456CBA" w:rsidRPr="00BF0490" w:rsidRDefault="00456CBA" w:rsidP="00CF50EC">
            <w:pPr>
              <w:jc w:val="left"/>
              <w:rPr>
                <w:color w:val="auto"/>
                <w:sz w:val="19"/>
                <w:szCs w:val="19"/>
              </w:rPr>
            </w:pPr>
            <w:r>
              <w:rPr>
                <w:color w:val="auto"/>
                <w:sz w:val="19"/>
                <w:szCs w:val="19"/>
              </w:rPr>
              <w:t>25</w:t>
            </w:r>
          </w:p>
        </w:tc>
        <w:tc>
          <w:tcPr>
            <w:tcW w:w="556" w:type="pct"/>
            <w:tcBorders>
              <w:top w:val="single" w:sz="4" w:space="0" w:color="auto"/>
              <w:left w:val="single" w:sz="4" w:space="0" w:color="auto"/>
              <w:bottom w:val="single" w:sz="4" w:space="0" w:color="auto"/>
              <w:right w:val="single" w:sz="4" w:space="0" w:color="auto"/>
            </w:tcBorders>
            <w:shd w:val="clear" w:color="auto" w:fill="70AD47" w:themeFill="accent6"/>
          </w:tcPr>
          <w:p w14:paraId="473DB381" w14:textId="77777777" w:rsidR="00456CBA" w:rsidRPr="00BF0490" w:rsidRDefault="00456CBA" w:rsidP="00CF50EC">
            <w:pPr>
              <w:jc w:val="left"/>
              <w:rPr>
                <w:color w:val="auto"/>
                <w:sz w:val="19"/>
                <w:szCs w:val="19"/>
              </w:rPr>
            </w:pPr>
            <w:r>
              <w:rPr>
                <w:color w:val="auto"/>
                <w:sz w:val="19"/>
                <w:szCs w:val="19"/>
              </w:rPr>
              <w:t>30</w:t>
            </w:r>
          </w:p>
        </w:tc>
      </w:tr>
      <w:tr w:rsidR="00456CBA" w:rsidRPr="00BF0490" w14:paraId="5DFD785F" w14:textId="77777777" w:rsidTr="00DE73A8">
        <w:trPr>
          <w:cantSplit/>
          <w:trHeight w:val="20"/>
        </w:trPr>
        <w:tc>
          <w:tcPr>
            <w:tcW w:w="1109" w:type="pct"/>
            <w:vMerge/>
            <w:tcBorders>
              <w:left w:val="single" w:sz="4" w:space="0" w:color="auto"/>
              <w:bottom w:val="single" w:sz="4" w:space="0" w:color="auto"/>
              <w:right w:val="single" w:sz="4" w:space="0" w:color="auto"/>
            </w:tcBorders>
          </w:tcPr>
          <w:p w14:paraId="48F12D48" w14:textId="77777777" w:rsidR="00456CBA" w:rsidRPr="00BF0490" w:rsidRDefault="00456CBA" w:rsidP="00CF50EC">
            <w:pPr>
              <w:jc w:val="left"/>
              <w:rPr>
                <w:sz w:val="19"/>
                <w:szCs w:val="19"/>
              </w:rPr>
            </w:pPr>
          </w:p>
        </w:tc>
        <w:tc>
          <w:tcPr>
            <w:tcW w:w="3891" w:type="pct"/>
            <w:gridSpan w:val="13"/>
            <w:tcBorders>
              <w:top w:val="single" w:sz="4" w:space="0" w:color="auto"/>
              <w:left w:val="single" w:sz="4" w:space="0" w:color="auto"/>
              <w:bottom w:val="single" w:sz="4" w:space="0" w:color="auto"/>
              <w:right w:val="single" w:sz="4" w:space="0" w:color="auto"/>
            </w:tcBorders>
            <w:shd w:val="clear" w:color="auto" w:fill="70AD47" w:themeFill="accent6"/>
          </w:tcPr>
          <w:p w14:paraId="67630D2D" w14:textId="19B816B0" w:rsidR="00456CBA" w:rsidRDefault="00456CBA" w:rsidP="00CF50EC">
            <w:pPr>
              <w:rPr>
                <w:sz w:val="19"/>
                <w:szCs w:val="19"/>
              </w:rPr>
            </w:pPr>
            <w:r>
              <w:rPr>
                <w:sz w:val="19"/>
                <w:szCs w:val="19"/>
              </w:rPr>
              <w:t>eWater</w:t>
            </w:r>
            <w:r w:rsidRPr="00BF0490">
              <w:rPr>
                <w:sz w:val="19"/>
                <w:szCs w:val="19"/>
              </w:rPr>
              <w:t xml:space="preserve"> decreased the likelihood of low DO by increasing water mixing and oxygen exchange at the surface. This was assessed as the extra days per year with water velocities &gt;0.18 m/s due to eWater. A substantial contribution was considered greater than 30 days, moderate 15</w:t>
            </w:r>
            <w:r>
              <w:rPr>
                <w:sz w:val="19"/>
                <w:szCs w:val="19"/>
              </w:rPr>
              <w:t>–</w:t>
            </w:r>
            <w:r w:rsidRPr="00BF0490">
              <w:rPr>
                <w:sz w:val="19"/>
                <w:szCs w:val="19"/>
              </w:rPr>
              <w:t>30 days, minor 7</w:t>
            </w:r>
            <w:r>
              <w:rPr>
                <w:sz w:val="19"/>
                <w:szCs w:val="19"/>
              </w:rPr>
              <w:t>–</w:t>
            </w:r>
            <w:r w:rsidRPr="00BF0490">
              <w:rPr>
                <w:sz w:val="19"/>
                <w:szCs w:val="19"/>
              </w:rPr>
              <w:t>14 days and negligible &lt; 7days.</w:t>
            </w:r>
          </w:p>
        </w:tc>
      </w:tr>
      <w:tr w:rsidR="00315757" w:rsidRPr="00BF0490" w14:paraId="1D282FE7" w14:textId="77777777" w:rsidTr="00DE73A8">
        <w:trPr>
          <w:cantSplit/>
          <w:trHeight w:val="931"/>
        </w:trPr>
        <w:tc>
          <w:tcPr>
            <w:tcW w:w="1109" w:type="pct"/>
            <w:vMerge w:val="restart"/>
            <w:tcBorders>
              <w:top w:val="single" w:sz="4" w:space="0" w:color="auto"/>
              <w:left w:val="single" w:sz="4" w:space="0" w:color="auto"/>
              <w:right w:val="single" w:sz="4" w:space="0" w:color="auto"/>
            </w:tcBorders>
          </w:tcPr>
          <w:p w14:paraId="5FFFCC78" w14:textId="77777777" w:rsidR="00456CBA" w:rsidRPr="00BF0490" w:rsidRDefault="00456CBA" w:rsidP="00CF50EC">
            <w:pPr>
              <w:jc w:val="left"/>
              <w:rPr>
                <w:rFonts w:cs="Arial"/>
                <w:color w:val="auto"/>
                <w:sz w:val="19"/>
                <w:szCs w:val="19"/>
              </w:rPr>
            </w:pPr>
            <w:r w:rsidRPr="00BF0490">
              <w:rPr>
                <w:sz w:val="19"/>
                <w:szCs w:val="19"/>
              </w:rPr>
              <w:t>What did CEW contribute to patterns and rates of primary productivity?</w:t>
            </w:r>
          </w:p>
        </w:tc>
        <w:tc>
          <w:tcPr>
            <w:tcW w:w="636" w:type="pct"/>
            <w:tcBorders>
              <w:top w:val="single" w:sz="4" w:space="0" w:color="auto"/>
              <w:left w:val="single" w:sz="4" w:space="0" w:color="auto"/>
              <w:bottom w:val="single" w:sz="4" w:space="0" w:color="auto"/>
              <w:right w:val="single" w:sz="4" w:space="0" w:color="auto"/>
            </w:tcBorders>
          </w:tcPr>
          <w:p w14:paraId="73541060" w14:textId="77777777" w:rsidR="00456CBA" w:rsidRPr="00BF0490" w:rsidRDefault="00456CBA" w:rsidP="00CF50EC">
            <w:pPr>
              <w:jc w:val="left"/>
              <w:rPr>
                <w:rFonts w:cs="Arial"/>
                <w:color w:val="auto"/>
                <w:sz w:val="19"/>
                <w:szCs w:val="19"/>
              </w:rPr>
            </w:pPr>
            <w:r w:rsidRPr="00BF0490">
              <w:rPr>
                <w:rFonts w:cs="Arial"/>
                <w:color w:val="auto"/>
                <w:sz w:val="19"/>
                <w:szCs w:val="19"/>
              </w:rPr>
              <w:t>All eWater</w:t>
            </w:r>
          </w:p>
        </w:tc>
        <w:tc>
          <w:tcPr>
            <w:tcW w:w="476" w:type="pct"/>
            <w:gridSpan w:val="2"/>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B052B95" w14:textId="3F88E441" w:rsidR="00456CBA" w:rsidRPr="00BF0490" w:rsidRDefault="00456CBA" w:rsidP="00CF50EC">
            <w:pPr>
              <w:jc w:val="left"/>
              <w:rPr>
                <w:rFonts w:cs="Arial"/>
                <w:color w:val="auto"/>
                <w:sz w:val="19"/>
                <w:szCs w:val="19"/>
              </w:rPr>
            </w:pPr>
            <w:r w:rsidRPr="00BF0490">
              <w:rPr>
                <w:rFonts w:cs="Arial"/>
                <w:color w:val="auto"/>
                <w:sz w:val="19"/>
                <w:szCs w:val="19"/>
              </w:rPr>
              <w:t>1</w:t>
            </w:r>
          </w:p>
        </w:tc>
        <w:tc>
          <w:tcPr>
            <w:tcW w:w="477" w:type="pct"/>
            <w:gridSpan w:val="3"/>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065E4F3" w14:textId="491E80D8" w:rsidR="00456CBA" w:rsidRPr="00BF0490" w:rsidRDefault="00456CBA" w:rsidP="00CF50EC">
            <w:pPr>
              <w:jc w:val="left"/>
              <w:rPr>
                <w:rFonts w:cs="Arial"/>
                <w:color w:val="auto"/>
                <w:sz w:val="19"/>
                <w:szCs w:val="19"/>
              </w:rPr>
            </w:pPr>
            <w:r w:rsidRPr="00BF0490">
              <w:rPr>
                <w:rFonts w:cs="Arial"/>
                <w:color w:val="auto"/>
                <w:sz w:val="19"/>
                <w:szCs w:val="19"/>
              </w:rPr>
              <w:t>2</w:t>
            </w:r>
          </w:p>
        </w:tc>
        <w:tc>
          <w:tcPr>
            <w:tcW w:w="476" w:type="pct"/>
            <w:gridSpan w:val="2"/>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00CEE75" w14:textId="2313B2F5" w:rsidR="00456CBA" w:rsidRPr="00BF0490" w:rsidRDefault="00456CBA" w:rsidP="00CF50EC">
            <w:pPr>
              <w:jc w:val="left"/>
              <w:rPr>
                <w:rFonts w:cs="Arial"/>
                <w:color w:val="auto"/>
                <w:sz w:val="19"/>
                <w:szCs w:val="19"/>
              </w:rPr>
            </w:pPr>
            <w:r w:rsidRPr="00BF0490">
              <w:rPr>
                <w:rFonts w:cs="Arial"/>
                <w:color w:val="auto"/>
                <w:sz w:val="19"/>
                <w:szCs w:val="19"/>
              </w:rPr>
              <w:t>2</w:t>
            </w:r>
          </w:p>
        </w:tc>
        <w:tc>
          <w:tcPr>
            <w:tcW w:w="477" w:type="pct"/>
            <w:gridSpan w:val="2"/>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B24D079" w14:textId="66AAD83D" w:rsidR="00456CBA" w:rsidRPr="00BF0490" w:rsidRDefault="00456CBA" w:rsidP="00CF50EC">
            <w:pPr>
              <w:jc w:val="left"/>
              <w:rPr>
                <w:rFonts w:cs="Arial"/>
                <w:color w:val="auto"/>
                <w:sz w:val="19"/>
                <w:szCs w:val="19"/>
              </w:rPr>
            </w:pPr>
            <w:r w:rsidRPr="00BF0490">
              <w:rPr>
                <w:rFonts w:cs="Arial"/>
                <w:color w:val="auto"/>
                <w:sz w:val="19"/>
                <w:szCs w:val="19"/>
              </w:rPr>
              <w:t>2</w:t>
            </w:r>
          </w:p>
        </w:tc>
        <w:tc>
          <w:tcPr>
            <w:tcW w:w="794" w:type="pct"/>
            <w:gridSpan w:val="2"/>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E5EA738" w14:textId="20A2A275" w:rsidR="00456CBA" w:rsidRPr="00BF0490" w:rsidRDefault="00456CBA" w:rsidP="00CF50EC">
            <w:pPr>
              <w:jc w:val="left"/>
              <w:rPr>
                <w:rFonts w:cs="Arial"/>
                <w:color w:val="auto"/>
                <w:sz w:val="19"/>
                <w:szCs w:val="19"/>
              </w:rPr>
            </w:pPr>
            <w:r>
              <w:rPr>
                <w:rFonts w:cs="Arial"/>
                <w:color w:val="auto"/>
                <w:sz w:val="19"/>
                <w:szCs w:val="19"/>
              </w:rPr>
              <w:t>2</w:t>
            </w:r>
          </w:p>
        </w:tc>
        <w:tc>
          <w:tcPr>
            <w:tcW w:w="556"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041F386" w14:textId="029B32F5" w:rsidR="00456CBA" w:rsidRPr="00BF0490" w:rsidRDefault="00456CBA" w:rsidP="00CF50EC">
            <w:pPr>
              <w:jc w:val="left"/>
              <w:rPr>
                <w:rFonts w:cs="Arial"/>
                <w:color w:val="auto"/>
                <w:sz w:val="19"/>
                <w:szCs w:val="19"/>
              </w:rPr>
            </w:pPr>
            <w:r>
              <w:rPr>
                <w:rFonts w:cs="Arial"/>
                <w:color w:val="auto"/>
                <w:sz w:val="19"/>
                <w:szCs w:val="19"/>
              </w:rPr>
              <w:t>1</w:t>
            </w:r>
          </w:p>
        </w:tc>
      </w:tr>
      <w:tr w:rsidR="00315757" w:rsidRPr="00BF0490" w14:paraId="569C66D5" w14:textId="77777777" w:rsidTr="00DE73A8">
        <w:trPr>
          <w:cantSplit/>
          <w:trHeight w:val="597"/>
        </w:trPr>
        <w:tc>
          <w:tcPr>
            <w:tcW w:w="1109" w:type="pct"/>
            <w:vMerge/>
            <w:tcBorders>
              <w:top w:val="single" w:sz="4" w:space="0" w:color="auto"/>
              <w:left w:val="single" w:sz="4" w:space="0" w:color="auto"/>
              <w:right w:val="single" w:sz="4" w:space="0" w:color="auto"/>
            </w:tcBorders>
          </w:tcPr>
          <w:p w14:paraId="29C26AB0" w14:textId="77777777" w:rsidR="00456CBA" w:rsidRPr="00BF0490" w:rsidRDefault="00456CBA" w:rsidP="00CF50EC">
            <w:pPr>
              <w:jc w:val="left"/>
              <w:rPr>
                <w:sz w:val="19"/>
                <w:szCs w:val="19"/>
              </w:rPr>
            </w:pPr>
          </w:p>
        </w:tc>
        <w:tc>
          <w:tcPr>
            <w:tcW w:w="636" w:type="pct"/>
            <w:tcBorders>
              <w:top w:val="single" w:sz="4" w:space="0" w:color="auto"/>
              <w:left w:val="single" w:sz="4" w:space="0" w:color="auto"/>
              <w:right w:val="single" w:sz="4" w:space="0" w:color="auto"/>
            </w:tcBorders>
          </w:tcPr>
          <w:p w14:paraId="2283BD81" w14:textId="77777777" w:rsidR="00456CBA" w:rsidRPr="00BF0490" w:rsidRDefault="00456CBA" w:rsidP="00CF50EC">
            <w:pPr>
              <w:jc w:val="left"/>
              <w:rPr>
                <w:rFonts w:cs="Arial"/>
                <w:color w:val="auto"/>
                <w:sz w:val="19"/>
                <w:szCs w:val="19"/>
              </w:rPr>
            </w:pPr>
            <w:r w:rsidRPr="00BF0490">
              <w:rPr>
                <w:rFonts w:cs="Arial"/>
                <w:color w:val="auto"/>
                <w:sz w:val="19"/>
                <w:szCs w:val="19"/>
              </w:rPr>
              <w:t>CEW</w:t>
            </w:r>
          </w:p>
        </w:tc>
        <w:tc>
          <w:tcPr>
            <w:tcW w:w="476" w:type="pct"/>
            <w:gridSpan w:val="2"/>
            <w:tcBorders>
              <w:top w:val="single" w:sz="4" w:space="0" w:color="auto"/>
              <w:left w:val="single" w:sz="4" w:space="0" w:color="auto"/>
              <w:right w:val="single" w:sz="4" w:space="0" w:color="auto"/>
            </w:tcBorders>
            <w:shd w:val="clear" w:color="auto" w:fill="E2EFD9" w:themeFill="accent6" w:themeFillTint="33"/>
          </w:tcPr>
          <w:p w14:paraId="3309AFFE" w14:textId="317B3D7D" w:rsidR="00456CBA" w:rsidRPr="00BF0490" w:rsidRDefault="00456CBA" w:rsidP="00CF50EC">
            <w:pPr>
              <w:jc w:val="left"/>
              <w:rPr>
                <w:rFonts w:cs="Arial"/>
                <w:color w:val="auto"/>
                <w:sz w:val="19"/>
                <w:szCs w:val="19"/>
              </w:rPr>
            </w:pPr>
            <w:r w:rsidRPr="00BF0490">
              <w:rPr>
                <w:rFonts w:cs="Arial"/>
                <w:color w:val="auto"/>
                <w:sz w:val="19"/>
                <w:szCs w:val="19"/>
              </w:rPr>
              <w:t>1</w:t>
            </w:r>
          </w:p>
        </w:tc>
        <w:tc>
          <w:tcPr>
            <w:tcW w:w="477" w:type="pct"/>
            <w:gridSpan w:val="3"/>
            <w:tcBorders>
              <w:top w:val="single" w:sz="4" w:space="0" w:color="auto"/>
              <w:left w:val="single" w:sz="4" w:space="0" w:color="auto"/>
              <w:right w:val="single" w:sz="4" w:space="0" w:color="auto"/>
            </w:tcBorders>
            <w:shd w:val="clear" w:color="auto" w:fill="E2EFD9" w:themeFill="accent6" w:themeFillTint="33"/>
          </w:tcPr>
          <w:p w14:paraId="15B16A9C" w14:textId="5B03F9FD" w:rsidR="00456CBA" w:rsidRPr="00BF0490" w:rsidRDefault="00456CBA" w:rsidP="00CF50EC">
            <w:pPr>
              <w:jc w:val="left"/>
              <w:rPr>
                <w:rFonts w:cs="Arial"/>
                <w:color w:val="auto"/>
                <w:sz w:val="19"/>
                <w:szCs w:val="19"/>
              </w:rPr>
            </w:pPr>
            <w:r w:rsidRPr="00BF0490">
              <w:rPr>
                <w:rFonts w:cs="Arial"/>
                <w:color w:val="auto"/>
                <w:sz w:val="19"/>
                <w:szCs w:val="19"/>
              </w:rPr>
              <w:t>2</w:t>
            </w:r>
          </w:p>
        </w:tc>
        <w:tc>
          <w:tcPr>
            <w:tcW w:w="476" w:type="pct"/>
            <w:gridSpan w:val="2"/>
            <w:tcBorders>
              <w:top w:val="single" w:sz="4" w:space="0" w:color="auto"/>
              <w:left w:val="single" w:sz="4" w:space="0" w:color="auto"/>
              <w:right w:val="single" w:sz="4" w:space="0" w:color="auto"/>
            </w:tcBorders>
            <w:shd w:val="clear" w:color="auto" w:fill="E2EFD9" w:themeFill="accent6" w:themeFillTint="33"/>
          </w:tcPr>
          <w:p w14:paraId="52539326" w14:textId="522A1CA4" w:rsidR="00456CBA" w:rsidRPr="00BF0490" w:rsidRDefault="00456CBA" w:rsidP="00CF50EC">
            <w:pPr>
              <w:jc w:val="left"/>
              <w:rPr>
                <w:rFonts w:cs="Arial"/>
                <w:color w:val="auto"/>
                <w:sz w:val="19"/>
                <w:szCs w:val="19"/>
              </w:rPr>
            </w:pPr>
            <w:r w:rsidRPr="00BF0490">
              <w:rPr>
                <w:rFonts w:cs="Arial"/>
                <w:color w:val="auto"/>
                <w:sz w:val="19"/>
                <w:szCs w:val="19"/>
              </w:rPr>
              <w:t>2</w:t>
            </w:r>
          </w:p>
        </w:tc>
        <w:tc>
          <w:tcPr>
            <w:tcW w:w="477" w:type="pct"/>
            <w:gridSpan w:val="2"/>
            <w:tcBorders>
              <w:top w:val="single" w:sz="4" w:space="0" w:color="auto"/>
              <w:left w:val="single" w:sz="4" w:space="0" w:color="auto"/>
              <w:right w:val="single" w:sz="4" w:space="0" w:color="auto"/>
            </w:tcBorders>
            <w:shd w:val="clear" w:color="auto" w:fill="E2EFD9" w:themeFill="accent6" w:themeFillTint="33"/>
          </w:tcPr>
          <w:p w14:paraId="6B4106A6" w14:textId="619878C5" w:rsidR="00456CBA" w:rsidRPr="00BF0490" w:rsidRDefault="00456CBA" w:rsidP="00CF50EC">
            <w:pPr>
              <w:jc w:val="left"/>
              <w:rPr>
                <w:rFonts w:cs="Arial"/>
                <w:color w:val="auto"/>
                <w:sz w:val="19"/>
                <w:szCs w:val="19"/>
              </w:rPr>
            </w:pPr>
            <w:r w:rsidRPr="00BF0490">
              <w:rPr>
                <w:rFonts w:cs="Arial"/>
                <w:color w:val="auto"/>
                <w:sz w:val="19"/>
                <w:szCs w:val="19"/>
              </w:rPr>
              <w:t>2</w:t>
            </w:r>
          </w:p>
        </w:tc>
        <w:tc>
          <w:tcPr>
            <w:tcW w:w="794" w:type="pct"/>
            <w:gridSpan w:val="2"/>
            <w:tcBorders>
              <w:top w:val="single" w:sz="4" w:space="0" w:color="auto"/>
              <w:left w:val="single" w:sz="4" w:space="0" w:color="auto"/>
              <w:right w:val="single" w:sz="4" w:space="0" w:color="auto"/>
            </w:tcBorders>
            <w:shd w:val="clear" w:color="auto" w:fill="E2EFD9" w:themeFill="accent6" w:themeFillTint="33"/>
          </w:tcPr>
          <w:p w14:paraId="38A8F316" w14:textId="378E0EBB" w:rsidR="00456CBA" w:rsidRPr="00BF0490" w:rsidRDefault="00456CBA" w:rsidP="00CF50EC">
            <w:pPr>
              <w:jc w:val="left"/>
              <w:rPr>
                <w:rFonts w:cs="Arial"/>
                <w:color w:val="auto"/>
                <w:sz w:val="19"/>
                <w:szCs w:val="19"/>
              </w:rPr>
            </w:pPr>
            <w:r>
              <w:rPr>
                <w:rFonts w:cs="Arial"/>
                <w:color w:val="auto"/>
                <w:sz w:val="19"/>
                <w:szCs w:val="19"/>
              </w:rPr>
              <w:t>2</w:t>
            </w:r>
          </w:p>
        </w:tc>
        <w:tc>
          <w:tcPr>
            <w:tcW w:w="556" w:type="pct"/>
            <w:tcBorders>
              <w:top w:val="single" w:sz="4" w:space="0" w:color="auto"/>
              <w:left w:val="single" w:sz="4" w:space="0" w:color="auto"/>
              <w:right w:val="single" w:sz="4" w:space="0" w:color="auto"/>
            </w:tcBorders>
            <w:shd w:val="clear" w:color="auto" w:fill="E2EFD9" w:themeFill="accent6" w:themeFillTint="33"/>
          </w:tcPr>
          <w:p w14:paraId="4482524F" w14:textId="481A2A1B" w:rsidR="00456CBA" w:rsidRPr="00BF0490" w:rsidRDefault="00456CBA" w:rsidP="00CF50EC">
            <w:pPr>
              <w:jc w:val="left"/>
              <w:rPr>
                <w:rFonts w:cs="Arial"/>
                <w:color w:val="auto"/>
                <w:sz w:val="19"/>
                <w:szCs w:val="19"/>
              </w:rPr>
            </w:pPr>
            <w:r>
              <w:rPr>
                <w:rFonts w:cs="Arial"/>
                <w:color w:val="auto"/>
                <w:sz w:val="19"/>
                <w:szCs w:val="19"/>
              </w:rPr>
              <w:t>1</w:t>
            </w:r>
          </w:p>
        </w:tc>
      </w:tr>
      <w:tr w:rsidR="00456CBA" w:rsidRPr="00BF0490" w14:paraId="5B4F0AF7" w14:textId="77777777" w:rsidTr="00DE73A8">
        <w:trPr>
          <w:cantSplit/>
          <w:trHeight w:val="2210"/>
        </w:trPr>
        <w:tc>
          <w:tcPr>
            <w:tcW w:w="1109" w:type="pct"/>
            <w:vMerge/>
            <w:tcBorders>
              <w:left w:val="single" w:sz="4" w:space="0" w:color="auto"/>
              <w:right w:val="single" w:sz="4" w:space="0" w:color="auto"/>
            </w:tcBorders>
          </w:tcPr>
          <w:p w14:paraId="4921D3D1" w14:textId="77777777" w:rsidR="00456CBA" w:rsidRPr="00BF0490" w:rsidRDefault="00456CBA" w:rsidP="00CF50EC">
            <w:pPr>
              <w:jc w:val="left"/>
              <w:rPr>
                <w:sz w:val="19"/>
                <w:szCs w:val="19"/>
              </w:rPr>
            </w:pPr>
          </w:p>
        </w:tc>
        <w:tc>
          <w:tcPr>
            <w:tcW w:w="3891" w:type="pct"/>
            <w:gridSpan w:val="13"/>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1C7DBFB" w14:textId="757A81DE" w:rsidR="00456CBA" w:rsidRPr="00BF0490" w:rsidRDefault="00456CBA" w:rsidP="00CF50EC">
            <w:pPr>
              <w:rPr>
                <w:sz w:val="19"/>
                <w:szCs w:val="19"/>
              </w:rPr>
            </w:pPr>
            <w:bookmarkStart w:id="132" w:name="_Hlk64021949"/>
            <w:r w:rsidRPr="00BF0490">
              <w:rPr>
                <w:sz w:val="19"/>
                <w:szCs w:val="19"/>
              </w:rPr>
              <w:t>Increased flows generally reduced the volumetric rate of primary production but increased the cross-sectional rate. This increased the overall “carrying capacity” of the river, although the implications of changes in the ratios of these two measures are unknown</w:t>
            </w:r>
            <w:bookmarkEnd w:id="132"/>
            <w:r w:rsidRPr="00BF0490">
              <w:rPr>
                <w:sz w:val="19"/>
                <w:szCs w:val="19"/>
              </w:rPr>
              <w:t xml:space="preserve">. </w:t>
            </w:r>
            <w:r w:rsidR="00AC5D37" w:rsidRPr="00BF0490">
              <w:rPr>
                <w:sz w:val="19"/>
                <w:szCs w:val="19"/>
              </w:rPr>
              <w:t xml:space="preserve">At the LMR sites, the </w:t>
            </w:r>
            <w:r w:rsidR="00AC5D37">
              <w:rPr>
                <w:sz w:val="19"/>
                <w:szCs w:val="19"/>
              </w:rPr>
              <w:t>percentage</w:t>
            </w:r>
            <w:r w:rsidR="00AC5D37" w:rsidRPr="00BF0490">
              <w:rPr>
                <w:sz w:val="19"/>
                <w:szCs w:val="19"/>
              </w:rPr>
              <w:t xml:space="preserve"> increases in cross-sectional GPP due to eWater were </w:t>
            </w:r>
            <w:bookmarkStart w:id="133" w:name="_Hlk64021869"/>
            <w:r w:rsidR="00AC5D37" w:rsidRPr="00BF0490">
              <w:rPr>
                <w:sz w:val="19"/>
                <w:szCs w:val="19"/>
              </w:rPr>
              <w:t xml:space="preserve">negligible due to the largely </w:t>
            </w:r>
            <w:r w:rsidR="00831D7A">
              <w:rPr>
                <w:sz w:val="19"/>
                <w:szCs w:val="19"/>
              </w:rPr>
              <w:t>stable</w:t>
            </w:r>
            <w:r w:rsidR="00AC5D37" w:rsidRPr="00BF0490">
              <w:rPr>
                <w:sz w:val="19"/>
                <w:szCs w:val="19"/>
              </w:rPr>
              <w:t xml:space="preserve"> water levels </w:t>
            </w:r>
            <w:r w:rsidR="00831D7A">
              <w:rPr>
                <w:sz w:val="19"/>
                <w:szCs w:val="19"/>
              </w:rPr>
              <w:t>induced</w:t>
            </w:r>
            <w:r w:rsidR="00AC5D37" w:rsidRPr="00BF0490">
              <w:rPr>
                <w:sz w:val="19"/>
                <w:szCs w:val="19"/>
              </w:rPr>
              <w:t xml:space="preserve"> by weirs. </w:t>
            </w:r>
            <w:bookmarkEnd w:id="133"/>
            <w:r w:rsidR="00AC5D37" w:rsidRPr="00BF0490">
              <w:rPr>
                <w:sz w:val="19"/>
                <w:szCs w:val="19"/>
              </w:rPr>
              <w:t>A substantial contribution was considered an increase in cross-sectional GPP of 20% or greater, moderate 11</w:t>
            </w:r>
            <w:r w:rsidR="00AC5D37">
              <w:rPr>
                <w:sz w:val="19"/>
                <w:szCs w:val="19"/>
              </w:rPr>
              <w:t>–</w:t>
            </w:r>
            <w:r w:rsidR="00AC5D37" w:rsidRPr="00BF0490">
              <w:rPr>
                <w:sz w:val="19"/>
                <w:szCs w:val="19"/>
              </w:rPr>
              <w:t>19%, minor 5</w:t>
            </w:r>
            <w:r w:rsidR="00AC5D37">
              <w:rPr>
                <w:sz w:val="19"/>
                <w:szCs w:val="19"/>
              </w:rPr>
              <w:t>–</w:t>
            </w:r>
            <w:r w:rsidR="00AC5D37" w:rsidRPr="00BF0490">
              <w:rPr>
                <w:sz w:val="19"/>
                <w:szCs w:val="19"/>
              </w:rPr>
              <w:t>10%, negligible &lt;5%.</w:t>
            </w:r>
          </w:p>
        </w:tc>
      </w:tr>
      <w:tr w:rsidR="00315757" w:rsidRPr="00BF0490" w14:paraId="3F36924E" w14:textId="77777777" w:rsidTr="00DE73A8">
        <w:trPr>
          <w:cantSplit/>
          <w:trHeight w:val="20"/>
        </w:trPr>
        <w:tc>
          <w:tcPr>
            <w:tcW w:w="1109" w:type="pct"/>
            <w:vMerge w:val="restart"/>
            <w:tcBorders>
              <w:top w:val="single" w:sz="4" w:space="0" w:color="auto"/>
              <w:left w:val="single" w:sz="4" w:space="0" w:color="auto"/>
              <w:right w:val="single" w:sz="4" w:space="0" w:color="auto"/>
            </w:tcBorders>
          </w:tcPr>
          <w:p w14:paraId="355D0ED8" w14:textId="210A7DF9" w:rsidR="00456CBA" w:rsidRPr="00BF0490" w:rsidRDefault="00F64316" w:rsidP="00CF50EC">
            <w:pPr>
              <w:jc w:val="left"/>
              <w:rPr>
                <w:rFonts w:cs="Arial"/>
                <w:color w:val="auto"/>
                <w:sz w:val="19"/>
                <w:szCs w:val="19"/>
              </w:rPr>
            </w:pPr>
            <w:r w:rsidRPr="00BF0490">
              <w:rPr>
                <w:sz w:val="19"/>
                <w:szCs w:val="19"/>
              </w:rPr>
              <w:t>What did CEW contribute to patterns and rates of decomposition?</w:t>
            </w:r>
          </w:p>
        </w:tc>
        <w:tc>
          <w:tcPr>
            <w:tcW w:w="750" w:type="pct"/>
            <w:gridSpan w:val="2"/>
            <w:tcBorders>
              <w:top w:val="single" w:sz="4" w:space="0" w:color="auto"/>
              <w:left w:val="single" w:sz="4" w:space="0" w:color="auto"/>
              <w:bottom w:val="single" w:sz="4" w:space="0" w:color="auto"/>
              <w:right w:val="single" w:sz="4" w:space="0" w:color="auto"/>
            </w:tcBorders>
          </w:tcPr>
          <w:p w14:paraId="4E0F337C" w14:textId="77777777" w:rsidR="00456CBA" w:rsidRPr="00BF0490" w:rsidRDefault="00456CBA" w:rsidP="00CF50EC">
            <w:pPr>
              <w:jc w:val="left"/>
              <w:rPr>
                <w:rFonts w:cs="Arial"/>
                <w:color w:val="auto"/>
                <w:sz w:val="19"/>
                <w:szCs w:val="19"/>
              </w:rPr>
            </w:pPr>
            <w:r w:rsidRPr="00BF0490">
              <w:rPr>
                <w:rFonts w:cs="Arial"/>
                <w:color w:val="auto"/>
                <w:sz w:val="19"/>
                <w:szCs w:val="19"/>
              </w:rPr>
              <w:t>All eWater</w:t>
            </w:r>
          </w:p>
        </w:tc>
        <w:tc>
          <w:tcPr>
            <w:tcW w:w="398" w:type="pct"/>
            <w:gridSpan w:val="2"/>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836ECAC" w14:textId="1D66A0C8" w:rsidR="00456CBA" w:rsidRPr="00BF0490" w:rsidRDefault="00456CBA" w:rsidP="00CF50EC">
            <w:pPr>
              <w:jc w:val="left"/>
              <w:rPr>
                <w:rFonts w:cs="Arial"/>
                <w:color w:val="auto"/>
                <w:sz w:val="19"/>
                <w:szCs w:val="19"/>
              </w:rPr>
            </w:pPr>
            <w:r w:rsidRPr="00BF0490">
              <w:rPr>
                <w:rFonts w:cs="Arial"/>
                <w:color w:val="auto"/>
                <w:sz w:val="19"/>
                <w:szCs w:val="19"/>
              </w:rPr>
              <w:t>3</w:t>
            </w:r>
          </w:p>
        </w:tc>
        <w:tc>
          <w:tcPr>
            <w:tcW w:w="395"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2E22470C" w14:textId="6930457C" w:rsidR="00456CBA" w:rsidRPr="00BF0490" w:rsidRDefault="00456CBA" w:rsidP="00CF50EC">
            <w:pPr>
              <w:jc w:val="left"/>
              <w:rPr>
                <w:rFonts w:cs="Arial"/>
                <w:color w:val="auto"/>
                <w:sz w:val="19"/>
                <w:szCs w:val="19"/>
              </w:rPr>
            </w:pPr>
            <w:r w:rsidRPr="00BF0490">
              <w:rPr>
                <w:rFonts w:cs="Arial"/>
                <w:color w:val="auto"/>
                <w:sz w:val="19"/>
                <w:szCs w:val="19"/>
              </w:rPr>
              <w:t>9</w:t>
            </w:r>
          </w:p>
        </w:tc>
        <w:tc>
          <w:tcPr>
            <w:tcW w:w="395" w:type="pct"/>
            <w:gridSpan w:val="2"/>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740C528D" w14:textId="6F8CE46A" w:rsidR="00456CBA" w:rsidRPr="00BF0490" w:rsidRDefault="00456CBA" w:rsidP="00CF50EC">
            <w:pPr>
              <w:jc w:val="left"/>
              <w:rPr>
                <w:rFonts w:cs="Arial"/>
                <w:color w:val="auto"/>
                <w:sz w:val="19"/>
                <w:szCs w:val="19"/>
              </w:rPr>
            </w:pPr>
            <w:r w:rsidRPr="00BF0490">
              <w:rPr>
                <w:rFonts w:cs="Arial"/>
                <w:color w:val="auto"/>
                <w:sz w:val="19"/>
                <w:szCs w:val="19"/>
              </w:rPr>
              <w:t>9</w:t>
            </w:r>
          </w:p>
        </w:tc>
        <w:tc>
          <w:tcPr>
            <w:tcW w:w="475" w:type="pct"/>
            <w:gridSpan w:val="2"/>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17C7D819" w14:textId="6EED7AA7" w:rsidR="00456CBA" w:rsidRPr="00BF0490" w:rsidRDefault="00456CBA" w:rsidP="00CF50EC">
            <w:pPr>
              <w:jc w:val="left"/>
              <w:rPr>
                <w:rFonts w:cs="Arial"/>
                <w:color w:val="auto"/>
                <w:sz w:val="19"/>
                <w:szCs w:val="19"/>
              </w:rPr>
            </w:pPr>
            <w:r w:rsidRPr="00BF0490">
              <w:rPr>
                <w:rFonts w:cs="Arial"/>
                <w:color w:val="auto"/>
                <w:sz w:val="19"/>
                <w:szCs w:val="19"/>
              </w:rPr>
              <w:t>7</w:t>
            </w:r>
          </w:p>
        </w:tc>
        <w:tc>
          <w:tcPr>
            <w:tcW w:w="477" w:type="pct"/>
            <w:gridSpan w:val="2"/>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68B9E7B5" w14:textId="77F902A7" w:rsidR="00456CBA" w:rsidRPr="00BF0490" w:rsidRDefault="00456CBA" w:rsidP="00CF50EC">
            <w:pPr>
              <w:jc w:val="left"/>
              <w:rPr>
                <w:rFonts w:cs="Arial"/>
                <w:color w:val="auto"/>
                <w:sz w:val="19"/>
                <w:szCs w:val="19"/>
              </w:rPr>
            </w:pPr>
            <w:r>
              <w:rPr>
                <w:rFonts w:cs="Arial"/>
                <w:color w:val="auto"/>
                <w:sz w:val="19"/>
                <w:szCs w:val="19"/>
              </w:rPr>
              <w:t>6</w:t>
            </w:r>
          </w:p>
        </w:tc>
        <w:tc>
          <w:tcPr>
            <w:tcW w:w="1002" w:type="pct"/>
            <w:gridSpan w:val="2"/>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EFB0689" w14:textId="2241F410" w:rsidR="00456CBA" w:rsidRPr="00BF0490" w:rsidRDefault="00456CBA" w:rsidP="00CF50EC">
            <w:pPr>
              <w:jc w:val="left"/>
              <w:rPr>
                <w:rFonts w:cs="Arial"/>
                <w:color w:val="auto"/>
                <w:sz w:val="19"/>
                <w:szCs w:val="19"/>
              </w:rPr>
            </w:pPr>
            <w:r>
              <w:rPr>
                <w:rFonts w:cs="Arial"/>
                <w:color w:val="auto"/>
                <w:sz w:val="19"/>
                <w:szCs w:val="19"/>
              </w:rPr>
              <w:t>4</w:t>
            </w:r>
          </w:p>
        </w:tc>
      </w:tr>
      <w:tr w:rsidR="00315757" w:rsidRPr="00BF0490" w14:paraId="1F3C755F" w14:textId="77777777" w:rsidTr="00DE73A8">
        <w:trPr>
          <w:cantSplit/>
          <w:trHeight w:val="1026"/>
        </w:trPr>
        <w:tc>
          <w:tcPr>
            <w:tcW w:w="1109" w:type="pct"/>
            <w:vMerge/>
            <w:tcBorders>
              <w:left w:val="single" w:sz="4" w:space="0" w:color="auto"/>
              <w:right w:val="single" w:sz="4" w:space="0" w:color="auto"/>
            </w:tcBorders>
          </w:tcPr>
          <w:p w14:paraId="2B97A0B1" w14:textId="77777777" w:rsidR="00456CBA" w:rsidRPr="00BF0490" w:rsidRDefault="00456CBA" w:rsidP="00CF50EC">
            <w:pPr>
              <w:jc w:val="left"/>
              <w:rPr>
                <w:sz w:val="19"/>
                <w:szCs w:val="19"/>
              </w:rPr>
            </w:pPr>
          </w:p>
        </w:tc>
        <w:tc>
          <w:tcPr>
            <w:tcW w:w="750" w:type="pct"/>
            <w:gridSpan w:val="2"/>
            <w:tcBorders>
              <w:top w:val="single" w:sz="4" w:space="0" w:color="auto"/>
              <w:left w:val="single" w:sz="4" w:space="0" w:color="auto"/>
              <w:right w:val="single" w:sz="4" w:space="0" w:color="auto"/>
            </w:tcBorders>
          </w:tcPr>
          <w:p w14:paraId="72FC5E6B" w14:textId="77777777" w:rsidR="00456CBA" w:rsidRPr="00BF0490" w:rsidRDefault="00456CBA" w:rsidP="00CF50EC">
            <w:pPr>
              <w:jc w:val="left"/>
              <w:rPr>
                <w:rFonts w:cs="Arial"/>
                <w:color w:val="auto"/>
                <w:sz w:val="19"/>
                <w:szCs w:val="19"/>
              </w:rPr>
            </w:pPr>
            <w:r w:rsidRPr="00BF0490">
              <w:rPr>
                <w:rFonts w:cs="Arial"/>
                <w:color w:val="auto"/>
                <w:sz w:val="19"/>
                <w:szCs w:val="19"/>
              </w:rPr>
              <w:t>CEW</w:t>
            </w:r>
          </w:p>
        </w:tc>
        <w:tc>
          <w:tcPr>
            <w:tcW w:w="398" w:type="pct"/>
            <w:gridSpan w:val="2"/>
            <w:tcBorders>
              <w:top w:val="single" w:sz="4" w:space="0" w:color="auto"/>
              <w:left w:val="single" w:sz="4" w:space="0" w:color="auto"/>
              <w:right w:val="single" w:sz="4" w:space="0" w:color="auto"/>
            </w:tcBorders>
            <w:shd w:val="clear" w:color="auto" w:fill="E2EFD9" w:themeFill="accent6" w:themeFillTint="33"/>
          </w:tcPr>
          <w:p w14:paraId="56BF30F2" w14:textId="2B972A12" w:rsidR="00456CBA" w:rsidRPr="00BF0490" w:rsidRDefault="00456CBA" w:rsidP="00CF50EC">
            <w:pPr>
              <w:jc w:val="left"/>
              <w:rPr>
                <w:rFonts w:cs="Arial"/>
                <w:color w:val="auto"/>
                <w:sz w:val="19"/>
                <w:szCs w:val="19"/>
              </w:rPr>
            </w:pPr>
            <w:r w:rsidRPr="00BF0490">
              <w:rPr>
                <w:rFonts w:cs="Arial"/>
                <w:color w:val="auto"/>
                <w:sz w:val="19"/>
                <w:szCs w:val="19"/>
              </w:rPr>
              <w:t>3</w:t>
            </w:r>
          </w:p>
        </w:tc>
        <w:tc>
          <w:tcPr>
            <w:tcW w:w="395" w:type="pct"/>
            <w:tcBorders>
              <w:top w:val="single" w:sz="4" w:space="0" w:color="auto"/>
              <w:left w:val="single" w:sz="4" w:space="0" w:color="auto"/>
              <w:right w:val="single" w:sz="4" w:space="0" w:color="auto"/>
            </w:tcBorders>
            <w:shd w:val="clear" w:color="auto" w:fill="A8D08D" w:themeFill="accent6" w:themeFillTint="99"/>
          </w:tcPr>
          <w:p w14:paraId="7FC59A56" w14:textId="30A88F57" w:rsidR="00456CBA" w:rsidRPr="00BF0490" w:rsidRDefault="00456CBA" w:rsidP="00CF50EC">
            <w:pPr>
              <w:jc w:val="left"/>
              <w:rPr>
                <w:rFonts w:cs="Arial"/>
                <w:color w:val="auto"/>
                <w:sz w:val="19"/>
                <w:szCs w:val="19"/>
              </w:rPr>
            </w:pPr>
            <w:r w:rsidRPr="00BF0490">
              <w:rPr>
                <w:rFonts w:cs="Arial"/>
                <w:color w:val="auto"/>
                <w:sz w:val="19"/>
                <w:szCs w:val="19"/>
              </w:rPr>
              <w:t>9</w:t>
            </w:r>
          </w:p>
        </w:tc>
        <w:tc>
          <w:tcPr>
            <w:tcW w:w="395" w:type="pct"/>
            <w:gridSpan w:val="2"/>
            <w:tcBorders>
              <w:top w:val="single" w:sz="4" w:space="0" w:color="auto"/>
              <w:left w:val="single" w:sz="4" w:space="0" w:color="auto"/>
              <w:right w:val="single" w:sz="4" w:space="0" w:color="auto"/>
            </w:tcBorders>
            <w:shd w:val="clear" w:color="auto" w:fill="A8D08D" w:themeFill="accent6" w:themeFillTint="99"/>
          </w:tcPr>
          <w:p w14:paraId="5ABEE10F" w14:textId="237580D4" w:rsidR="00456CBA" w:rsidRPr="00BF0490" w:rsidRDefault="00456CBA" w:rsidP="00CF50EC">
            <w:pPr>
              <w:jc w:val="left"/>
              <w:rPr>
                <w:rFonts w:cs="Arial"/>
                <w:color w:val="auto"/>
                <w:sz w:val="19"/>
                <w:szCs w:val="19"/>
              </w:rPr>
            </w:pPr>
            <w:r w:rsidRPr="00BF0490">
              <w:rPr>
                <w:rFonts w:cs="Arial"/>
                <w:color w:val="auto"/>
                <w:sz w:val="19"/>
                <w:szCs w:val="19"/>
              </w:rPr>
              <w:t>9</w:t>
            </w:r>
          </w:p>
        </w:tc>
        <w:tc>
          <w:tcPr>
            <w:tcW w:w="475" w:type="pct"/>
            <w:gridSpan w:val="2"/>
            <w:tcBorders>
              <w:top w:val="single" w:sz="4" w:space="0" w:color="auto"/>
              <w:left w:val="single" w:sz="4" w:space="0" w:color="auto"/>
              <w:right w:val="single" w:sz="4" w:space="0" w:color="auto"/>
            </w:tcBorders>
            <w:shd w:val="clear" w:color="auto" w:fill="A8D08D" w:themeFill="accent6" w:themeFillTint="99"/>
          </w:tcPr>
          <w:p w14:paraId="67CCD430" w14:textId="04EF68C1" w:rsidR="00456CBA" w:rsidRPr="00BF0490" w:rsidRDefault="00456CBA" w:rsidP="00CF50EC">
            <w:pPr>
              <w:jc w:val="left"/>
              <w:rPr>
                <w:rFonts w:cs="Arial"/>
                <w:color w:val="auto"/>
                <w:sz w:val="19"/>
                <w:szCs w:val="19"/>
              </w:rPr>
            </w:pPr>
            <w:r w:rsidRPr="00BF0490">
              <w:rPr>
                <w:rFonts w:cs="Arial"/>
                <w:color w:val="auto"/>
                <w:sz w:val="19"/>
                <w:szCs w:val="19"/>
              </w:rPr>
              <w:t>7</w:t>
            </w:r>
          </w:p>
        </w:tc>
        <w:tc>
          <w:tcPr>
            <w:tcW w:w="477" w:type="pct"/>
            <w:gridSpan w:val="2"/>
            <w:tcBorders>
              <w:top w:val="single" w:sz="4" w:space="0" w:color="auto"/>
              <w:left w:val="single" w:sz="4" w:space="0" w:color="auto"/>
              <w:right w:val="single" w:sz="4" w:space="0" w:color="auto"/>
            </w:tcBorders>
            <w:shd w:val="clear" w:color="auto" w:fill="A8D08D" w:themeFill="accent6" w:themeFillTint="99"/>
          </w:tcPr>
          <w:p w14:paraId="37F52A2D" w14:textId="7464B3BC" w:rsidR="00456CBA" w:rsidRPr="00BF0490" w:rsidRDefault="00456CBA" w:rsidP="00CF50EC">
            <w:pPr>
              <w:jc w:val="left"/>
              <w:rPr>
                <w:rFonts w:cs="Arial"/>
                <w:color w:val="auto"/>
                <w:sz w:val="19"/>
                <w:szCs w:val="19"/>
              </w:rPr>
            </w:pPr>
            <w:r>
              <w:rPr>
                <w:rFonts w:cs="Arial"/>
                <w:color w:val="auto"/>
                <w:sz w:val="19"/>
                <w:szCs w:val="19"/>
              </w:rPr>
              <w:t>6</w:t>
            </w:r>
          </w:p>
        </w:tc>
        <w:tc>
          <w:tcPr>
            <w:tcW w:w="1002" w:type="pct"/>
            <w:gridSpan w:val="2"/>
            <w:tcBorders>
              <w:top w:val="single" w:sz="4" w:space="0" w:color="auto"/>
              <w:left w:val="single" w:sz="4" w:space="0" w:color="auto"/>
              <w:right w:val="single" w:sz="4" w:space="0" w:color="auto"/>
            </w:tcBorders>
            <w:shd w:val="clear" w:color="auto" w:fill="E2EFD9" w:themeFill="accent6" w:themeFillTint="33"/>
          </w:tcPr>
          <w:p w14:paraId="535FDA09" w14:textId="60C88876" w:rsidR="00456CBA" w:rsidRPr="00BF0490" w:rsidRDefault="00456CBA" w:rsidP="00CF50EC">
            <w:pPr>
              <w:jc w:val="left"/>
              <w:rPr>
                <w:rFonts w:cs="Arial"/>
                <w:color w:val="auto"/>
                <w:sz w:val="19"/>
                <w:szCs w:val="19"/>
              </w:rPr>
            </w:pPr>
            <w:r>
              <w:rPr>
                <w:rFonts w:cs="Arial"/>
                <w:color w:val="auto"/>
                <w:sz w:val="19"/>
                <w:szCs w:val="19"/>
              </w:rPr>
              <w:t>4</w:t>
            </w:r>
          </w:p>
        </w:tc>
      </w:tr>
      <w:tr w:rsidR="00456CBA" w:rsidRPr="00BF0490" w14:paraId="131D114D" w14:textId="77777777" w:rsidTr="00DE73A8">
        <w:trPr>
          <w:cantSplit/>
          <w:trHeight w:val="2064"/>
        </w:trPr>
        <w:tc>
          <w:tcPr>
            <w:tcW w:w="1109" w:type="pct"/>
            <w:vMerge/>
            <w:tcBorders>
              <w:left w:val="single" w:sz="4" w:space="0" w:color="auto"/>
              <w:bottom w:val="single" w:sz="4" w:space="0" w:color="auto"/>
              <w:right w:val="single" w:sz="4" w:space="0" w:color="auto"/>
            </w:tcBorders>
          </w:tcPr>
          <w:p w14:paraId="6D6F78C7" w14:textId="77777777" w:rsidR="00456CBA" w:rsidRPr="00BF0490" w:rsidRDefault="00456CBA" w:rsidP="00CF50EC">
            <w:pPr>
              <w:jc w:val="left"/>
              <w:rPr>
                <w:sz w:val="19"/>
                <w:szCs w:val="19"/>
              </w:rPr>
            </w:pPr>
          </w:p>
        </w:tc>
        <w:tc>
          <w:tcPr>
            <w:tcW w:w="3891" w:type="pct"/>
            <w:gridSpan w:val="13"/>
            <w:tcBorders>
              <w:top w:val="single" w:sz="4" w:space="0" w:color="auto"/>
              <w:left w:val="single" w:sz="4" w:space="0" w:color="auto"/>
              <w:right w:val="single" w:sz="4" w:space="0" w:color="auto"/>
            </w:tcBorders>
            <w:shd w:val="clear" w:color="auto" w:fill="E2EFD9" w:themeFill="accent6" w:themeFillTint="33"/>
          </w:tcPr>
          <w:p w14:paraId="68795E21" w14:textId="002DCA9C" w:rsidR="00456CBA" w:rsidRPr="00BF0490" w:rsidRDefault="00AC5D37" w:rsidP="00CF50EC">
            <w:pPr>
              <w:rPr>
                <w:sz w:val="19"/>
                <w:szCs w:val="19"/>
              </w:rPr>
            </w:pPr>
            <w:r w:rsidRPr="00BF0490">
              <w:rPr>
                <w:sz w:val="19"/>
                <w:szCs w:val="19"/>
              </w:rPr>
              <w:t>Bacterial respiration (BCR), a measure of decomposition, is directly related to DOC concentrations. Modelling of the influence of flows on BCR assumed that for any given day</w:t>
            </w:r>
            <w:r w:rsidR="00AD5417">
              <w:rPr>
                <w:sz w:val="19"/>
                <w:szCs w:val="19"/>
              </w:rPr>
              <w:t>,</w:t>
            </w:r>
            <w:r w:rsidRPr="00BF0490">
              <w:rPr>
                <w:sz w:val="19"/>
                <w:szCs w:val="19"/>
              </w:rPr>
              <w:t xml:space="preserve"> DOC concentrations were the same with and without eWater. </w:t>
            </w:r>
            <w:r>
              <w:rPr>
                <w:sz w:val="19"/>
                <w:szCs w:val="19"/>
              </w:rPr>
              <w:t>Percentage</w:t>
            </w:r>
            <w:r w:rsidRPr="00BF0490">
              <w:rPr>
                <w:sz w:val="19"/>
                <w:szCs w:val="19"/>
              </w:rPr>
              <w:t xml:space="preserve"> changes in river </w:t>
            </w:r>
            <w:r>
              <w:rPr>
                <w:sz w:val="19"/>
                <w:szCs w:val="19"/>
              </w:rPr>
              <w:t>cross-sectional</w:t>
            </w:r>
            <w:r w:rsidRPr="00BF0490">
              <w:rPr>
                <w:sz w:val="19"/>
                <w:szCs w:val="19"/>
              </w:rPr>
              <w:t xml:space="preserve"> BCR due to the addition of CEW at Lock 6 were small due to the constant water level maintained by the weirs. A substantial contribution was considered an increase in cross-sectional BCR of 20% or greater, moderate 11</w:t>
            </w:r>
            <w:r>
              <w:rPr>
                <w:sz w:val="19"/>
                <w:szCs w:val="19"/>
              </w:rPr>
              <w:t>–</w:t>
            </w:r>
            <w:r w:rsidRPr="00BF0490">
              <w:rPr>
                <w:sz w:val="19"/>
                <w:szCs w:val="19"/>
              </w:rPr>
              <w:t>19%, minor 5</w:t>
            </w:r>
            <w:r>
              <w:rPr>
                <w:sz w:val="19"/>
                <w:szCs w:val="19"/>
              </w:rPr>
              <w:t>–</w:t>
            </w:r>
            <w:r w:rsidRPr="00BF0490">
              <w:rPr>
                <w:sz w:val="19"/>
                <w:szCs w:val="19"/>
              </w:rPr>
              <w:t>10%, negligible &lt;5%.</w:t>
            </w:r>
          </w:p>
        </w:tc>
      </w:tr>
    </w:tbl>
    <w:p w14:paraId="5DA81008" w14:textId="77777777" w:rsidR="00456CBA" w:rsidRDefault="00456CBA" w:rsidP="00456CBA">
      <w:pPr>
        <w:spacing w:before="0" w:after="0" w:line="240" w:lineRule="auto"/>
        <w:jc w:val="left"/>
        <w:rPr>
          <w:color w:val="auto"/>
          <w:kern w:val="0"/>
          <w:sz w:val="19"/>
          <w:szCs w:val="19"/>
          <w:lang w:val="en-US" w:bidi="en-US"/>
        </w:rPr>
      </w:pPr>
    </w:p>
    <w:p w14:paraId="137BFE64" w14:textId="77777777" w:rsidR="00456CBA" w:rsidRPr="00BF0490" w:rsidRDefault="00456CBA" w:rsidP="00456CBA">
      <w:pPr>
        <w:spacing w:before="0" w:after="0" w:line="240" w:lineRule="auto"/>
        <w:jc w:val="left"/>
        <w:rPr>
          <w:color w:val="auto"/>
          <w:kern w:val="0"/>
          <w:sz w:val="19"/>
          <w:szCs w:val="19"/>
          <w:lang w:val="en-US" w:bidi="en-US"/>
        </w:rPr>
      </w:pPr>
      <w:r w:rsidRPr="00BF0490">
        <w:rPr>
          <w:color w:val="auto"/>
          <w:kern w:val="0"/>
          <w:sz w:val="19"/>
          <w:szCs w:val="19"/>
          <w:lang w:val="en-US" w:bidi="en-US"/>
        </w:rPr>
        <w:t>Contribution (to what extent CEW contributed towards the outcome, with the significance of the outcome considered):</w:t>
      </w:r>
    </w:p>
    <w:tbl>
      <w:tblPr>
        <w:tblW w:w="7278" w:type="dxa"/>
        <w:tblLook w:val="04A0" w:firstRow="1" w:lastRow="0" w:firstColumn="1" w:lastColumn="0" w:noHBand="0" w:noVBand="1"/>
      </w:tblPr>
      <w:tblGrid>
        <w:gridCol w:w="222"/>
        <w:gridCol w:w="1066"/>
        <w:gridCol w:w="222"/>
        <w:gridCol w:w="1069"/>
        <w:gridCol w:w="222"/>
        <w:gridCol w:w="1704"/>
        <w:gridCol w:w="222"/>
        <w:gridCol w:w="727"/>
        <w:gridCol w:w="222"/>
        <w:gridCol w:w="1144"/>
        <w:gridCol w:w="222"/>
        <w:gridCol w:w="1210"/>
      </w:tblGrid>
      <w:tr w:rsidR="00456CBA" w:rsidRPr="00BF0490" w14:paraId="08A12441" w14:textId="77777777" w:rsidTr="00CF50EC">
        <w:tc>
          <w:tcPr>
            <w:tcW w:w="222" w:type="dxa"/>
            <w:shd w:val="clear" w:color="auto" w:fill="D9D9D9" w:themeFill="background1" w:themeFillShade="D9"/>
          </w:tcPr>
          <w:p w14:paraId="16DB02FE" w14:textId="77777777" w:rsidR="00456CBA" w:rsidRPr="00BF0490" w:rsidRDefault="00456CBA" w:rsidP="00CF50EC">
            <w:pPr>
              <w:contextualSpacing/>
              <w:rPr>
                <w:sz w:val="19"/>
                <w:szCs w:val="19"/>
              </w:rPr>
            </w:pPr>
          </w:p>
        </w:tc>
        <w:tc>
          <w:tcPr>
            <w:tcW w:w="1066" w:type="dxa"/>
            <w:vAlign w:val="center"/>
          </w:tcPr>
          <w:p w14:paraId="6B0E9ABE" w14:textId="77777777" w:rsidR="00456CBA" w:rsidRPr="00BF0490" w:rsidRDefault="00456CBA" w:rsidP="00CF50EC">
            <w:pPr>
              <w:contextualSpacing/>
              <w:rPr>
                <w:sz w:val="19"/>
                <w:szCs w:val="19"/>
              </w:rPr>
            </w:pPr>
            <w:r w:rsidRPr="00BF0490">
              <w:rPr>
                <w:sz w:val="19"/>
                <w:szCs w:val="19"/>
              </w:rPr>
              <w:t>Unknown</w:t>
            </w:r>
          </w:p>
        </w:tc>
        <w:tc>
          <w:tcPr>
            <w:tcW w:w="222" w:type="dxa"/>
            <w:shd w:val="clear" w:color="auto" w:fill="FF0000"/>
            <w:vAlign w:val="center"/>
          </w:tcPr>
          <w:p w14:paraId="2A536E60" w14:textId="77777777" w:rsidR="00456CBA" w:rsidRPr="00BF0490" w:rsidRDefault="00456CBA" w:rsidP="00CF50EC">
            <w:pPr>
              <w:contextualSpacing/>
              <w:rPr>
                <w:sz w:val="19"/>
                <w:szCs w:val="19"/>
              </w:rPr>
            </w:pPr>
          </w:p>
        </w:tc>
        <w:tc>
          <w:tcPr>
            <w:tcW w:w="1069" w:type="dxa"/>
            <w:vAlign w:val="center"/>
          </w:tcPr>
          <w:p w14:paraId="5DBE1C62" w14:textId="77777777" w:rsidR="00456CBA" w:rsidRPr="00BF0490" w:rsidRDefault="00456CBA" w:rsidP="00CF50EC">
            <w:pPr>
              <w:contextualSpacing/>
              <w:rPr>
                <w:sz w:val="19"/>
                <w:szCs w:val="19"/>
              </w:rPr>
            </w:pPr>
            <w:r w:rsidRPr="00BF0490">
              <w:rPr>
                <w:sz w:val="19"/>
                <w:szCs w:val="19"/>
              </w:rPr>
              <w:t>Negative</w:t>
            </w:r>
          </w:p>
        </w:tc>
        <w:tc>
          <w:tcPr>
            <w:tcW w:w="222" w:type="dxa"/>
            <w:shd w:val="clear" w:color="auto" w:fill="E2EFD9" w:themeFill="accent6" w:themeFillTint="33"/>
            <w:vAlign w:val="center"/>
          </w:tcPr>
          <w:p w14:paraId="6153CEB1" w14:textId="77777777" w:rsidR="00456CBA" w:rsidRPr="00BF0490" w:rsidRDefault="00456CBA" w:rsidP="00CF50EC">
            <w:pPr>
              <w:contextualSpacing/>
              <w:rPr>
                <w:sz w:val="19"/>
                <w:szCs w:val="19"/>
              </w:rPr>
            </w:pPr>
          </w:p>
        </w:tc>
        <w:tc>
          <w:tcPr>
            <w:tcW w:w="1704" w:type="dxa"/>
            <w:vAlign w:val="center"/>
          </w:tcPr>
          <w:p w14:paraId="672D3623" w14:textId="77777777" w:rsidR="00456CBA" w:rsidRPr="00BF0490" w:rsidRDefault="00456CBA" w:rsidP="00CF50EC">
            <w:pPr>
              <w:contextualSpacing/>
              <w:rPr>
                <w:sz w:val="19"/>
                <w:szCs w:val="19"/>
              </w:rPr>
            </w:pPr>
            <w:r w:rsidRPr="00BF0490">
              <w:rPr>
                <w:sz w:val="19"/>
                <w:szCs w:val="19"/>
              </w:rPr>
              <w:t>None/negligible</w:t>
            </w:r>
          </w:p>
        </w:tc>
        <w:tc>
          <w:tcPr>
            <w:tcW w:w="222" w:type="dxa"/>
            <w:shd w:val="clear" w:color="auto" w:fill="A8D08D" w:themeFill="accent6" w:themeFillTint="99"/>
            <w:vAlign w:val="center"/>
          </w:tcPr>
          <w:p w14:paraId="4C82D4C0" w14:textId="77777777" w:rsidR="00456CBA" w:rsidRPr="00BF0490" w:rsidRDefault="00456CBA" w:rsidP="00CF50EC">
            <w:pPr>
              <w:contextualSpacing/>
              <w:rPr>
                <w:sz w:val="19"/>
                <w:szCs w:val="19"/>
              </w:rPr>
            </w:pPr>
          </w:p>
        </w:tc>
        <w:tc>
          <w:tcPr>
            <w:tcW w:w="727" w:type="dxa"/>
            <w:vAlign w:val="center"/>
          </w:tcPr>
          <w:p w14:paraId="5228A323" w14:textId="77777777" w:rsidR="00456CBA" w:rsidRPr="00BF0490" w:rsidRDefault="00456CBA" w:rsidP="00CF50EC">
            <w:pPr>
              <w:contextualSpacing/>
              <w:rPr>
                <w:sz w:val="19"/>
                <w:szCs w:val="19"/>
              </w:rPr>
            </w:pPr>
            <w:r w:rsidRPr="00BF0490">
              <w:rPr>
                <w:sz w:val="19"/>
                <w:szCs w:val="19"/>
              </w:rPr>
              <w:t>Minor</w:t>
            </w:r>
          </w:p>
        </w:tc>
        <w:tc>
          <w:tcPr>
            <w:tcW w:w="222" w:type="dxa"/>
            <w:shd w:val="clear" w:color="auto" w:fill="70AD47" w:themeFill="accent6"/>
            <w:vAlign w:val="center"/>
          </w:tcPr>
          <w:p w14:paraId="7C076A4D" w14:textId="77777777" w:rsidR="00456CBA" w:rsidRPr="00BF0490" w:rsidRDefault="00456CBA" w:rsidP="00CF50EC">
            <w:pPr>
              <w:contextualSpacing/>
              <w:rPr>
                <w:sz w:val="19"/>
                <w:szCs w:val="19"/>
              </w:rPr>
            </w:pPr>
          </w:p>
        </w:tc>
        <w:tc>
          <w:tcPr>
            <w:tcW w:w="1144" w:type="dxa"/>
            <w:vAlign w:val="center"/>
          </w:tcPr>
          <w:p w14:paraId="4385FE17" w14:textId="77777777" w:rsidR="00456CBA" w:rsidRPr="00BF0490" w:rsidRDefault="00456CBA" w:rsidP="00CF50EC">
            <w:pPr>
              <w:contextualSpacing/>
              <w:rPr>
                <w:sz w:val="19"/>
                <w:szCs w:val="19"/>
              </w:rPr>
            </w:pPr>
            <w:r w:rsidRPr="00BF0490">
              <w:rPr>
                <w:sz w:val="19"/>
                <w:szCs w:val="19"/>
              </w:rPr>
              <w:t>Moderate</w:t>
            </w:r>
          </w:p>
        </w:tc>
        <w:tc>
          <w:tcPr>
            <w:tcW w:w="222" w:type="dxa"/>
            <w:shd w:val="clear" w:color="auto" w:fill="5B9BD5" w:themeFill="accent1"/>
          </w:tcPr>
          <w:p w14:paraId="06718469" w14:textId="77777777" w:rsidR="00456CBA" w:rsidRPr="00BF0490" w:rsidRDefault="00456CBA" w:rsidP="00CF50EC">
            <w:pPr>
              <w:contextualSpacing/>
              <w:rPr>
                <w:sz w:val="19"/>
                <w:szCs w:val="19"/>
              </w:rPr>
            </w:pPr>
          </w:p>
        </w:tc>
        <w:tc>
          <w:tcPr>
            <w:tcW w:w="236" w:type="dxa"/>
            <w:vAlign w:val="center"/>
          </w:tcPr>
          <w:p w14:paraId="4BF171A2" w14:textId="77777777" w:rsidR="00456CBA" w:rsidRPr="00BF0490" w:rsidRDefault="00456CBA" w:rsidP="00CF50EC">
            <w:pPr>
              <w:contextualSpacing/>
              <w:jc w:val="left"/>
              <w:rPr>
                <w:sz w:val="19"/>
                <w:szCs w:val="19"/>
              </w:rPr>
            </w:pPr>
            <w:r w:rsidRPr="00BF0490">
              <w:rPr>
                <w:sz w:val="19"/>
                <w:szCs w:val="19"/>
              </w:rPr>
              <w:t>Substantial</w:t>
            </w:r>
          </w:p>
        </w:tc>
      </w:tr>
    </w:tbl>
    <w:p w14:paraId="4EDAFC1E" w14:textId="77777777" w:rsidR="00D33BD7" w:rsidRDefault="00D33BD7" w:rsidP="00D33BD7"/>
    <w:p w14:paraId="28F88145" w14:textId="0FB5DC8E" w:rsidR="00456CBA" w:rsidRDefault="00D33BD7" w:rsidP="00D33BD7">
      <w:pPr>
        <w:pStyle w:val="Heading3"/>
      </w:pPr>
      <w:r>
        <w:t>Discussion</w:t>
      </w:r>
    </w:p>
    <w:p w14:paraId="6083FB9F" w14:textId="79257FEB" w:rsidR="00456CBA" w:rsidRDefault="00456CBA" w:rsidP="00456CBA">
      <w:pPr>
        <w:rPr>
          <w:lang w:val="en-US"/>
        </w:rPr>
      </w:pPr>
      <w:r w:rsidRPr="0058711E">
        <w:t xml:space="preserve">The dissolved oxygen </w:t>
      </w:r>
      <w:r>
        <w:t xml:space="preserve">(DO) </w:t>
      </w:r>
      <w:r w:rsidR="00EC715A" w:rsidRPr="0058711E">
        <w:t>concentration</w:t>
      </w:r>
      <w:r w:rsidR="00EC715A">
        <w:t xml:space="preserve"> </w:t>
      </w:r>
      <w:r w:rsidR="00EC715A" w:rsidRPr="0058711E">
        <w:t>is influenced by flow, especially in low flow areas such as weir pools</w:t>
      </w:r>
      <w:r w:rsidR="00EC715A">
        <w:t xml:space="preserve"> of the LMR, where surface oxygen exchange is reduced</w:t>
      </w:r>
      <w:r w:rsidR="00EC715A" w:rsidRPr="0058711E">
        <w:t xml:space="preserve">. </w:t>
      </w:r>
      <w:r w:rsidR="00EC715A">
        <w:t>I</w:t>
      </w:r>
      <w:r w:rsidR="00EC715A" w:rsidRPr="0058711E">
        <w:t xml:space="preserve">ncreased flows </w:t>
      </w:r>
      <w:r w:rsidR="00EC715A">
        <w:t>due to</w:t>
      </w:r>
      <w:r w:rsidR="00EC715A" w:rsidRPr="0058711E">
        <w:t xml:space="preserve"> environmental water can improve the DO conditions in </w:t>
      </w:r>
      <w:r w:rsidR="00EC715A">
        <w:t>low flow reaches</w:t>
      </w:r>
      <w:r w:rsidR="00EC715A" w:rsidRPr="0058711E">
        <w:t xml:space="preserve"> </w:t>
      </w:r>
      <w:r w:rsidR="00EC715A">
        <w:t xml:space="preserve">by </w:t>
      </w:r>
      <w:r w:rsidR="00EC715A" w:rsidRPr="0058711E">
        <w:t>increas</w:t>
      </w:r>
      <w:r w:rsidR="00EC715A">
        <w:t>ing</w:t>
      </w:r>
      <w:r w:rsidR="00EC715A" w:rsidRPr="0058711E">
        <w:t xml:space="preserve"> mixing </w:t>
      </w:r>
      <w:r w:rsidR="00EC715A">
        <w:t>and</w:t>
      </w:r>
      <w:r w:rsidR="00EC715A" w:rsidRPr="0058711E">
        <w:t xml:space="preserve"> enhanc</w:t>
      </w:r>
      <w:r w:rsidR="00EC715A">
        <w:t>ing</w:t>
      </w:r>
      <w:r w:rsidR="00EC715A" w:rsidRPr="0058711E">
        <w:t xml:space="preserve"> oxygen exchange at the surface</w:t>
      </w:r>
      <w:r w:rsidR="00EC715A" w:rsidRPr="00897714">
        <w:t xml:space="preserve">. </w:t>
      </w:r>
      <w:r w:rsidR="00EC715A">
        <w:t>The gas exchange coefficient is close to zero below 0.18 m/s and increases at higher velocities which helps</w:t>
      </w:r>
      <w:r w:rsidR="00EC715A" w:rsidRPr="00897714">
        <w:t xml:space="preserve"> minimise DO depletion</w:t>
      </w:r>
      <w:r w:rsidR="00EC715A">
        <w:t>. The e</w:t>
      </w:r>
      <w:r w:rsidR="008012E8">
        <w:t>nvironmental water</w:t>
      </w:r>
      <w:r w:rsidR="00EC715A">
        <w:t xml:space="preserve"> contributions to improving gas exchange conditions were assessed from the additional days that they increased velocities above 0.18 m/s. </w:t>
      </w:r>
      <w:r w:rsidR="00FB258E">
        <w:rPr>
          <w:lang w:val="en-US"/>
        </w:rPr>
        <w:t>DO</w:t>
      </w:r>
      <w:r>
        <w:rPr>
          <w:lang w:val="en-US"/>
        </w:rPr>
        <w:t xml:space="preserve"> concentrations remained at saturation levels through</w:t>
      </w:r>
      <w:r w:rsidR="003973DF">
        <w:rPr>
          <w:lang w:val="en-US"/>
        </w:rPr>
        <w:t>out</w:t>
      </w:r>
      <w:r>
        <w:rPr>
          <w:lang w:val="en-US"/>
        </w:rPr>
        <w:t xml:space="preserve"> the 2019-20 monitoring period, despite periods of low flows, indicating low heterotrophic respiration rates. This aligned with the low DOC concentrations throughout the period. Environmental water delivery contributed to </w:t>
      </w:r>
      <w:r w:rsidR="0014354C">
        <w:rPr>
          <w:lang w:val="en-US"/>
        </w:rPr>
        <w:t xml:space="preserve">the maintenance of </w:t>
      </w:r>
      <w:r w:rsidR="00AA502E">
        <w:rPr>
          <w:lang w:val="en-US"/>
        </w:rPr>
        <w:t xml:space="preserve">DO concentrations by helping to </w:t>
      </w:r>
      <w:r w:rsidR="00FB258E">
        <w:rPr>
          <w:lang w:val="en-US"/>
        </w:rPr>
        <w:t>sustain</w:t>
      </w:r>
      <w:r w:rsidR="00EC715A">
        <w:rPr>
          <w:lang w:val="en-US"/>
        </w:rPr>
        <w:t xml:space="preserve"> the surface gas exchange for 30–40 days longer than otherwise would have occurred.</w:t>
      </w:r>
      <w:r w:rsidR="00EC715A" w:rsidRPr="00300080">
        <w:t xml:space="preserve"> </w:t>
      </w:r>
      <w:r w:rsidR="00EC715A">
        <w:t xml:space="preserve">These </w:t>
      </w:r>
      <w:r w:rsidR="00AA502E">
        <w:t xml:space="preserve">are substantial contributions to improving gas exchange, helping to avoid potential DO water quality impacts and the associated potential for fish </w:t>
      </w:r>
      <w:r w:rsidR="00EC715A">
        <w:t>kills. The periods of influence of these flows are depicted by the 0.2 m/s average velocity timeline for each weir pool (</w:t>
      </w:r>
      <w:r w:rsidR="008012E8">
        <w:fldChar w:fldCharType="begin"/>
      </w:r>
      <w:r w:rsidR="008012E8">
        <w:instrText xml:space="preserve"> REF _Ref22545136 \h </w:instrText>
      </w:r>
      <w:r w:rsidR="008012E8">
        <w:fldChar w:fldCharType="separate"/>
      </w:r>
      <w:r w:rsidR="00CF2251">
        <w:t xml:space="preserve">Figure </w:t>
      </w:r>
      <w:r w:rsidR="00CF2251">
        <w:rPr>
          <w:noProof/>
        </w:rPr>
        <w:t>7</w:t>
      </w:r>
      <w:r w:rsidR="008012E8">
        <w:fldChar w:fldCharType="end"/>
      </w:r>
      <w:r w:rsidR="00EC715A">
        <w:t>) and averaged over the whole river length between Lock 1 and Lock 6 (</w:t>
      </w:r>
      <w:r w:rsidR="008012E8">
        <w:fldChar w:fldCharType="begin"/>
      </w:r>
      <w:r w:rsidR="008012E8">
        <w:instrText xml:space="preserve"> REF _Ref22545004 \h </w:instrText>
      </w:r>
      <w:r w:rsidR="008012E8">
        <w:fldChar w:fldCharType="separate"/>
      </w:r>
      <w:r w:rsidR="00CF2251">
        <w:t xml:space="preserve">Figure </w:t>
      </w:r>
      <w:r w:rsidR="00CF2251">
        <w:rPr>
          <w:noProof/>
        </w:rPr>
        <w:t>6</w:t>
      </w:r>
      <w:r w:rsidR="008012E8">
        <w:fldChar w:fldCharType="end"/>
      </w:r>
      <w:r w:rsidR="00EC715A">
        <w:t>), for each of the different flow scenarios.</w:t>
      </w:r>
    </w:p>
    <w:p w14:paraId="4258EE82" w14:textId="398ABB33" w:rsidR="00456CBA" w:rsidRDefault="00456CBA" w:rsidP="00456CBA">
      <w:pPr>
        <w:rPr>
          <w:lang w:val="en-US"/>
        </w:rPr>
      </w:pPr>
      <w:r>
        <w:rPr>
          <w:lang w:val="en-US"/>
        </w:rPr>
        <w:t>T</w:t>
      </w:r>
      <w:r w:rsidRPr="0058711E">
        <w:rPr>
          <w:lang w:val="en-US"/>
        </w:rPr>
        <w:t xml:space="preserve">he linear correlation between GPP(b), the gross primary production per unit of phytoplankton biomass, and the mean irradiance </w:t>
      </w:r>
      <w:r>
        <w:rPr>
          <w:lang w:val="en-US"/>
        </w:rPr>
        <w:t>(</w:t>
      </w:r>
      <w:proofErr w:type="spellStart"/>
      <w:r w:rsidRPr="0058711E">
        <w:rPr>
          <w:lang w:val="en-US"/>
        </w:rPr>
        <w:t>Im</w:t>
      </w:r>
      <w:proofErr w:type="spellEnd"/>
      <w:r w:rsidRPr="0058711E">
        <w:rPr>
          <w:lang w:val="en-US"/>
        </w:rPr>
        <w:t xml:space="preserve">) </w:t>
      </w:r>
      <w:r>
        <w:rPr>
          <w:lang w:val="en-US"/>
        </w:rPr>
        <w:t>wa</w:t>
      </w:r>
      <w:r w:rsidRPr="0058711E">
        <w:rPr>
          <w:lang w:val="en-US"/>
        </w:rPr>
        <w:t>s comparable with those previously reported for the Murray River</w:t>
      </w:r>
      <w:r w:rsidRPr="0058711E">
        <w:t xml:space="preserve"> (Oliver and Merrick 2006; Oliver and Lorenz 2010</w:t>
      </w:r>
      <w:r>
        <w:t xml:space="preserve">; Ye </w:t>
      </w:r>
      <w:r w:rsidRPr="009D6230">
        <w:rPr>
          <w:i/>
          <w:iCs/>
        </w:rPr>
        <w:t>et al.</w:t>
      </w:r>
      <w:r>
        <w:t xml:space="preserve"> 2020</w:t>
      </w:r>
      <w:r w:rsidRPr="0058711E">
        <w:t>)</w:t>
      </w:r>
      <w:r w:rsidRPr="0058711E">
        <w:rPr>
          <w:lang w:val="en-US"/>
        </w:rPr>
        <w:t xml:space="preserve">. </w:t>
      </w:r>
      <w:r>
        <w:rPr>
          <w:lang w:val="en-US"/>
        </w:rPr>
        <w:t>T</w:t>
      </w:r>
      <w:r w:rsidRPr="0058711E">
        <w:rPr>
          <w:lang w:val="en-US"/>
        </w:rPr>
        <w:t>his relationship</w:t>
      </w:r>
      <w:r>
        <w:rPr>
          <w:lang w:val="en-US"/>
        </w:rPr>
        <w:t xml:space="preserve">, in conjunction with measurements of channel morphometry, enabled estimation of volumetric and cross-sectional rates of </w:t>
      </w:r>
      <w:r w:rsidRPr="0058711E">
        <w:rPr>
          <w:lang w:val="en-US"/>
        </w:rPr>
        <w:t xml:space="preserve">GPP(b) </w:t>
      </w:r>
      <w:r>
        <w:rPr>
          <w:lang w:val="en-US"/>
        </w:rPr>
        <w:t>and GPP with and without environmental water</w:t>
      </w:r>
      <w:r w:rsidRPr="0058711E">
        <w:rPr>
          <w:lang w:val="en-US"/>
        </w:rPr>
        <w:t>.</w:t>
      </w:r>
      <w:r>
        <w:rPr>
          <w:lang w:val="en-US"/>
        </w:rPr>
        <w:t xml:space="preserve"> </w:t>
      </w:r>
      <w:r w:rsidR="009D6230">
        <w:rPr>
          <w:lang w:val="en-US"/>
        </w:rPr>
        <w:t xml:space="preserve">Water quality was considered the same across the flow regimes as it was not possible to determine independently the water quality of flows without environmental water. In part this was because the water source composition of the modelled flows, without Commonwealth environmental water and without environmental water </w:t>
      </w:r>
      <w:r w:rsidR="00EC715A">
        <w:rPr>
          <w:lang w:val="en-US"/>
        </w:rPr>
        <w:t>are</w:t>
      </w:r>
      <w:r w:rsidR="009D6230">
        <w:rPr>
          <w:lang w:val="en-US"/>
        </w:rPr>
        <w:t xml:space="preserve"> unknown. However, even</w:t>
      </w:r>
      <w:r w:rsidR="009D6230">
        <w:t xml:space="preserve"> if the composition of the counterfactual flows could be determined it would still be difficult to predict their water quality as reliable models are not available.</w:t>
      </w:r>
    </w:p>
    <w:p w14:paraId="68C2D2B5" w14:textId="0F1620CD" w:rsidR="00456CBA" w:rsidRDefault="00456CBA" w:rsidP="00456CBA">
      <w:pPr>
        <w:rPr>
          <w:lang w:val="en-US"/>
        </w:rPr>
      </w:pPr>
      <w:r>
        <w:t>T</w:t>
      </w:r>
      <w:r w:rsidRPr="0058711E">
        <w:t xml:space="preserve">he </w:t>
      </w:r>
      <w:r>
        <w:t>effects</w:t>
      </w:r>
      <w:r w:rsidRPr="0058711E">
        <w:t xml:space="preserve"> of </w:t>
      </w:r>
      <w:r>
        <w:t xml:space="preserve">environmental flows </w:t>
      </w:r>
      <w:r w:rsidRPr="0058711E">
        <w:t xml:space="preserve">on </w:t>
      </w:r>
      <w:r>
        <w:t xml:space="preserve">volumetric and cross-sectional GPP(b) and </w:t>
      </w:r>
      <w:r w:rsidRPr="0058711E">
        <w:t>GPP w</w:t>
      </w:r>
      <w:r>
        <w:t>ere</w:t>
      </w:r>
      <w:r w:rsidRPr="0058711E">
        <w:t xml:space="preserve"> small</w:t>
      </w:r>
      <w:r>
        <w:t>, only a few percent,</w:t>
      </w:r>
      <w:r w:rsidRPr="0058711E">
        <w:t xml:space="preserve"> due to the weirs maintain</w:t>
      </w:r>
      <w:r>
        <w:t>ing</w:t>
      </w:r>
      <w:r w:rsidRPr="0058711E">
        <w:t xml:space="preserve"> relatively constant water levels</w:t>
      </w:r>
      <w:r>
        <w:t>.</w:t>
      </w:r>
      <w:r w:rsidRPr="0058711E">
        <w:t xml:space="preserve"> </w:t>
      </w:r>
      <w:r>
        <w:t>Previously the influence of flow on metabolism at a river site</w:t>
      </w:r>
      <w:r w:rsidR="001B3F76">
        <w:t xml:space="preserve"> </w:t>
      </w:r>
      <w:r w:rsidR="00FB258E">
        <w:t>un</w:t>
      </w:r>
      <w:r w:rsidR="001B3F76">
        <w:t>regulated by</w:t>
      </w:r>
      <w:r>
        <w:t xml:space="preserve"> weirs was estimated and showed significant increases in the cross-sectional production of up to 30% or more as flows increased (Ye </w:t>
      </w:r>
      <w:r w:rsidRPr="009D6230">
        <w:rPr>
          <w:i/>
          <w:iCs/>
        </w:rPr>
        <w:t xml:space="preserve">et al. </w:t>
      </w:r>
      <w:r>
        <w:t>2020). Conversely, although a reduction in depth reduced the cross-sectional rate of GPP, it increased the volumetric rate by almost 20% in the modelled reach. It is evident that the weirs have a major effect on metabolism because of their disruption of the relationships between flow, water level and cross-sectional area. A fundamental question relates to the relevance of this disruption to the functioning of food webs and whether the impacts are detrimental. Analyses are continuing to address this question.</w:t>
      </w:r>
    </w:p>
    <w:p w14:paraId="151A4FA9" w14:textId="7A2FFAD4" w:rsidR="00456CBA" w:rsidRDefault="00456CBA" w:rsidP="00456CBA">
      <w:pPr>
        <w:rPr>
          <w:lang w:val="en-US"/>
        </w:rPr>
      </w:pPr>
      <w:r>
        <w:t>In addition to photosynthetic production, the food web is also supported b</w:t>
      </w:r>
      <w:r w:rsidRPr="0058711E">
        <w:t xml:space="preserve">y the supply of </w:t>
      </w:r>
      <w:r>
        <w:t xml:space="preserve">heterotrophic production through DOC utilisation. </w:t>
      </w:r>
      <w:r w:rsidRPr="0058711E">
        <w:t xml:space="preserve">Rates of </w:t>
      </w:r>
      <w:r>
        <w:t>E</w:t>
      </w:r>
      <w:r w:rsidRPr="0058711E">
        <w:t>R were partitioned into respiration by phytoplankton (PCR) and by</w:t>
      </w:r>
      <w:r>
        <w:t xml:space="preserve"> the heterotrophic</w:t>
      </w:r>
      <w:r w:rsidRPr="0058711E">
        <w:t xml:space="preserve"> bacteria (BCR)</w:t>
      </w:r>
      <w:r>
        <w:t>,</w:t>
      </w:r>
      <w:r w:rsidRPr="0058711E">
        <w:t xml:space="preserve"> and this enabled individual estimates of their net production. </w:t>
      </w:r>
      <w:r>
        <w:rPr>
          <w:lang w:val="en-US"/>
        </w:rPr>
        <w:t>Throughout</w:t>
      </w:r>
      <w:r w:rsidRPr="0058711E">
        <w:rPr>
          <w:lang w:val="en-US"/>
        </w:rPr>
        <w:t xml:space="preserve"> most </w:t>
      </w:r>
      <w:r>
        <w:rPr>
          <w:lang w:val="en-US"/>
        </w:rPr>
        <w:t xml:space="preserve">of the </w:t>
      </w:r>
      <w:r w:rsidRPr="0058711E">
        <w:rPr>
          <w:lang w:val="en-US"/>
        </w:rPr>
        <w:t>monitoring period</w:t>
      </w:r>
      <w:r>
        <w:rPr>
          <w:lang w:val="en-US"/>
        </w:rPr>
        <w:t>,</w:t>
      </w:r>
      <w:r w:rsidRPr="0058711E">
        <w:rPr>
          <w:lang w:val="en-US"/>
        </w:rPr>
        <w:t xml:space="preserve"> the bacterial contribution to </w:t>
      </w:r>
      <w:r>
        <w:rPr>
          <w:lang w:val="en-US"/>
        </w:rPr>
        <w:t>E</w:t>
      </w:r>
      <w:r w:rsidRPr="0058711E">
        <w:rPr>
          <w:lang w:val="en-US"/>
        </w:rPr>
        <w:t xml:space="preserve">R </w:t>
      </w:r>
      <w:r>
        <w:rPr>
          <w:lang w:val="en-US"/>
        </w:rPr>
        <w:t>through decomposition</w:t>
      </w:r>
      <w:r w:rsidRPr="0058711E">
        <w:rPr>
          <w:lang w:val="en-US"/>
        </w:rPr>
        <w:t xml:space="preserve"> was </w:t>
      </w:r>
      <w:r>
        <w:rPr>
          <w:lang w:val="en-US"/>
        </w:rPr>
        <w:t>of similar</w:t>
      </w:r>
      <w:r w:rsidRPr="0058711E">
        <w:rPr>
          <w:lang w:val="en-US"/>
        </w:rPr>
        <w:t xml:space="preserve"> </w:t>
      </w:r>
      <w:r>
        <w:rPr>
          <w:lang w:val="en-US"/>
        </w:rPr>
        <w:t>magnitude but smaller</w:t>
      </w:r>
      <w:r w:rsidRPr="0058711E">
        <w:rPr>
          <w:lang w:val="en-US"/>
        </w:rPr>
        <w:t xml:space="preserve"> </w:t>
      </w:r>
      <w:r>
        <w:rPr>
          <w:lang w:val="en-US"/>
        </w:rPr>
        <w:t xml:space="preserve">than the </w:t>
      </w:r>
      <w:r w:rsidRPr="0058711E">
        <w:rPr>
          <w:lang w:val="en-US"/>
        </w:rPr>
        <w:t>phytoplankton</w:t>
      </w:r>
      <w:r>
        <w:rPr>
          <w:lang w:val="en-US"/>
        </w:rPr>
        <w:t xml:space="preserve"> respiratory</w:t>
      </w:r>
      <w:r w:rsidRPr="0058711E">
        <w:rPr>
          <w:lang w:val="en-US"/>
        </w:rPr>
        <w:t xml:space="preserve"> contribution (PCR). </w:t>
      </w:r>
      <w:r>
        <w:rPr>
          <w:lang w:val="en-US"/>
        </w:rPr>
        <w:t xml:space="preserve">Previously, </w:t>
      </w:r>
      <w:r w:rsidRPr="0058711E">
        <w:rPr>
          <w:lang w:val="en-US"/>
        </w:rPr>
        <w:t xml:space="preserve">during the flood in early 2016-17 </w:t>
      </w:r>
      <w:r>
        <w:rPr>
          <w:lang w:val="en-US"/>
        </w:rPr>
        <w:t>i</w:t>
      </w:r>
      <w:r w:rsidR="00DE73A8">
        <w:rPr>
          <w:lang w:val="en-US"/>
        </w:rPr>
        <w:t>t</w:t>
      </w:r>
      <w:r>
        <w:rPr>
          <w:lang w:val="en-US"/>
        </w:rPr>
        <w:t xml:space="preserve"> was found that </w:t>
      </w:r>
      <w:r w:rsidRPr="0058711E">
        <w:rPr>
          <w:lang w:val="en-US"/>
        </w:rPr>
        <w:t xml:space="preserve">the BCR </w:t>
      </w:r>
      <w:r>
        <w:rPr>
          <w:lang w:val="en-US"/>
        </w:rPr>
        <w:t>could be</w:t>
      </w:r>
      <w:r w:rsidRPr="0058711E">
        <w:rPr>
          <w:lang w:val="en-US"/>
        </w:rPr>
        <w:t xml:space="preserve"> larger than PCR</w:t>
      </w:r>
      <w:r>
        <w:rPr>
          <w:lang w:val="en-US"/>
        </w:rPr>
        <w:t xml:space="preserve"> when DOC was high, as in the flood waters</w:t>
      </w:r>
      <w:r w:rsidRPr="0058711E">
        <w:rPr>
          <w:lang w:val="en-US"/>
        </w:rPr>
        <w:t xml:space="preserve">. </w:t>
      </w:r>
    </w:p>
    <w:p w14:paraId="2D6EBB12" w14:textId="13620D8D" w:rsidR="00456CBA" w:rsidRDefault="00456CBA" w:rsidP="00456CBA">
      <w:r w:rsidRPr="0058711E">
        <w:rPr>
          <w:lang w:val="en-US"/>
        </w:rPr>
        <w:t>The combined net production (CNP) of the</w:t>
      </w:r>
      <w:r>
        <w:rPr>
          <w:lang w:val="en-US"/>
        </w:rPr>
        <w:t xml:space="preserve"> phytoplankton and bacteria estimated</w:t>
      </w:r>
      <w:r w:rsidRPr="0058711E">
        <w:rPr>
          <w:lang w:val="en-US"/>
        </w:rPr>
        <w:t xml:space="preserve"> their supply of organic carbon to the food web</w:t>
      </w:r>
      <w:r>
        <w:rPr>
          <w:lang w:val="en-US"/>
        </w:rPr>
        <w:t xml:space="preserve"> in the 2019-20 period and </w:t>
      </w:r>
      <w:r w:rsidRPr="0058711E">
        <w:rPr>
          <w:lang w:val="en-US"/>
        </w:rPr>
        <w:t>ranged between 0.1</w:t>
      </w:r>
      <w:r>
        <w:rPr>
          <w:lang w:val="en-US"/>
        </w:rPr>
        <w:t>6</w:t>
      </w:r>
      <w:r w:rsidRPr="0058711E">
        <w:rPr>
          <w:lang w:val="en-US"/>
        </w:rPr>
        <w:t xml:space="preserve"> and 0.</w:t>
      </w:r>
      <w:r>
        <w:rPr>
          <w:lang w:val="en-US"/>
        </w:rPr>
        <w:t>52</w:t>
      </w:r>
      <w:r w:rsidRPr="0058711E">
        <w:rPr>
          <w:lang w:val="en-US"/>
        </w:rPr>
        <w:t xml:space="preserve"> </w:t>
      </w:r>
      <w:proofErr w:type="spellStart"/>
      <w:r>
        <w:rPr>
          <w:lang w:val="en-US"/>
        </w:rPr>
        <w:t>m</w:t>
      </w:r>
      <w:r w:rsidRPr="0058711E">
        <w:rPr>
          <w:lang w:val="en-US"/>
        </w:rPr>
        <w:t>gC</w:t>
      </w:r>
      <w:proofErr w:type="spellEnd"/>
      <w:r w:rsidRPr="0058711E">
        <w:rPr>
          <w:lang w:val="en-US"/>
        </w:rPr>
        <w:t>/</w:t>
      </w:r>
      <w:r>
        <w:rPr>
          <w:lang w:val="en-US"/>
        </w:rPr>
        <w:t>L</w:t>
      </w:r>
      <w:r w:rsidRPr="0058711E">
        <w:rPr>
          <w:lang w:val="en-US"/>
        </w:rPr>
        <w:t xml:space="preserve">/day, with </w:t>
      </w:r>
      <w:r>
        <w:rPr>
          <w:lang w:val="en-US"/>
        </w:rPr>
        <w:t>a mean of 0.3 </w:t>
      </w:r>
      <w:proofErr w:type="spellStart"/>
      <w:r>
        <w:rPr>
          <w:lang w:val="en-US"/>
        </w:rPr>
        <w:t>m</w:t>
      </w:r>
      <w:r w:rsidRPr="0058711E">
        <w:rPr>
          <w:lang w:val="en-US"/>
        </w:rPr>
        <w:t>gC</w:t>
      </w:r>
      <w:proofErr w:type="spellEnd"/>
      <w:r w:rsidRPr="0058711E">
        <w:rPr>
          <w:lang w:val="en-US"/>
        </w:rPr>
        <w:t>/</w:t>
      </w:r>
      <w:r>
        <w:rPr>
          <w:lang w:val="en-US"/>
        </w:rPr>
        <w:t>L</w:t>
      </w:r>
      <w:r w:rsidRPr="0058711E">
        <w:rPr>
          <w:lang w:val="en-US"/>
        </w:rPr>
        <w:t>/day</w:t>
      </w:r>
      <w:r>
        <w:rPr>
          <w:lang w:val="en-US"/>
        </w:rPr>
        <w:t xml:space="preserve">. These rates were </w:t>
      </w:r>
      <w:proofErr w:type="gramStart"/>
      <w:r>
        <w:rPr>
          <w:lang w:val="en-US"/>
        </w:rPr>
        <w:t>similar to</w:t>
      </w:r>
      <w:proofErr w:type="gramEnd"/>
      <w:r>
        <w:rPr>
          <w:lang w:val="en-US"/>
        </w:rPr>
        <w:t xml:space="preserve"> those reported previously for the previous five years of monitoring (Ye </w:t>
      </w:r>
      <w:r w:rsidRPr="009D6230">
        <w:rPr>
          <w:i/>
          <w:iCs/>
          <w:lang w:val="en-US"/>
        </w:rPr>
        <w:t xml:space="preserve">et al. </w:t>
      </w:r>
      <w:r>
        <w:rPr>
          <w:lang w:val="en-US"/>
        </w:rPr>
        <w:t xml:space="preserve">2020). These estimates of net production </w:t>
      </w:r>
      <w:r w:rsidRPr="0058711E">
        <w:rPr>
          <w:lang w:val="en-US"/>
        </w:rPr>
        <w:t>provid</w:t>
      </w:r>
      <w:r>
        <w:rPr>
          <w:lang w:val="en-US"/>
        </w:rPr>
        <w:t>e</w:t>
      </w:r>
      <w:r w:rsidRPr="0058711E">
        <w:rPr>
          <w:lang w:val="en-US"/>
        </w:rPr>
        <w:t xml:space="preserve"> a different </w:t>
      </w:r>
      <w:r>
        <w:rPr>
          <w:lang w:val="en-US"/>
        </w:rPr>
        <w:t xml:space="preserve">view of the </w:t>
      </w:r>
      <w:r w:rsidRPr="0058711E">
        <w:rPr>
          <w:lang w:val="en-US"/>
        </w:rPr>
        <w:t>carbon supplies to the river food webs compared to the traditional analyses of NEP</w:t>
      </w:r>
      <w:r>
        <w:rPr>
          <w:lang w:val="en-US"/>
        </w:rPr>
        <w:t xml:space="preserve"> which are close to zero over the monitoring period, as previously reported</w:t>
      </w:r>
      <w:r w:rsidRPr="0058711E">
        <w:rPr>
          <w:lang w:val="en-US"/>
        </w:rPr>
        <w:t xml:space="preserve"> (Oliver and Merrick 2006; </w:t>
      </w:r>
      <w:proofErr w:type="spellStart"/>
      <w:r w:rsidRPr="0058711E">
        <w:rPr>
          <w:lang w:val="en-US"/>
        </w:rPr>
        <w:t>Gawne</w:t>
      </w:r>
      <w:proofErr w:type="spellEnd"/>
      <w:r w:rsidRPr="0058711E">
        <w:rPr>
          <w:lang w:val="en-US"/>
        </w:rPr>
        <w:t xml:space="preserve"> </w:t>
      </w:r>
      <w:r w:rsidRPr="0058711E">
        <w:rPr>
          <w:i/>
          <w:lang w:val="en-US"/>
        </w:rPr>
        <w:t>et al.</w:t>
      </w:r>
      <w:r w:rsidRPr="0058711E">
        <w:rPr>
          <w:lang w:val="en-US"/>
        </w:rPr>
        <w:t xml:space="preserve"> 2007). The CNP estimates demonstrate that </w:t>
      </w:r>
      <w:r>
        <w:rPr>
          <w:lang w:val="en-US"/>
        </w:rPr>
        <w:t xml:space="preserve">both </w:t>
      </w:r>
      <w:r w:rsidRPr="0058711E">
        <w:rPr>
          <w:lang w:val="en-US"/>
        </w:rPr>
        <w:t xml:space="preserve">heterotrophic </w:t>
      </w:r>
      <w:r>
        <w:rPr>
          <w:lang w:val="en-US"/>
        </w:rPr>
        <w:t>and</w:t>
      </w:r>
      <w:r w:rsidRPr="0058711E">
        <w:rPr>
          <w:lang w:val="en-US"/>
        </w:rPr>
        <w:t xml:space="preserve"> phytoplankton production </w:t>
      </w:r>
      <w:r>
        <w:rPr>
          <w:lang w:val="en-US"/>
        </w:rPr>
        <w:t>are</w:t>
      </w:r>
      <w:r w:rsidRPr="0058711E">
        <w:rPr>
          <w:lang w:val="en-US"/>
        </w:rPr>
        <w:t xml:space="preserve"> important source</w:t>
      </w:r>
      <w:r>
        <w:rPr>
          <w:lang w:val="en-US"/>
        </w:rPr>
        <w:t>s</w:t>
      </w:r>
      <w:r w:rsidRPr="0058711E">
        <w:rPr>
          <w:lang w:val="en-US"/>
        </w:rPr>
        <w:t xml:space="preserve"> of organic carbon to the river.</w:t>
      </w:r>
      <w:r w:rsidRPr="0058711E">
        <w:t xml:space="preserve"> </w:t>
      </w:r>
      <w:r>
        <w:t>I</w:t>
      </w:r>
      <w:r w:rsidRPr="0058711E">
        <w:t xml:space="preserve">mproved supplies of DOC </w:t>
      </w:r>
      <w:r>
        <w:t>are</w:t>
      </w:r>
      <w:r w:rsidRPr="0058711E">
        <w:t xml:space="preserve"> critical to providing food webs with organic carbon food resources</w:t>
      </w:r>
      <w:r>
        <w:t xml:space="preserve"> through the heterotrophic pathway</w:t>
      </w:r>
      <w:r w:rsidRPr="0058711E">
        <w:t>.</w:t>
      </w:r>
    </w:p>
    <w:p w14:paraId="0C0B6F9E" w14:textId="3B2CB950" w:rsidR="00456CBA" w:rsidRPr="0058711E" w:rsidRDefault="00456CBA" w:rsidP="00456CBA">
      <w:pPr>
        <w:rPr>
          <w:lang w:val="en-US"/>
        </w:rPr>
      </w:pPr>
      <w:r w:rsidRPr="0058711E">
        <w:t xml:space="preserve">The </w:t>
      </w:r>
      <w:r>
        <w:t>effects</w:t>
      </w:r>
      <w:r w:rsidRPr="0058711E">
        <w:t xml:space="preserve"> of </w:t>
      </w:r>
      <w:r>
        <w:t xml:space="preserve">environmental flows </w:t>
      </w:r>
      <w:r w:rsidRPr="0058711E">
        <w:t xml:space="preserve">on </w:t>
      </w:r>
      <w:r>
        <w:t xml:space="preserve">cross-sectional rates of decomposition were estimated from BCR, but as this rate was the same between the flow regimes </w:t>
      </w:r>
      <w:r w:rsidR="009D6230">
        <w:t>because</w:t>
      </w:r>
      <w:r>
        <w:t xml:space="preserve"> DOC concentrations were considered equivalent, they changed in proportion to the relative changes in cross-sectional area with flow. As with GPP, these differences </w:t>
      </w:r>
      <w:r w:rsidRPr="0058711E">
        <w:t>w</w:t>
      </w:r>
      <w:r>
        <w:t>ere</w:t>
      </w:r>
      <w:r w:rsidRPr="0058711E">
        <w:t xml:space="preserve"> small at the monitoring sites</w:t>
      </w:r>
      <w:r>
        <w:t xml:space="preserve"> </w:t>
      </w:r>
      <w:r w:rsidRPr="0058711E">
        <w:t xml:space="preserve">due to the </w:t>
      </w:r>
      <w:r w:rsidR="00EC715A" w:rsidRPr="0058711E">
        <w:t>weirs</w:t>
      </w:r>
      <w:r w:rsidR="00EC715A">
        <w:t xml:space="preserve"> restricting changes in cross-section. </w:t>
      </w:r>
      <w:r>
        <w:t xml:space="preserve">In contrast, at an unregulated site the modelled changes were large with relative increases of up to 1.54 due to increased flows (Ye </w:t>
      </w:r>
      <w:r w:rsidRPr="009D6230">
        <w:rPr>
          <w:i/>
          <w:iCs/>
        </w:rPr>
        <w:t>et al.</w:t>
      </w:r>
      <w:r>
        <w:t xml:space="preserve"> 2020).</w:t>
      </w:r>
    </w:p>
    <w:p w14:paraId="2DC5BE37" w14:textId="60E6A744" w:rsidR="00456CBA" w:rsidRDefault="00EC715A" w:rsidP="00456CBA">
      <w:r>
        <w:t>Cross-s</w:t>
      </w:r>
      <w:r w:rsidR="00456CBA">
        <w:t>ite</w:t>
      </w:r>
      <w:r w:rsidR="00456CBA" w:rsidRPr="00A210FD">
        <w:t xml:space="preserve"> differences in metabolism were large and </w:t>
      </w:r>
      <w:r w:rsidR="00456CBA">
        <w:t xml:space="preserve">mainly </w:t>
      </w:r>
      <w:r w:rsidR="00456CBA" w:rsidRPr="00A210FD">
        <w:t>related to changes in</w:t>
      </w:r>
      <w:r w:rsidR="00F426B8">
        <w:t>-</w:t>
      </w:r>
      <w:r w:rsidR="00456CBA">
        <w:t>channel morphology and the relationships between water depth and cross-sectional area. Due to the weirs the influence of flow on these characteristics was small, but they indicate the extent of variation in metabolism along river reaches and the variation that could occur in response to flows in the absence of weirs. The significance of this to river health is currently unknown.</w:t>
      </w:r>
    </w:p>
    <w:p w14:paraId="7DC83BA0" w14:textId="12A6358B" w:rsidR="007D69E1" w:rsidRDefault="007D69E1" w:rsidP="007D69E1">
      <w:r>
        <w:t>Metabolism at the monitoring sites</w:t>
      </w:r>
      <w:r w:rsidRPr="008F5427">
        <w:t xml:space="preserve"> </w:t>
      </w:r>
      <w:r>
        <w:t xml:space="preserve">is influenced by water quality, </w:t>
      </w:r>
      <w:r w:rsidRPr="00A210FD">
        <w:t>especially turbidity and DOC</w:t>
      </w:r>
      <w:r>
        <w:t xml:space="preserve"> which have fundamental effects</w:t>
      </w:r>
      <w:r w:rsidRPr="00A210FD">
        <w:t xml:space="preserve">. </w:t>
      </w:r>
      <w:r>
        <w:t xml:space="preserve">However, the data have not so far demonstrated a major influence of nutrients with metabolism </w:t>
      </w:r>
      <w:r w:rsidR="00FB258E">
        <w:t>un</w:t>
      </w:r>
      <w:r>
        <w:t>respon</w:t>
      </w:r>
      <w:r w:rsidR="00FB258E">
        <w:t>sive</w:t>
      </w:r>
      <w:r>
        <w:t xml:space="preserve"> to changing concentrations that have </w:t>
      </w:r>
      <w:r w:rsidR="00FB258E">
        <w:t>resulted from</w:t>
      </w:r>
      <w:r>
        <w:t xml:space="preserve"> altered flows. This suggested that light and DOC were limiting the development of microbial populations so that nutrient limitation was not being induced. </w:t>
      </w:r>
    </w:p>
    <w:p w14:paraId="41F03CA9" w14:textId="0D60C11C" w:rsidR="00456CBA" w:rsidRPr="0058711E" w:rsidRDefault="00456CBA" w:rsidP="00456CBA">
      <w:r>
        <w:t xml:space="preserve">Analyses of the monitoring data have provided important insights into river metabolism and its significance in supplying food resources to the river ecosystem. </w:t>
      </w:r>
      <w:r w:rsidRPr="00DA2CBB">
        <w:t>In general</w:t>
      </w:r>
      <w:r>
        <w:t>,</w:t>
      </w:r>
      <w:r w:rsidRPr="00DA2CBB">
        <w:t xml:space="preserve"> these findings support the hypotheses regarding the influences of flow on river metabolism and </w:t>
      </w:r>
      <w:r w:rsidR="005E53ED">
        <w:t>DO</w:t>
      </w:r>
      <w:r w:rsidRPr="00DA2CBB">
        <w:t xml:space="preserve"> concentrations. </w:t>
      </w:r>
      <w:r>
        <w:t>Currently these findings are restricted to the monitoring sites, but the modelled relationships provide an opportunity to extend this understanding to the Murray River more generally to further our understanding of river metabolism and the influence of flows, including those due to environmental water.</w:t>
      </w:r>
    </w:p>
    <w:p w14:paraId="3853FAF5" w14:textId="77777777" w:rsidR="00456CBA" w:rsidRDefault="00456CBA" w:rsidP="00456CBA">
      <w:pPr>
        <w:pStyle w:val="Heading3"/>
      </w:pPr>
      <w:r>
        <w:t>Management implications</w:t>
      </w:r>
    </w:p>
    <w:p w14:paraId="6E1C833F" w14:textId="12098FED" w:rsidR="00EC715A" w:rsidRDefault="00EC715A" w:rsidP="00EC715A">
      <w:r>
        <w:rPr>
          <w:szCs w:val="22"/>
        </w:rPr>
        <w:t>E</w:t>
      </w:r>
      <w:r w:rsidRPr="0055622C">
        <w:rPr>
          <w:szCs w:val="22"/>
        </w:rPr>
        <w:t xml:space="preserve">nvironmental </w:t>
      </w:r>
      <w:r>
        <w:rPr>
          <w:szCs w:val="22"/>
        </w:rPr>
        <w:t xml:space="preserve">flows </w:t>
      </w:r>
      <w:r w:rsidRPr="00907559">
        <w:rPr>
          <w:szCs w:val="22"/>
        </w:rPr>
        <w:t>can help reduc</w:t>
      </w:r>
      <w:r w:rsidRPr="00516E54">
        <w:rPr>
          <w:szCs w:val="22"/>
        </w:rPr>
        <w:t>e the likelihood of low DO</w:t>
      </w:r>
      <w:r w:rsidRPr="00907981">
        <w:rPr>
          <w:szCs w:val="22"/>
        </w:rPr>
        <w:t xml:space="preserve"> concentrations in the LMR, if </w:t>
      </w:r>
      <w:r>
        <w:rPr>
          <w:szCs w:val="22"/>
        </w:rPr>
        <w:t>they increase</w:t>
      </w:r>
      <w:r w:rsidRPr="0055622C">
        <w:rPr>
          <w:szCs w:val="22"/>
        </w:rPr>
        <w:t xml:space="preserve"> water velocities above a level </w:t>
      </w:r>
      <w:r>
        <w:rPr>
          <w:szCs w:val="22"/>
        </w:rPr>
        <w:t>of ~0.18</w:t>
      </w:r>
      <w:r w:rsidRPr="00907559">
        <w:rPr>
          <w:szCs w:val="22"/>
        </w:rPr>
        <w:t>m/s, below</w:t>
      </w:r>
      <w:r w:rsidRPr="00516E54">
        <w:rPr>
          <w:szCs w:val="22"/>
        </w:rPr>
        <w:t xml:space="preserve"> which surface oxygen exchange is poor.</w:t>
      </w:r>
      <w:r>
        <w:rPr>
          <w:szCs w:val="22"/>
        </w:rPr>
        <w:t xml:space="preserve"> This critical velocity will vary with channel morphology and further investigation is required in other river sections. The level of flow required for surface exchange to offset de-oxygenation is also influenced by the DOC concentration, and if this is high then surface exchange may not be able to re-supply the respiratory oxygen depletion. </w:t>
      </w:r>
      <w:r w:rsidRPr="0058711E">
        <w:t xml:space="preserve">Models assessing the level of DOC concentrations that lead to “black water” events </w:t>
      </w:r>
      <w:r>
        <w:t xml:space="preserve">are </w:t>
      </w:r>
      <w:r w:rsidRPr="0058711E">
        <w:t>develop</w:t>
      </w:r>
      <w:r>
        <w:t>ing</w:t>
      </w:r>
      <w:r w:rsidRPr="0058711E">
        <w:t xml:space="preserve"> (</w:t>
      </w:r>
      <w:r>
        <w:rPr>
          <w:iCs/>
        </w:rPr>
        <w:t xml:space="preserve">Baldwin </w:t>
      </w:r>
      <w:r w:rsidRPr="001B7AE7">
        <w:rPr>
          <w:i/>
          <w:iCs/>
        </w:rPr>
        <w:t>et al.</w:t>
      </w:r>
      <w:r>
        <w:rPr>
          <w:iCs/>
        </w:rPr>
        <w:t xml:space="preserve"> 2016; </w:t>
      </w:r>
      <w:r w:rsidRPr="0058711E">
        <w:t xml:space="preserve">Whitworth and Baldwin 2016), but </w:t>
      </w:r>
      <w:r>
        <w:t>a</w:t>
      </w:r>
      <w:r w:rsidRPr="0058711E">
        <w:t xml:space="preserve"> holistic approach that considers the full implications of river metabolism</w:t>
      </w:r>
      <w:r>
        <w:t xml:space="preserve"> and surface exchange</w:t>
      </w:r>
      <w:r w:rsidRPr="0058711E">
        <w:t xml:space="preserve"> </w:t>
      </w:r>
      <w:r>
        <w:t>c</w:t>
      </w:r>
      <w:r w:rsidRPr="0058711E">
        <w:t xml:space="preserve">ould </w:t>
      </w:r>
      <w:r>
        <w:t xml:space="preserve">further </w:t>
      </w:r>
      <w:r w:rsidRPr="0058711E">
        <w:t>benefit management of environmental flows.</w:t>
      </w:r>
    </w:p>
    <w:p w14:paraId="56E40850" w14:textId="49D6F9F3" w:rsidR="00EC715A" w:rsidRDefault="00EC715A" w:rsidP="00EC715A">
      <w:pPr>
        <w:rPr>
          <w:szCs w:val="22"/>
        </w:rPr>
      </w:pPr>
      <w:r>
        <w:t xml:space="preserve">Increased flows interact with channel morphometry altering the average depth and the cross-sectional area of the flow and affecting the rate of volumetric and cross-sectional GPP. It has been </w:t>
      </w:r>
      <w:r>
        <w:rPr>
          <w:szCs w:val="22"/>
        </w:rPr>
        <w:t xml:space="preserve">demonstrated, using the developed models, that large changes in flow greatly influence metabolic rates in unregulated channels undergoing typical responses in water depth and cross-section (Ye </w:t>
      </w:r>
      <w:r w:rsidRPr="00A90089">
        <w:rPr>
          <w:i/>
          <w:iCs/>
          <w:szCs w:val="22"/>
        </w:rPr>
        <w:t>et al</w:t>
      </w:r>
      <w:r w:rsidR="009F4257" w:rsidRPr="00A90089">
        <w:rPr>
          <w:i/>
          <w:iCs/>
          <w:szCs w:val="22"/>
        </w:rPr>
        <w:t>.</w:t>
      </w:r>
      <w:r>
        <w:rPr>
          <w:szCs w:val="22"/>
        </w:rPr>
        <w:t xml:space="preserve"> 2020). Depending on channel shape, changes in flow are likely to be more beneficial at some water levels in the channel than at others, particularly where the channel broadens. Using environmental flows to target these water levels could increase river productivity. </w:t>
      </w:r>
    </w:p>
    <w:p w14:paraId="051FCBCB" w14:textId="4B0253C5" w:rsidR="00EC715A" w:rsidRDefault="00EC715A" w:rsidP="00EC715A">
      <w:pPr>
        <w:rPr>
          <w:szCs w:val="22"/>
        </w:rPr>
      </w:pPr>
      <w:r>
        <w:t xml:space="preserve">It is evident that the weirs have a major effect on metabolism through their disruption of the relationships between flow, water level and cross-sectional area. </w:t>
      </w:r>
      <w:r>
        <w:rPr>
          <w:szCs w:val="22"/>
        </w:rPr>
        <w:t>The small flow-induced changes in water level that occur in the weir pools result in minor changes in metabolism in response to e</w:t>
      </w:r>
      <w:r w:rsidR="00C101AB">
        <w:rPr>
          <w:szCs w:val="22"/>
        </w:rPr>
        <w:t xml:space="preserve">nvironmental </w:t>
      </w:r>
      <w:r>
        <w:rPr>
          <w:szCs w:val="22"/>
        </w:rPr>
        <w:t>flows. If modifying metabolism is identified as a beneficial target for the weir pools, then larger water level changes will be required, perhaps through manipulation of water levels.</w:t>
      </w:r>
      <w:r w:rsidRPr="00DF75A5">
        <w:rPr>
          <w:szCs w:val="22"/>
        </w:rPr>
        <w:t xml:space="preserve"> </w:t>
      </w:r>
      <w:r>
        <w:rPr>
          <w:szCs w:val="22"/>
        </w:rPr>
        <w:t>However, large, regular changes in water depth have not been considered suitable within the weirs. With such constraints there is a requirement to identify the need for enhancing metabolism within the weir pools by assessing the relative importance of their local production</w:t>
      </w:r>
      <w:r>
        <w:t xml:space="preserve">, and whether changes in production due to their influence are detrimental. Based on the modelling, by holding water levels above natural low flow levels the weirs might be increasing total cross-sectional production but reducing volumetric rates compared to natural variations. The implications of this are unclear, </w:t>
      </w:r>
      <w:r w:rsidR="007D69E1">
        <w:t xml:space="preserve">but interpretation could be assisted by </w:t>
      </w:r>
      <w:r w:rsidR="00673D59">
        <w:t xml:space="preserve">the </w:t>
      </w:r>
      <w:r w:rsidR="007D69E1">
        <w:t>analysis of comparative time series of net production from upstream unregulated sites</w:t>
      </w:r>
      <w:r>
        <w:t xml:space="preserve">. This would enable a comparison of </w:t>
      </w:r>
      <w:r>
        <w:rPr>
          <w:szCs w:val="22"/>
        </w:rPr>
        <w:t>local production at weir pool sites with that at unregulated sites. Also, with suitable selection of upstream sites, an assessment could be made of the influence of longitudinally transported production. Of particular interest are sites associated with major water sources including the Darling R</w:t>
      </w:r>
      <w:r w:rsidR="00C101AB">
        <w:rPr>
          <w:szCs w:val="22"/>
        </w:rPr>
        <w:t>iver</w:t>
      </w:r>
      <w:r>
        <w:rPr>
          <w:szCs w:val="22"/>
        </w:rPr>
        <w:t xml:space="preserve">, Lake </w:t>
      </w:r>
      <w:proofErr w:type="gramStart"/>
      <w:r>
        <w:rPr>
          <w:szCs w:val="22"/>
        </w:rPr>
        <w:t>Victoria</w:t>
      </w:r>
      <w:proofErr w:type="gramEnd"/>
      <w:r>
        <w:rPr>
          <w:szCs w:val="22"/>
        </w:rPr>
        <w:t xml:space="preserve"> and the upstream Murray R</w:t>
      </w:r>
      <w:r w:rsidR="00C101AB">
        <w:rPr>
          <w:szCs w:val="22"/>
        </w:rPr>
        <w:t>iver</w:t>
      </w:r>
      <w:r>
        <w:rPr>
          <w:szCs w:val="22"/>
        </w:rPr>
        <w:t xml:space="preserve">. </w:t>
      </w:r>
    </w:p>
    <w:p w14:paraId="2FD9DF59" w14:textId="284523EC" w:rsidR="00EC715A" w:rsidRDefault="00EC715A" w:rsidP="00EC715A">
      <w:r>
        <w:rPr>
          <w:szCs w:val="22"/>
        </w:rPr>
        <w:t xml:space="preserve">Environmental flows which alter the attenuation of light through increased turbidity have a major influence on GPP. Turbidity in the LMR is influenced substantially by flows from the Darling River, that may move directly to </w:t>
      </w:r>
      <w:r w:rsidR="003E092F">
        <w:rPr>
          <w:szCs w:val="22"/>
        </w:rPr>
        <w:t>South Australia</w:t>
      </w:r>
      <w:r>
        <w:rPr>
          <w:szCs w:val="22"/>
        </w:rPr>
        <w:t>,</w:t>
      </w:r>
      <w:r w:rsidRPr="007426E7">
        <w:t xml:space="preserve"> </w:t>
      </w:r>
      <w:r>
        <w:t xml:space="preserve">but are often </w:t>
      </w:r>
      <w:r w:rsidR="00A90089">
        <w:t>diverted</w:t>
      </w:r>
      <w:r>
        <w:t xml:space="preserve"> into Lake Victoria for later supply downstream. The impact of turbidity delivery on river metabolism raises system scale questions of flow management involving the storage of Darling R</w:t>
      </w:r>
      <w:r w:rsidR="003E092F">
        <w:t>iver</w:t>
      </w:r>
      <w:r>
        <w:t xml:space="preserve"> and Murray R</w:t>
      </w:r>
      <w:r w:rsidR="003E092F">
        <w:t>iver</w:t>
      </w:r>
      <w:r>
        <w:t xml:space="preserve"> water in Lake Victoria, the timing of direct passage of turbid flows to </w:t>
      </w:r>
      <w:r w:rsidR="003E092F">
        <w:t>South Australia</w:t>
      </w:r>
      <w:r>
        <w:t xml:space="preserve">, the timing and volumes of releases from Lake Victoria, and the benefits of mixing flows of different water quality. The metabolism models outlined in this report provide a basis for assessing the influence of the timing and duration of turbidity events on river production. </w:t>
      </w:r>
    </w:p>
    <w:p w14:paraId="545A2070" w14:textId="414E9E69" w:rsidR="00EC715A" w:rsidRDefault="00EC715A" w:rsidP="00EC715A">
      <w:pPr>
        <w:rPr>
          <w:szCs w:val="22"/>
        </w:rPr>
      </w:pPr>
      <w:r>
        <w:t>Based on historical recollections, it is suspected that the turbidity of the Murray R</w:t>
      </w:r>
      <w:r w:rsidR="003E092F">
        <w:t>iver</w:t>
      </w:r>
      <w:r>
        <w:t xml:space="preserve"> is generally higher than it was historically, and the models provide a basis for investigating the impact of this influence. However, t</w:t>
      </w:r>
      <w:r>
        <w:rPr>
          <w:szCs w:val="22"/>
        </w:rPr>
        <w:t xml:space="preserve">he interactions between hydrology, water quality and metabolism are complex, and the models developed to describe individual processes such as gas exchange, vertical attenuation, </w:t>
      </w:r>
      <w:proofErr w:type="spellStart"/>
      <w:r>
        <w:rPr>
          <w:szCs w:val="22"/>
        </w:rPr>
        <w:t>GPPb</w:t>
      </w:r>
      <w:proofErr w:type="spellEnd"/>
      <w:r>
        <w:rPr>
          <w:szCs w:val="22"/>
        </w:rPr>
        <w:t>, and ER interact</w:t>
      </w:r>
      <w:r w:rsidRPr="00BD0D8F">
        <w:rPr>
          <w:szCs w:val="22"/>
        </w:rPr>
        <w:t xml:space="preserve"> </w:t>
      </w:r>
      <w:r>
        <w:rPr>
          <w:szCs w:val="22"/>
        </w:rPr>
        <w:t>dynamically, both in time and space. The individual models can be applied by managers to identify the scale of responses in metabolism that e</w:t>
      </w:r>
      <w:r w:rsidR="003E092F">
        <w:rPr>
          <w:szCs w:val="22"/>
        </w:rPr>
        <w:t xml:space="preserve">nvironmental </w:t>
      </w:r>
      <w:r>
        <w:rPr>
          <w:szCs w:val="22"/>
        </w:rPr>
        <w:t>flows may produce, but the value of these models will be greatly enhanced by their incorporation into a dynamic framework. The Source model provides such a framework, but such modelling activities are outside the scope and resources of the current project.</w:t>
      </w:r>
    </w:p>
    <w:p w14:paraId="209B50FD" w14:textId="04E648BC" w:rsidR="00EC715A" w:rsidRDefault="00EC715A" w:rsidP="00EC715A">
      <w:pPr>
        <w:rPr>
          <w:szCs w:val="22"/>
        </w:rPr>
      </w:pPr>
      <w:r>
        <w:rPr>
          <w:szCs w:val="22"/>
        </w:rPr>
        <w:t>In general, Commonwealth environmental water deliveries increased the average water depth and reduced volumetric GPP, but simultaneously increased cross-sectional areas which increased the cross-sectional GPP. These opposite shifts in food production are likely to have fundamental effects on the composition and functioning of food webs, especially at unregulated sites</w:t>
      </w:r>
      <w:r w:rsidRPr="00F85BCF">
        <w:rPr>
          <w:szCs w:val="22"/>
        </w:rPr>
        <w:t xml:space="preserve"> </w:t>
      </w:r>
      <w:r>
        <w:rPr>
          <w:szCs w:val="22"/>
        </w:rPr>
        <w:t xml:space="preserve">where these changes are large. Data from upstream, unregulated sites that influence the weir pool responses would help to assess the impact of these production shifts on biotic community composition. </w:t>
      </w:r>
    </w:p>
    <w:p w14:paraId="017ECDC2" w14:textId="77777777" w:rsidR="00EC715A" w:rsidRDefault="00EC715A" w:rsidP="00EC715A">
      <w:pPr>
        <w:rPr>
          <w:szCs w:val="22"/>
        </w:rPr>
      </w:pPr>
      <w:r>
        <w:rPr>
          <w:szCs w:val="22"/>
        </w:rPr>
        <w:t xml:space="preserve">A major source of metabolic activity is the external supply of organic carbon to the river system. </w:t>
      </w:r>
      <w:r w:rsidRPr="0058711E">
        <w:rPr>
          <w:lang w:val="en-US"/>
        </w:rPr>
        <w:t xml:space="preserve">The </w:t>
      </w:r>
      <w:r>
        <w:rPr>
          <w:lang w:val="en-US"/>
        </w:rPr>
        <w:t>estimates of the individual and combined net production (</w:t>
      </w:r>
      <w:r w:rsidRPr="0058711E">
        <w:rPr>
          <w:lang w:val="en-US"/>
        </w:rPr>
        <w:t>CNP</w:t>
      </w:r>
      <w:r>
        <w:rPr>
          <w:lang w:val="en-US"/>
        </w:rPr>
        <w:t>)</w:t>
      </w:r>
      <w:r w:rsidRPr="0058711E">
        <w:rPr>
          <w:lang w:val="en-US"/>
        </w:rPr>
        <w:t xml:space="preserve"> </w:t>
      </w:r>
      <w:r>
        <w:rPr>
          <w:lang w:val="en-US"/>
        </w:rPr>
        <w:t xml:space="preserve">by autotrophs and heterotrophs </w:t>
      </w:r>
      <w:r w:rsidRPr="0058711E">
        <w:rPr>
          <w:lang w:val="en-US"/>
        </w:rPr>
        <w:t>demonstrate</w:t>
      </w:r>
      <w:r>
        <w:rPr>
          <w:lang w:val="en-US"/>
        </w:rPr>
        <w:t>d</w:t>
      </w:r>
      <w:r w:rsidRPr="0058711E">
        <w:rPr>
          <w:lang w:val="en-US"/>
        </w:rPr>
        <w:t xml:space="preserve"> that </w:t>
      </w:r>
      <w:r>
        <w:rPr>
          <w:lang w:val="en-US"/>
        </w:rPr>
        <w:t>both were</w:t>
      </w:r>
      <w:r w:rsidRPr="0058711E">
        <w:rPr>
          <w:lang w:val="en-US"/>
        </w:rPr>
        <w:t xml:space="preserve"> important source</w:t>
      </w:r>
      <w:r>
        <w:rPr>
          <w:lang w:val="en-US"/>
        </w:rPr>
        <w:t>s</w:t>
      </w:r>
      <w:r w:rsidRPr="0058711E">
        <w:rPr>
          <w:lang w:val="en-US"/>
        </w:rPr>
        <w:t xml:space="preserve"> of organic carbon</w:t>
      </w:r>
      <w:r>
        <w:rPr>
          <w:lang w:val="en-US"/>
        </w:rPr>
        <w:t xml:space="preserve"> in the weir pools, with autotrophs generally providing a larger proportion. However, the</w:t>
      </w:r>
      <w:r w:rsidRPr="0058711E">
        <w:t xml:space="preserve"> </w:t>
      </w:r>
      <w:r>
        <w:t xml:space="preserve">external </w:t>
      </w:r>
      <w:r w:rsidRPr="0058711E">
        <w:t xml:space="preserve">DOC </w:t>
      </w:r>
      <w:r>
        <w:t xml:space="preserve">supply was </w:t>
      </w:r>
      <w:r w:rsidRPr="0058711E">
        <w:t xml:space="preserve">critical to </w:t>
      </w:r>
      <w:r>
        <w:t xml:space="preserve">the response of the heterotrophic pathway and during floods when DOC increased this became the major source of organic carbon (Ye </w:t>
      </w:r>
      <w:r w:rsidRPr="00A90089">
        <w:rPr>
          <w:i/>
          <w:iCs/>
        </w:rPr>
        <w:t>et al.</w:t>
      </w:r>
      <w:r>
        <w:t xml:space="preserve"> 2019)</w:t>
      </w:r>
      <w:r w:rsidRPr="0058711E">
        <w:t>.</w:t>
      </w:r>
      <w:r>
        <w:t xml:space="preserve"> </w:t>
      </w:r>
      <w:r>
        <w:rPr>
          <w:szCs w:val="22"/>
        </w:rPr>
        <w:t>These changes influence the quantity, quality, and characteristics of the food supply to the food web but</w:t>
      </w:r>
      <w:r>
        <w:t xml:space="preserve"> t</w:t>
      </w:r>
      <w:r>
        <w:rPr>
          <w:szCs w:val="22"/>
        </w:rPr>
        <w:t>he influence on the riverine community structure, including higher trophic levels, of the changes in these various resources are not well known. Current research in MER is aimed at providing a better understanding of these links.</w:t>
      </w:r>
    </w:p>
    <w:p w14:paraId="78A848C4" w14:textId="6C8EE114" w:rsidR="00EC715A" w:rsidRDefault="00EC715A" w:rsidP="00EC715A">
      <w:pPr>
        <w:rPr>
          <w:szCs w:val="22"/>
        </w:rPr>
      </w:pPr>
      <w:bookmarkStart w:id="134" w:name="_Hlk69300522"/>
      <w:r>
        <w:rPr>
          <w:szCs w:val="22"/>
        </w:rPr>
        <w:t>Measurements from unregulated sites are required to assess the cumulative effects of flow variation on metabolism and to underpin whole river accounting. Although such sample sites could not be incorporated into the current project, a recent demonstration project funded by the MDBA and utilising sites along the length of the Murray R</w:t>
      </w:r>
      <w:r w:rsidR="003E092F">
        <w:rPr>
          <w:szCs w:val="22"/>
        </w:rPr>
        <w:t>iver</w:t>
      </w:r>
      <w:r>
        <w:rPr>
          <w:szCs w:val="22"/>
        </w:rPr>
        <w:t xml:space="preserve"> (Biswas </w:t>
      </w:r>
      <w:r w:rsidRPr="00A90089">
        <w:rPr>
          <w:i/>
          <w:iCs/>
          <w:szCs w:val="22"/>
        </w:rPr>
        <w:t>et al</w:t>
      </w:r>
      <w:r w:rsidR="003E092F" w:rsidRPr="00A90089">
        <w:rPr>
          <w:i/>
          <w:iCs/>
          <w:szCs w:val="22"/>
        </w:rPr>
        <w:t>.</w:t>
      </w:r>
      <w:r>
        <w:rPr>
          <w:szCs w:val="22"/>
        </w:rPr>
        <w:t xml:space="preserve"> </w:t>
      </w:r>
      <w:r w:rsidRPr="00B32112">
        <w:rPr>
          <w:i/>
          <w:iCs/>
          <w:szCs w:val="22"/>
        </w:rPr>
        <w:t>pers comm</w:t>
      </w:r>
      <w:r>
        <w:rPr>
          <w:szCs w:val="22"/>
        </w:rPr>
        <w:t xml:space="preserve">) showed the large variation in metabolism that can occur longitudinally, with noticeably higher production upstream during the 2019-20 measuring period. Unfortunately, no general conclusions can be drawn from the small data set because of the highly variable hydrology and </w:t>
      </w:r>
      <w:r w:rsidR="00356322">
        <w:rPr>
          <w:szCs w:val="22"/>
        </w:rPr>
        <w:t>water quality that markedly influenced</w:t>
      </w:r>
      <w:r w:rsidR="00673D59">
        <w:rPr>
          <w:szCs w:val="22"/>
        </w:rPr>
        <w:t xml:space="preserve"> </w:t>
      </w:r>
      <w:r w:rsidR="00356322">
        <w:rPr>
          <w:szCs w:val="22"/>
        </w:rPr>
        <w:t xml:space="preserve">the </w:t>
      </w:r>
      <w:r w:rsidR="00707422">
        <w:rPr>
          <w:szCs w:val="22"/>
        </w:rPr>
        <w:t>metabolic responses; longer periods of data collection are required to reliably identify response patterns.</w:t>
      </w:r>
    </w:p>
    <w:p w14:paraId="3477123D" w14:textId="77777777" w:rsidR="00EC715A" w:rsidRDefault="00EC715A" w:rsidP="00EC715A">
      <w:pPr>
        <w:pStyle w:val="Heading3"/>
      </w:pPr>
      <w:bookmarkStart w:id="135" w:name="_Hlk66267195"/>
      <w:r>
        <w:t>Conclusion</w:t>
      </w:r>
    </w:p>
    <w:bookmarkEnd w:id="135"/>
    <w:p w14:paraId="36C9DE79" w14:textId="59C774EE" w:rsidR="00EC715A" w:rsidRDefault="00EC715A" w:rsidP="00EC715A">
      <w:r w:rsidRPr="0058711E">
        <w:t xml:space="preserve">The analyses identified key environmental influences on GPP and </w:t>
      </w:r>
      <w:r>
        <w:t>E</w:t>
      </w:r>
      <w:r w:rsidRPr="0058711E">
        <w:t>R</w:t>
      </w:r>
      <w:r>
        <w:t xml:space="preserve"> including</w:t>
      </w:r>
      <w:r w:rsidR="00013D53">
        <w:t xml:space="preserve"> the</w:t>
      </w:r>
      <w:r>
        <w:t xml:space="preserve">: </w:t>
      </w:r>
    </w:p>
    <w:p w14:paraId="7968A11E" w14:textId="226212AD" w:rsidR="00EC715A" w:rsidRDefault="00EC715A" w:rsidP="00EC715A">
      <w:pPr>
        <w:pStyle w:val="ListParagraph"/>
        <w:numPr>
          <w:ilvl w:val="0"/>
          <w:numId w:val="61"/>
        </w:numPr>
      </w:pPr>
      <w:r>
        <w:t xml:space="preserve">reliance of GPP on the mean light encountered by </w:t>
      </w:r>
      <w:proofErr w:type="gramStart"/>
      <w:r>
        <w:t>phytoplankton;</w:t>
      </w:r>
      <w:proofErr w:type="gramEnd"/>
      <w:r>
        <w:t xml:space="preserve"> </w:t>
      </w:r>
    </w:p>
    <w:p w14:paraId="3DFA01F2" w14:textId="7A21D621" w:rsidR="00EC715A" w:rsidRDefault="00EC715A" w:rsidP="00EC715A">
      <w:pPr>
        <w:pStyle w:val="ListParagraph"/>
        <w:numPr>
          <w:ilvl w:val="0"/>
          <w:numId w:val="61"/>
        </w:numPr>
      </w:pPr>
      <w:r>
        <w:t xml:space="preserve">effects on GPP of interactions between flow and channel </w:t>
      </w:r>
      <w:proofErr w:type="gramStart"/>
      <w:r>
        <w:t>morphometry;</w:t>
      </w:r>
      <w:proofErr w:type="gramEnd"/>
      <w:r>
        <w:t xml:space="preserve"> </w:t>
      </w:r>
    </w:p>
    <w:p w14:paraId="3B29791B" w14:textId="1CDC5ACD" w:rsidR="00EC715A" w:rsidRDefault="00EC715A" w:rsidP="00EC715A">
      <w:pPr>
        <w:pStyle w:val="ListParagraph"/>
        <w:numPr>
          <w:ilvl w:val="0"/>
          <w:numId w:val="61"/>
        </w:numPr>
      </w:pPr>
      <w:r>
        <w:t xml:space="preserve">reliance of the mean light on turbidity and </w:t>
      </w:r>
      <w:proofErr w:type="gramStart"/>
      <w:r>
        <w:t>DOC;</w:t>
      </w:r>
      <w:proofErr w:type="gramEnd"/>
      <w:r>
        <w:t xml:space="preserve"> </w:t>
      </w:r>
    </w:p>
    <w:p w14:paraId="4117D2A1" w14:textId="3F29610F" w:rsidR="00EC715A" w:rsidRDefault="00EC715A" w:rsidP="00EC715A">
      <w:pPr>
        <w:pStyle w:val="ListParagraph"/>
        <w:numPr>
          <w:ilvl w:val="0"/>
          <w:numId w:val="61"/>
        </w:numPr>
      </w:pPr>
      <w:r>
        <w:t xml:space="preserve">individual respiration rates of phytoplankton and </w:t>
      </w:r>
      <w:proofErr w:type="gramStart"/>
      <w:r>
        <w:t>bacteria;</w:t>
      </w:r>
      <w:proofErr w:type="gramEnd"/>
      <w:r>
        <w:t xml:space="preserve"> </w:t>
      </w:r>
    </w:p>
    <w:p w14:paraId="49F851D0" w14:textId="77777777" w:rsidR="00EC715A" w:rsidRDefault="00EC715A" w:rsidP="00EC715A">
      <w:pPr>
        <w:pStyle w:val="ListParagraph"/>
        <w:numPr>
          <w:ilvl w:val="0"/>
          <w:numId w:val="61"/>
        </w:numPr>
      </w:pPr>
      <w:r>
        <w:t xml:space="preserve">contributions of phytoplankton and bacteria to net production and their reliance on the mean light and DOC </w:t>
      </w:r>
      <w:proofErr w:type="gramStart"/>
      <w:r>
        <w:t>concentrations;</w:t>
      </w:r>
      <w:proofErr w:type="gramEnd"/>
      <w:r>
        <w:t xml:space="preserve"> </w:t>
      </w:r>
    </w:p>
    <w:p w14:paraId="566784E8" w14:textId="6471DBA5" w:rsidR="00EC715A" w:rsidRDefault="00EC715A" w:rsidP="00EC715A">
      <w:pPr>
        <w:pStyle w:val="ListParagraph"/>
        <w:numPr>
          <w:ilvl w:val="0"/>
          <w:numId w:val="61"/>
        </w:numPr>
      </w:pPr>
      <w:r>
        <w:t>effect of water velocity on surface oxygen exchange</w:t>
      </w:r>
      <w:r w:rsidR="0008722C">
        <w:t>;</w:t>
      </w:r>
      <w:r>
        <w:t xml:space="preserve"> and </w:t>
      </w:r>
    </w:p>
    <w:p w14:paraId="5C62AB25" w14:textId="6F7C6F17" w:rsidR="00EC715A" w:rsidRDefault="00EC715A" w:rsidP="00EC715A">
      <w:pPr>
        <w:pStyle w:val="ListParagraph"/>
        <w:numPr>
          <w:ilvl w:val="0"/>
          <w:numId w:val="61"/>
        </w:numPr>
      </w:pPr>
      <w:r>
        <w:t>contribution of flow to improving velocities and reducing the likelihood of low DO</w:t>
      </w:r>
      <w:r w:rsidRPr="0058711E">
        <w:t>.</w:t>
      </w:r>
      <w:r>
        <w:t xml:space="preserve"> </w:t>
      </w:r>
    </w:p>
    <w:p w14:paraId="4FA3CB66" w14:textId="75A4B1D2" w:rsidR="00C17137" w:rsidRPr="00907981" w:rsidRDefault="00356322" w:rsidP="00EC715A">
      <w:bookmarkStart w:id="136" w:name="_Hlk69289979"/>
      <w:r>
        <w:t xml:space="preserve">Understanding </w:t>
      </w:r>
      <w:bookmarkEnd w:id="134"/>
      <w:bookmarkEnd w:id="136"/>
      <w:r w:rsidR="00707422">
        <w:t>these types of interactions is critical to predicting the likely changes in metabolism and net production within a particular river reach due to the delivery of environmental flows of given volume and water quality. Further, such understanding begins to provide a means for assessing the effects of environmental flows on the basal river food resources, a vital target for management. The dynamic interactions identified between many of the processes highlighted the need for measurements at a range of different sites, and the incorporation of the models into an interacting framework. The findings in relation to weir pools reflect their effect on river hydrology with a major impact on metabolism through disruption of the relationships between flow, water level and cross-sectional area. Assessing the impact of weir pool</w:t>
      </w:r>
      <w:r w:rsidR="00707422" w:rsidRPr="006C0810">
        <w:t xml:space="preserve"> </w:t>
      </w:r>
      <w:r w:rsidR="00707422">
        <w:t xml:space="preserve">disruption on river metabolism and food resources requires comparative measurements at unregulated river sites and would be especially useful if these sites were upstream of the weir pools so that longitudinal influences could be incorporated into the analyses. </w:t>
      </w:r>
      <w:r w:rsidR="00C17137">
        <w:br w:type="page"/>
      </w:r>
    </w:p>
    <w:p w14:paraId="366DF2D2" w14:textId="471463F2" w:rsidR="00914280" w:rsidRPr="00E35C12" w:rsidRDefault="00914280" w:rsidP="00914280">
      <w:pPr>
        <w:pStyle w:val="Heading2"/>
      </w:pPr>
      <w:bookmarkStart w:id="137" w:name="_Toc441838734"/>
      <w:bookmarkStart w:id="138" w:name="_Toc3558338"/>
      <w:bookmarkStart w:id="139" w:name="_Ref35855504"/>
      <w:bookmarkStart w:id="140" w:name="_Toc69309238"/>
      <w:r w:rsidRPr="00E35C12">
        <w:t>Matter Transport</w:t>
      </w:r>
      <w:bookmarkEnd w:id="137"/>
      <w:bookmarkEnd w:id="138"/>
      <w:bookmarkEnd w:id="139"/>
      <w:r w:rsidR="00BE09D3">
        <w:t xml:space="preserve"> and Coorong Habitat</w:t>
      </w:r>
      <w:bookmarkEnd w:id="140"/>
    </w:p>
    <w:p w14:paraId="7A293EE6" w14:textId="49F2B386" w:rsidR="009C13C5" w:rsidRDefault="00727A84" w:rsidP="00C73815">
      <w:pPr>
        <w:pStyle w:val="Heading2"/>
        <w:numPr>
          <w:ilvl w:val="0"/>
          <w:numId w:val="0"/>
        </w:numPr>
      </w:pPr>
      <w:r>
        <w:t xml:space="preserve">   </w:t>
      </w:r>
      <w:bookmarkStart w:id="141" w:name="_Toc69309239"/>
      <w:r w:rsidR="009C13C5">
        <w:t>2.3.1</w:t>
      </w:r>
      <w:r w:rsidR="00C73815">
        <w:t xml:space="preserve">  </w:t>
      </w:r>
      <w:r w:rsidR="009C13C5">
        <w:t xml:space="preserve"> </w:t>
      </w:r>
      <w:r w:rsidR="009C13C5" w:rsidRPr="00E35C12">
        <w:t>Matter Transport</w:t>
      </w:r>
      <w:bookmarkEnd w:id="141"/>
    </w:p>
    <w:p w14:paraId="722F26FA" w14:textId="77777777" w:rsidR="00A229CC" w:rsidRDefault="00A229CC" w:rsidP="00A229CC">
      <w:pPr>
        <w:pStyle w:val="Heading3"/>
      </w:pPr>
      <w:r>
        <w:t>Background</w:t>
      </w:r>
    </w:p>
    <w:p w14:paraId="1CC37651" w14:textId="426F6B47" w:rsidR="007117DA" w:rsidRDefault="007117DA" w:rsidP="007117DA">
      <w:pPr>
        <w:rPr>
          <w:rFonts w:eastAsia="Arial Unicode MS"/>
          <w:lang w:eastAsia="en-AU"/>
        </w:rPr>
      </w:pPr>
      <w:r>
        <w:rPr>
          <w:rFonts w:eastAsia="Arial Unicode MS"/>
          <w:lang w:eastAsia="en-AU"/>
        </w:rPr>
        <w:t xml:space="preserve">Modification to the flow regime can alter the biogeochemistry of rivers and their adjacent floodplain systems, including the estuarine and lagoon areas at their terminus near the ocean. For example, reduced flow may increase the intrusion of salt into the system from the ocean whilst simultaneously decreasing the export of salt from inland reaches. </w:t>
      </w:r>
      <w:r>
        <w:t>As there is continual deposition of salt onto the landscape (predominately from rainfall), it can accumulate if not transported by flow and exported from the system</w:t>
      </w:r>
      <w:r>
        <w:rPr>
          <w:rFonts w:eastAsia="Arial Unicode MS"/>
          <w:lang w:eastAsia="en-AU"/>
        </w:rPr>
        <w:t xml:space="preserve">. Additionally, a change in the flow regime will alter the mobilisation of nutrients from the floodplain and change the subsequent primary productivity within the river. Environmental flows can be used to reinstate some of the natural </w:t>
      </w:r>
      <w:r w:rsidR="00667AE1">
        <w:rPr>
          <w:rFonts w:eastAsia="Arial Unicode MS"/>
          <w:lang w:eastAsia="en-AU"/>
        </w:rPr>
        <w:t xml:space="preserve">processes or to increase </w:t>
      </w:r>
      <w:r>
        <w:rPr>
          <w:rFonts w:eastAsia="Arial Unicode MS"/>
          <w:lang w:eastAsia="en-AU"/>
        </w:rPr>
        <w:t xml:space="preserve">the magnitude of the processes that control the availability and transport of dissolved and particulate matter. </w:t>
      </w:r>
      <w:proofErr w:type="gramStart"/>
      <w:r>
        <w:rPr>
          <w:rFonts w:eastAsia="Arial Unicode MS"/>
          <w:lang w:eastAsia="en-AU"/>
        </w:rPr>
        <w:t>Salinity,</w:t>
      </w:r>
      <w:proofErr w:type="gramEnd"/>
      <w:r>
        <w:rPr>
          <w:rFonts w:eastAsia="Arial Unicode MS"/>
          <w:lang w:eastAsia="en-AU"/>
        </w:rPr>
        <w:t xml:space="preserve"> dissolved and particulate organic nutrients, and chlorophyll </w:t>
      </w:r>
      <w:r>
        <w:rPr>
          <w:rFonts w:eastAsia="Arial Unicode MS"/>
          <w:i/>
          <w:lang w:eastAsia="en-AU"/>
        </w:rPr>
        <w:t>a</w:t>
      </w:r>
      <w:r>
        <w:rPr>
          <w:rFonts w:eastAsia="Arial Unicode MS"/>
          <w:lang w:eastAsia="en-AU"/>
        </w:rPr>
        <w:t xml:space="preserve"> are often measured or modelled to understand the influence of flows on the concentrations and transport of matter.</w:t>
      </w:r>
    </w:p>
    <w:p w14:paraId="119EB282" w14:textId="77777777" w:rsidR="007117DA" w:rsidRDefault="007117DA" w:rsidP="007117DA">
      <w:pPr>
        <w:rPr>
          <w:rFonts w:eastAsia="Arial Unicode MS"/>
          <w:lang w:eastAsia="en-AU"/>
        </w:rPr>
      </w:pPr>
      <w:r>
        <w:rPr>
          <w:rFonts w:eastAsia="Arial Unicode MS"/>
          <w:lang w:eastAsia="en-AU"/>
        </w:rPr>
        <w:t xml:space="preserve">In general, restoring river flow to an estuary is an important tool for salinity management by limiting seawater intrusion into the estuary. In the case of the Murray River, it is further complicated as seawater entering the Murray Mouth is highly dependent on how river water is released from the barrages, and these dynamics impact salinity in the connected Coorong lagoon. The Coorong is a 120 km long shallow reverse estuary that runs parallel to the coast and is separated from the Southern Ocean by Young Husband Peninsula. As water evaporates from the North and South Lagoons it is replaced with water coming from the north. When river water is exiting the </w:t>
      </w:r>
      <w:proofErr w:type="gramStart"/>
      <w:r>
        <w:rPr>
          <w:rFonts w:eastAsia="Arial Unicode MS"/>
          <w:lang w:eastAsia="en-AU"/>
        </w:rPr>
        <w:t>barrages</w:t>
      </w:r>
      <w:proofErr w:type="gramEnd"/>
      <w:r>
        <w:rPr>
          <w:rFonts w:eastAsia="Arial Unicode MS"/>
          <w:lang w:eastAsia="en-AU"/>
        </w:rPr>
        <w:t xml:space="preserve"> it reduces sea-water intrusion and maintains fresher conditions around the Murray Mouth which enables fresher water to replenish water evaporated in the Coorong. When there is more seawater intrusion into the Murray Mouth, </w:t>
      </w:r>
      <w:proofErr w:type="gramStart"/>
      <w:r>
        <w:rPr>
          <w:rFonts w:eastAsia="Arial Unicode MS"/>
          <w:lang w:eastAsia="en-AU"/>
        </w:rPr>
        <w:t>this transports</w:t>
      </w:r>
      <w:proofErr w:type="gramEnd"/>
      <w:r>
        <w:rPr>
          <w:rFonts w:eastAsia="Arial Unicode MS"/>
          <w:lang w:eastAsia="en-AU"/>
        </w:rPr>
        <w:t xml:space="preserve"> considerable </w:t>
      </w:r>
      <w:r w:rsidRPr="00DC308B">
        <w:rPr>
          <w:rFonts w:eastAsia="Arial Unicode MS"/>
          <w:lang w:eastAsia="en-AU"/>
        </w:rPr>
        <w:t xml:space="preserve">amounts of </w:t>
      </w:r>
      <w:r>
        <w:rPr>
          <w:rFonts w:eastAsia="Arial Unicode MS"/>
          <w:lang w:eastAsia="en-AU"/>
        </w:rPr>
        <w:t>salt into the Coorong as this water travels south-east to replenish water evaporated from the lagoons. The salinity of the Coorong, particularly in the South Lagoon is a key determinant of habitat suitability for macrophytes, invertebrates and fish.</w:t>
      </w:r>
    </w:p>
    <w:p w14:paraId="1032D7BB" w14:textId="77777777" w:rsidR="007117DA" w:rsidRDefault="007117DA" w:rsidP="007117DA">
      <w:r>
        <w:t xml:space="preserve">Nutrients drive system productivity and so understanding how they are transported between the various components of riverine ecosystems can offer insights into river and estuary productivity. Dissolved inorganic nutrients are essential resources for the growth and survival of biota and are readily assimilated </w:t>
      </w:r>
      <w:r>
        <w:rPr>
          <w:noProof/>
        </w:rPr>
        <w:t>(Poff</w:t>
      </w:r>
      <w:r>
        <w:rPr>
          <w:i/>
          <w:noProof/>
        </w:rPr>
        <w:t xml:space="preserve"> et al.</w:t>
      </w:r>
      <w:r>
        <w:rPr>
          <w:noProof/>
        </w:rPr>
        <w:t xml:space="preserve"> 1997)</w:t>
      </w:r>
      <w:r>
        <w:t xml:space="preserve">. In healthy ecosystems, mobilisation of nutrients can enhance productivity and support ecosystems, however, in poorly flushed or over-enriched systems, then addition of nutrients leads to eutrophication and numerous undesirable consequences. </w:t>
      </w:r>
    </w:p>
    <w:p w14:paraId="098AE4BF" w14:textId="47734C4C" w:rsidR="007117DA" w:rsidRDefault="007117DA" w:rsidP="007117DA">
      <w:r>
        <w:t xml:space="preserve">Nitrogen, </w:t>
      </w:r>
      <w:proofErr w:type="gramStart"/>
      <w:r>
        <w:t>phosphorus</w:t>
      </w:r>
      <w:proofErr w:type="gramEnd"/>
      <w:r>
        <w:t xml:space="preserve"> and silica are of particular interest because they are generally the most limiting biologically active elements that control the productivity of aquatic ecosystems. River flows result in the mobilisation and transport of dissolved nutrients through the leaching of nutrients from dried sediments and dead organic matter in the river and floodplain catchment. Particulate organic nutrients (phosphorus and nitrogen) are those nutrients incorporated into the tissue of living and dead organisms. Flow can influence particulate organic nutrient concentrations and transport </w:t>
      </w:r>
      <w:r w:rsidR="00667AE1">
        <w:t xml:space="preserve">through several mechanisms, </w:t>
      </w:r>
      <w:r>
        <w:t xml:space="preserve">including through increased productivity associated with elevated dissolved nutrient concentrations. Chlorophyll </w:t>
      </w:r>
      <w:r>
        <w:rPr>
          <w:i/>
        </w:rPr>
        <w:t>a</w:t>
      </w:r>
      <w:r>
        <w:t xml:space="preserve"> is the key measure of phytoplankton biomass used since it is indicative of the amount of primary production in riverine ecosystems. Flow can influence chlorophyll </w:t>
      </w:r>
      <w:r>
        <w:rPr>
          <w:i/>
        </w:rPr>
        <w:t>a</w:t>
      </w:r>
      <w:r>
        <w:t xml:space="preserve"> concentrations and transport through increased phytoplankton productivity, by providing nutrients, or by flushing and diluting phytoplankton biomass. </w:t>
      </w:r>
    </w:p>
    <w:p w14:paraId="307635A0" w14:textId="77777777" w:rsidR="007117DA" w:rsidRDefault="007117DA" w:rsidP="007117DA">
      <w:r>
        <w:rPr>
          <w:lang w:val="en-US"/>
        </w:rPr>
        <w:t xml:space="preserve">To assess the </w:t>
      </w:r>
      <w:r>
        <w:t xml:space="preserve">contribution of environmental water delivery </w:t>
      </w:r>
      <w:r>
        <w:rPr>
          <w:lang w:val="en-US"/>
        </w:rPr>
        <w:t>to matter transport in the LMR from 1 July 2019 to 30 June 2020, a hydrodynamic-biogeochemical model was applied for the region below Lock 1 to the Murray Mouth (</w:t>
      </w:r>
      <w:r>
        <w:rPr>
          <w:lang w:val="en-US"/>
        </w:rPr>
        <w:fldChar w:fldCharType="begin"/>
      </w:r>
      <w:r>
        <w:rPr>
          <w:lang w:val="en-US"/>
        </w:rPr>
        <w:instrText xml:space="preserve"> REF _Ref469926522 \h  \* MERGEFORMAT </w:instrText>
      </w:r>
      <w:r>
        <w:rPr>
          <w:lang w:val="en-US"/>
        </w:rPr>
      </w:r>
      <w:r>
        <w:rPr>
          <w:lang w:val="en-US"/>
        </w:rPr>
        <w:fldChar w:fldCharType="separate"/>
      </w:r>
      <w:r>
        <w:t xml:space="preserve">Figure </w:t>
      </w:r>
      <w:r>
        <w:rPr>
          <w:noProof/>
        </w:rPr>
        <w:t>1</w:t>
      </w:r>
      <w:r>
        <w:rPr>
          <w:lang w:val="en-US"/>
        </w:rPr>
        <w:fldChar w:fldCharType="end"/>
      </w:r>
      <w:r>
        <w:rPr>
          <w:lang w:val="en-US"/>
        </w:rPr>
        <w:t xml:space="preserve">). The model has been </w:t>
      </w:r>
      <w:r>
        <w:t>validated with water quality data, and is used to understand salt, nutrient and phytoplankton movement.</w:t>
      </w:r>
    </w:p>
    <w:p w14:paraId="1AD769C3" w14:textId="77777777" w:rsidR="00667AE1" w:rsidRDefault="00667AE1" w:rsidP="00667AE1">
      <w:pPr>
        <w:rPr>
          <w:i/>
          <w:u w:val="single"/>
        </w:rPr>
      </w:pPr>
      <w:r>
        <w:rPr>
          <w:i/>
          <w:u w:val="single"/>
        </w:rPr>
        <w:t>Major hypotheses</w:t>
      </w:r>
    </w:p>
    <w:p w14:paraId="55011AD5" w14:textId="77777777" w:rsidR="00667AE1" w:rsidRDefault="00667AE1" w:rsidP="00667AE1">
      <w:r>
        <w:t>Commonwealth environmental water will:</w:t>
      </w:r>
    </w:p>
    <w:p w14:paraId="266F31AD" w14:textId="220A8E61" w:rsidR="00667AE1" w:rsidRDefault="00667AE1" w:rsidP="00667AE1">
      <w:pPr>
        <w:numPr>
          <w:ilvl w:val="0"/>
          <w:numId w:val="5"/>
        </w:numPr>
        <w:jc w:val="left"/>
      </w:pPr>
      <w:r>
        <w:t xml:space="preserve">Increase the mobilisation of salt from the Basin and increase the transport of salt passing from Lock 1 through the Murray River Channel and through the Lower Lakes and Murray </w:t>
      </w:r>
      <w:proofErr w:type="gramStart"/>
      <w:r>
        <w:t>Mouth</w:t>
      </w:r>
      <w:r w:rsidR="0075658C">
        <w:t>;</w:t>
      </w:r>
      <w:proofErr w:type="gramEnd"/>
    </w:p>
    <w:p w14:paraId="12D17A97" w14:textId="75E68A38" w:rsidR="00667AE1" w:rsidRDefault="00667AE1" w:rsidP="00667AE1">
      <w:pPr>
        <w:numPr>
          <w:ilvl w:val="0"/>
          <w:numId w:val="5"/>
        </w:numPr>
        <w:jc w:val="left"/>
        <w:rPr>
          <w:color w:val="auto"/>
          <w:szCs w:val="22"/>
        </w:rPr>
      </w:pPr>
      <w:r>
        <w:t>Increase the mobilisation of nutrients from the Basin and increase nutrient loads p</w:t>
      </w:r>
      <w:r>
        <w:rPr>
          <w:szCs w:val="22"/>
        </w:rPr>
        <w:t xml:space="preserve">assing from Lock 1 through the Murray River Channel and through the Lower </w:t>
      </w:r>
      <w:r>
        <w:rPr>
          <w:color w:val="auto"/>
          <w:szCs w:val="22"/>
        </w:rPr>
        <w:t xml:space="preserve">Lakes and Murray </w:t>
      </w:r>
      <w:proofErr w:type="gramStart"/>
      <w:r>
        <w:rPr>
          <w:color w:val="auto"/>
          <w:szCs w:val="22"/>
        </w:rPr>
        <w:t>Mouth</w:t>
      </w:r>
      <w:r w:rsidR="0075658C">
        <w:rPr>
          <w:color w:val="auto"/>
          <w:szCs w:val="22"/>
        </w:rPr>
        <w:t>;</w:t>
      </w:r>
      <w:proofErr w:type="gramEnd"/>
    </w:p>
    <w:p w14:paraId="0958A3F0" w14:textId="2981F805" w:rsidR="00667AE1" w:rsidRPr="00A229CC" w:rsidRDefault="00667AE1" w:rsidP="00667AE1">
      <w:pPr>
        <w:numPr>
          <w:ilvl w:val="0"/>
          <w:numId w:val="5"/>
        </w:numPr>
        <w:jc w:val="left"/>
        <w:rPr>
          <w:rFonts w:ascii="Frutiger LT Std 45 Light" w:hAnsi="Frutiger LT Std 45 Light" w:cs="Frutiger LT Std 45 Light"/>
          <w:color w:val="auto"/>
          <w:spacing w:val="5"/>
          <w:szCs w:val="22"/>
        </w:rPr>
      </w:pPr>
      <w:r>
        <w:rPr>
          <w:color w:val="auto"/>
          <w:szCs w:val="22"/>
        </w:rPr>
        <w:t>Increase suspended solid loads (including phytoplankton biomass) passing from Lock 1 through the Murray River Channel and through the Lower Lakes and Murray Mouth</w:t>
      </w:r>
      <w:r w:rsidR="0075658C">
        <w:rPr>
          <w:color w:val="auto"/>
          <w:szCs w:val="22"/>
        </w:rPr>
        <w:t>; and</w:t>
      </w:r>
    </w:p>
    <w:p w14:paraId="2895E0B1" w14:textId="77777777" w:rsidR="00667AE1" w:rsidRPr="00A229CC" w:rsidRDefault="00667AE1" w:rsidP="00667AE1">
      <w:pPr>
        <w:numPr>
          <w:ilvl w:val="0"/>
          <w:numId w:val="5"/>
        </w:numPr>
        <w:jc w:val="left"/>
      </w:pPr>
      <w:r>
        <w:t>Decrease the rate of salt and nutrient accumulation in the North and South Coorong lagoons.</w:t>
      </w:r>
    </w:p>
    <w:p w14:paraId="602FA262" w14:textId="77777777" w:rsidR="007117DA" w:rsidRDefault="007117DA" w:rsidP="00667AE1">
      <w:pPr>
        <w:jc w:val="left"/>
        <w:rPr>
          <w:rFonts w:ascii="Frutiger LT Std 45 Light" w:hAnsi="Frutiger LT Std 45 Light" w:cs="Frutiger LT Std 45 Light"/>
          <w:color w:val="auto"/>
          <w:spacing w:val="5"/>
          <w:szCs w:val="22"/>
        </w:rPr>
      </w:pPr>
    </w:p>
    <w:p w14:paraId="1E758396" w14:textId="77777777" w:rsidR="007117DA" w:rsidRDefault="007117DA" w:rsidP="007117DA">
      <w:pPr>
        <w:pStyle w:val="Heading3"/>
      </w:pPr>
      <w:r>
        <w:t>Methods</w:t>
      </w:r>
    </w:p>
    <w:p w14:paraId="1D45E03F" w14:textId="77777777" w:rsidR="007117DA" w:rsidRDefault="007117DA" w:rsidP="007117DA">
      <w:pPr>
        <w:rPr>
          <w:rFonts w:eastAsia="Arial Unicode MS"/>
          <w:lang w:eastAsia="en-AU"/>
        </w:rPr>
      </w:pPr>
      <w:r>
        <w:rPr>
          <w:rFonts w:eastAsia="Arial Unicode MS"/>
          <w:lang w:eastAsia="en-AU"/>
        </w:rPr>
        <w:t>The contribution of environmental water to the transport of salt, nutrients and phytoplankton was assessed with a coupled hydrodynamic–biogeochemical model for the reach below Lock 1 to the Murray Mouth. Salt, nutrient and phytoplankton transport was predicted for three different flow scenarios: with all environmental water (i.e. the observed flow), flow without Commonwealth environmental water, and flow without any environmental water (i.e. counter-factual simulations assessing what would have happened if flows were not augmented with environmental water).</w:t>
      </w:r>
    </w:p>
    <w:p w14:paraId="1CB880B2" w14:textId="77777777" w:rsidR="007117DA" w:rsidRDefault="007117DA" w:rsidP="007117DA">
      <w:pPr>
        <w:rPr>
          <w:i/>
          <w:u w:val="single"/>
        </w:rPr>
      </w:pPr>
      <w:r>
        <w:rPr>
          <w:rFonts w:eastAsia="Arial Unicode MS"/>
          <w:lang w:eastAsia="en-AU"/>
        </w:rPr>
        <w:t xml:space="preserve">When modelling, it is necessary to make assumptions on the relationships between flow and nutrients or salt, nutrient dynamics in sediments and floodplain habitats, and the utilisation of nutrients by phytoplankton. This leads to a degree of uncertainty in model outputs; however, given previous model development and validation initiatives over the past decade, it is considered that this uncertainty is within reasonable bounds (Aldridge </w:t>
      </w:r>
      <w:r>
        <w:rPr>
          <w:rFonts w:eastAsia="Arial Unicode MS"/>
          <w:i/>
          <w:lang w:eastAsia="en-AU"/>
        </w:rPr>
        <w:t>et al.</w:t>
      </w:r>
      <w:r>
        <w:rPr>
          <w:rFonts w:eastAsia="Arial Unicode MS"/>
          <w:lang w:eastAsia="en-AU"/>
        </w:rPr>
        <w:t xml:space="preserve"> 2013) and the results can be used to reliably assess the general response attributable to environmental water.</w:t>
      </w:r>
    </w:p>
    <w:p w14:paraId="6D2DDBCB" w14:textId="77777777" w:rsidR="007117DA" w:rsidRDefault="007117DA" w:rsidP="007117DA">
      <w:pPr>
        <w:rPr>
          <w:i/>
          <w:u w:val="single"/>
        </w:rPr>
      </w:pPr>
    </w:p>
    <w:p w14:paraId="1355DE41" w14:textId="77777777" w:rsidR="007117DA" w:rsidRDefault="007117DA" w:rsidP="007117DA">
      <w:pPr>
        <w:rPr>
          <w:i/>
          <w:u w:val="single"/>
        </w:rPr>
      </w:pPr>
      <w:r>
        <w:rPr>
          <w:i/>
          <w:u w:val="single"/>
        </w:rPr>
        <w:t>Water quality sampling and analyses</w:t>
      </w:r>
    </w:p>
    <w:p w14:paraId="603C1F7B" w14:textId="77777777" w:rsidR="007117DA" w:rsidRDefault="007117DA" w:rsidP="007117DA">
      <w:bookmarkStart w:id="142" w:name="_Hlk64576496"/>
      <w:r>
        <w:t xml:space="preserve">Water temperature, electrical conductivity, dissolved oxygen, pH, filterable reactive phosphorus (hereafter referred to as phosphate), total phosphorus (TP), combined nitrate and nitrite (NOx), ammonium, total </w:t>
      </w:r>
      <w:proofErr w:type="spellStart"/>
      <w:r>
        <w:t>Kjeldahl</w:t>
      </w:r>
      <w:proofErr w:type="spellEnd"/>
      <w:r>
        <w:t xml:space="preserve"> nitrogen (TN), dissolved silica and chlorophyll </w:t>
      </w:r>
      <w:r>
        <w:rPr>
          <w:i/>
        </w:rPr>
        <w:t>a</w:t>
      </w:r>
      <w:r>
        <w:t xml:space="preserve"> were monitored at multiple sites in the Murray River and form initial inputs to the biogeochemical models. Organic nitrogen was calculated as the difference between total </w:t>
      </w:r>
      <w:proofErr w:type="spellStart"/>
      <w:r>
        <w:t>Kjeldahl</w:t>
      </w:r>
      <w:proofErr w:type="spellEnd"/>
      <w:r>
        <w:t xml:space="preserve"> nitrogen and ammonium.</w:t>
      </w:r>
      <w:r w:rsidRPr="007A596F">
        <w:t xml:space="preserve"> </w:t>
      </w:r>
      <w:r>
        <w:t xml:space="preserve">These nutrient concentrations are representative of conditions in the river and </w:t>
      </w:r>
      <w:proofErr w:type="gramStart"/>
      <w:r>
        <w:t>Coorong,</w:t>
      </w:r>
      <w:proofErr w:type="gramEnd"/>
      <w:r>
        <w:t xml:space="preserve"> however, salinity was measured more frequently in the river and Coorong, enabling use of this data for the 2019-20 modelling and analysis.</w:t>
      </w:r>
    </w:p>
    <w:p w14:paraId="7D90908A" w14:textId="77777777" w:rsidR="007117DA" w:rsidRDefault="007117DA" w:rsidP="007117DA">
      <w:pPr>
        <w:rPr>
          <w:i/>
          <w:u w:val="single"/>
        </w:rPr>
      </w:pPr>
      <w:r>
        <w:rPr>
          <w:i/>
          <w:u w:val="single"/>
        </w:rPr>
        <w:t>Hydrodynamic–biogeochemical modelling</w:t>
      </w:r>
    </w:p>
    <w:p w14:paraId="2E05FCB0" w14:textId="77777777" w:rsidR="007117DA" w:rsidRDefault="007117DA" w:rsidP="007117DA">
      <w:r>
        <w:rPr>
          <w:lang w:val="en-US"/>
        </w:rPr>
        <w:t xml:space="preserve">The model platform used to assess the effects of environmental water delivery on salt and nutrient transport was the coupled hydrodynamic–biogeochemical model “TUFLOW-FV – AED” (referred to as FV-AED for short), developed by BMT Global Pty Ltd. and the University of Western Australia. </w:t>
      </w:r>
      <w:r>
        <w:t xml:space="preserve">TUFLOW-FV has been used extensively in the region for hydrological </w:t>
      </w:r>
      <w:proofErr w:type="gramStart"/>
      <w:r>
        <w:t>assessments, and</w:t>
      </w:r>
      <w:proofErr w:type="gramEnd"/>
      <w:r>
        <w:t xml:space="preserve"> was previously used to assess the contribution of environmental water to dissolved and particulate matter for water years 2013-14 to 2018-19 (</w:t>
      </w:r>
      <w:r>
        <w:rPr>
          <w:color w:val="auto"/>
          <w:lang w:val="en-US"/>
        </w:rPr>
        <w:t xml:space="preserve">Ye </w:t>
      </w:r>
      <w:r>
        <w:rPr>
          <w:i/>
          <w:color w:val="auto"/>
          <w:lang w:val="en-US"/>
        </w:rPr>
        <w:t>et al</w:t>
      </w:r>
      <w:r>
        <w:rPr>
          <w:color w:val="auto"/>
          <w:lang w:val="en-US"/>
        </w:rPr>
        <w:t>. 2016a;2020</w:t>
      </w:r>
      <w:r>
        <w:t xml:space="preserve">). </w:t>
      </w:r>
    </w:p>
    <w:p w14:paraId="36BBBDD6" w14:textId="4D04471C" w:rsidR="007117DA" w:rsidRDefault="007117DA" w:rsidP="007117DA">
      <w:pPr>
        <w:rPr>
          <w:lang w:val="en-US"/>
        </w:rPr>
      </w:pPr>
      <w:r>
        <w:t xml:space="preserve">In this assessment, </w:t>
      </w:r>
      <w:r>
        <w:rPr>
          <w:lang w:val="en-US"/>
        </w:rPr>
        <w:t>two model domains were applied spanning: (1) Lock 1 to the Southern Ocean, including the Coorong (</w:t>
      </w:r>
      <w:r>
        <w:rPr>
          <w:lang w:val="en-US"/>
        </w:rPr>
        <w:fldChar w:fldCharType="begin"/>
      </w:r>
      <w:r>
        <w:rPr>
          <w:lang w:val="en-US"/>
        </w:rPr>
        <w:instrText xml:space="preserve"> REF _Ref25825173 \h </w:instrText>
      </w:r>
      <w:r>
        <w:rPr>
          <w:lang w:val="en-US"/>
        </w:rPr>
      </w:r>
      <w:r>
        <w:rPr>
          <w:lang w:val="en-US"/>
        </w:rPr>
        <w:fldChar w:fldCharType="separate"/>
      </w:r>
      <w:r w:rsidR="00CF2251">
        <w:t xml:space="preserve">Figure </w:t>
      </w:r>
      <w:r w:rsidR="00CF2251">
        <w:rPr>
          <w:noProof/>
        </w:rPr>
        <w:t>23</w:t>
      </w:r>
      <w:r>
        <w:rPr>
          <w:lang w:val="en-US"/>
        </w:rPr>
        <w:fldChar w:fldCharType="end"/>
      </w:r>
      <w:r>
        <w:rPr>
          <w:lang w:val="en-US"/>
        </w:rPr>
        <w:t>), and (2) a high-resolution Coorong only model (described further below). The TUFLOW-FV model adopts an unstructured-</w:t>
      </w:r>
      <w:r>
        <w:rPr>
          <w:color w:val="auto"/>
          <w:lang w:val="en-US"/>
        </w:rPr>
        <w:t xml:space="preserve">mesh to resolve </w:t>
      </w:r>
      <w:proofErr w:type="spellStart"/>
      <w:r>
        <w:rPr>
          <w:color w:val="auto"/>
          <w:lang w:val="en-US"/>
        </w:rPr>
        <w:t>spatio</w:t>
      </w:r>
      <w:proofErr w:type="spellEnd"/>
      <w:r>
        <w:rPr>
          <w:color w:val="auto"/>
          <w:lang w:val="en-US"/>
        </w:rPr>
        <w:t xml:space="preserve">-temporal changes in water velocity, </w:t>
      </w:r>
      <w:proofErr w:type="gramStart"/>
      <w:r>
        <w:rPr>
          <w:color w:val="auto"/>
          <w:lang w:val="en-US"/>
        </w:rPr>
        <w:t>temperature</w:t>
      </w:r>
      <w:proofErr w:type="gramEnd"/>
      <w:r>
        <w:rPr>
          <w:color w:val="auto"/>
          <w:lang w:val="en-US"/>
        </w:rPr>
        <w:t xml:space="preserve"> and salinity dynamics, in response to changing meteorological and inflow conditions. Superimposed on the hydrodynamics, the Aquatic </w:t>
      </w:r>
      <w:proofErr w:type="spellStart"/>
      <w:r>
        <w:rPr>
          <w:color w:val="auto"/>
          <w:lang w:val="en-US"/>
        </w:rPr>
        <w:t>EcoDynamics</w:t>
      </w:r>
      <w:proofErr w:type="spellEnd"/>
      <w:r>
        <w:rPr>
          <w:color w:val="auto"/>
          <w:lang w:val="en-US"/>
        </w:rPr>
        <w:t xml:space="preserve"> (AED) water quality modules were configured to simulate the dynamics of light, oxygen, nutrients, organic matter, </w:t>
      </w:r>
      <w:proofErr w:type="gramStart"/>
      <w:r>
        <w:rPr>
          <w:color w:val="auto"/>
          <w:lang w:val="en-US"/>
        </w:rPr>
        <w:t>turbidity</w:t>
      </w:r>
      <w:proofErr w:type="gramEnd"/>
      <w:r>
        <w:rPr>
          <w:color w:val="auto"/>
          <w:lang w:val="en-US"/>
        </w:rPr>
        <w:t xml:space="preserve"> and phytoplankton.</w:t>
      </w:r>
      <w:r>
        <w:rPr>
          <w:lang w:val="en-US"/>
        </w:rPr>
        <w:t xml:space="preserve"> Both model domains mentioned above were configured to simulate the same hydrologic and biogeochemical processes, however the Coorong only model had a higher resolution mesh for better resolving the water quality conditions, and it was also required for the habitat assessment of </w:t>
      </w:r>
      <w:proofErr w:type="spellStart"/>
      <w:r>
        <w:rPr>
          <w:i/>
          <w:lang w:val="en-US"/>
        </w:rPr>
        <w:t>Ruppia</w:t>
      </w:r>
      <w:proofErr w:type="spellEnd"/>
      <w:r>
        <w:rPr>
          <w:lang w:val="en-US"/>
        </w:rPr>
        <w:t xml:space="preserve"> and the various fish species of interest (Section 2.3.2).</w:t>
      </w:r>
    </w:p>
    <w:p w14:paraId="5B6E82AC" w14:textId="6E087F4D" w:rsidR="007117DA" w:rsidRDefault="007117DA" w:rsidP="007117DA">
      <w:pPr>
        <w:rPr>
          <w:lang w:val="en-US"/>
        </w:rPr>
      </w:pPr>
      <w:r>
        <w:rPr>
          <w:lang w:val="en-US"/>
        </w:rPr>
        <w:t xml:space="preserve">The first model runs with the full domain were </w:t>
      </w:r>
      <w:proofErr w:type="spellStart"/>
      <w:r>
        <w:rPr>
          <w:lang w:val="en-US"/>
        </w:rPr>
        <w:t>initialised</w:t>
      </w:r>
      <w:proofErr w:type="spellEnd"/>
      <w:r>
        <w:rPr>
          <w:lang w:val="en-US"/>
        </w:rPr>
        <w:t xml:space="preserve"> with data from a range of sources. Inflow data (Lock 1), used to drive the main river domain, were provided by the MDBA for the three scenarios (</w:t>
      </w:r>
      <w:r>
        <w:rPr>
          <w:lang w:val="en-US"/>
        </w:rPr>
        <w:fldChar w:fldCharType="begin"/>
      </w:r>
      <w:r>
        <w:rPr>
          <w:lang w:val="en-US"/>
        </w:rPr>
        <w:instrText xml:space="preserve"> REF _Ref25581279 \h </w:instrText>
      </w:r>
      <w:r>
        <w:rPr>
          <w:lang w:val="en-US"/>
        </w:rPr>
      </w:r>
      <w:r>
        <w:rPr>
          <w:lang w:val="en-US"/>
        </w:rPr>
        <w:fldChar w:fldCharType="separate"/>
      </w:r>
      <w:r w:rsidR="00CF2251">
        <w:t xml:space="preserve">Figure </w:t>
      </w:r>
      <w:r w:rsidR="00CF2251">
        <w:rPr>
          <w:noProof/>
        </w:rPr>
        <w:t>24</w:t>
      </w:r>
      <w:r>
        <w:rPr>
          <w:lang w:val="en-US"/>
        </w:rPr>
        <w:fldChar w:fldCharType="end"/>
      </w:r>
      <w:r>
        <w:rPr>
          <w:lang w:val="en-US"/>
        </w:rPr>
        <w:t xml:space="preserve">), </w:t>
      </w:r>
      <w:proofErr w:type="gramStart"/>
      <w:r>
        <w:rPr>
          <w:lang w:val="en-US"/>
        </w:rPr>
        <w:t>i.e.</w:t>
      </w:r>
      <w:proofErr w:type="gramEnd"/>
      <w:r>
        <w:rPr>
          <w:lang w:val="en-US"/>
        </w:rPr>
        <w:t xml:space="preserve"> with all environmental water (“</w:t>
      </w:r>
      <w:r w:rsidRPr="00E94481">
        <w:rPr>
          <w:b/>
          <w:bCs/>
          <w:i/>
          <w:iCs/>
          <w:lang w:val="en-US"/>
        </w:rPr>
        <w:t>all water</w:t>
      </w:r>
      <w:r>
        <w:rPr>
          <w:lang w:val="en-US"/>
        </w:rPr>
        <w:t>”, representing observed conditions), without Commonwealth environmental water (“</w:t>
      </w:r>
      <w:r w:rsidRPr="00E94481">
        <w:rPr>
          <w:b/>
          <w:bCs/>
          <w:i/>
          <w:iCs/>
          <w:lang w:val="en-US"/>
        </w:rPr>
        <w:t>no CEW</w:t>
      </w:r>
      <w:r>
        <w:rPr>
          <w:lang w:val="en-US"/>
        </w:rPr>
        <w:t>”), and without any environmental water (“</w:t>
      </w:r>
      <w:r w:rsidRPr="00E94481">
        <w:rPr>
          <w:b/>
          <w:bCs/>
          <w:i/>
          <w:iCs/>
          <w:lang w:val="en-US"/>
        </w:rPr>
        <w:t>no eWater</w:t>
      </w:r>
      <w:r>
        <w:rPr>
          <w:lang w:val="en-US"/>
        </w:rPr>
        <w:t xml:space="preserve">”). These simulations extend previous model runs that started 1 July 2014 (Ye </w:t>
      </w:r>
      <w:r w:rsidRPr="00375253">
        <w:rPr>
          <w:i/>
          <w:iCs/>
          <w:lang w:val="en-US"/>
        </w:rPr>
        <w:t>et al</w:t>
      </w:r>
      <w:r w:rsidRPr="003A6F19">
        <w:rPr>
          <w:lang w:val="en-US"/>
        </w:rPr>
        <w:t>.</w:t>
      </w:r>
      <w:r>
        <w:rPr>
          <w:lang w:val="en-US"/>
        </w:rPr>
        <w:t xml:space="preserve"> 2020</w:t>
      </w:r>
      <w:proofErr w:type="gramStart"/>
      <w:r>
        <w:rPr>
          <w:lang w:val="en-US"/>
        </w:rPr>
        <w:t>), and</w:t>
      </w:r>
      <w:proofErr w:type="gramEnd"/>
      <w:r>
        <w:rPr>
          <w:lang w:val="en-US"/>
        </w:rPr>
        <w:t xml:space="preserve"> were run for this assessment for the period between 1 July 2019 and 30 June 2020. </w:t>
      </w:r>
    </w:p>
    <w:p w14:paraId="3997E8B6" w14:textId="77777777" w:rsidR="007117DA" w:rsidRDefault="007117DA" w:rsidP="007117DA"/>
    <w:bookmarkEnd w:id="142"/>
    <w:p w14:paraId="13C75AFF" w14:textId="77777777" w:rsidR="007117DA" w:rsidRDefault="007117DA" w:rsidP="007117DA">
      <w:pPr>
        <w:widowControl w:val="0"/>
        <w:jc w:val="center"/>
        <w:rPr>
          <w:lang w:val="en-US"/>
        </w:rPr>
      </w:pPr>
      <w:r>
        <w:rPr>
          <w:noProof/>
          <w:lang w:val="en-US"/>
        </w:rPr>
        <w:drawing>
          <wp:inline distT="0" distB="0" distL="0" distR="0" wp14:anchorId="2AC33329" wp14:editId="1D8E73E7">
            <wp:extent cx="5284470" cy="7885430"/>
            <wp:effectExtent l="0" t="0" r="0" b="127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5284470" cy="7885430"/>
                    </a:xfrm>
                    <a:prstGeom prst="rect">
                      <a:avLst/>
                    </a:prstGeom>
                    <a:noFill/>
                    <a:ln>
                      <a:noFill/>
                    </a:ln>
                  </pic:spPr>
                </pic:pic>
              </a:graphicData>
            </a:graphic>
          </wp:inline>
        </w:drawing>
      </w:r>
    </w:p>
    <w:p w14:paraId="61FAAA0C" w14:textId="4D10A531" w:rsidR="007117DA" w:rsidRDefault="007117DA" w:rsidP="007117DA">
      <w:pPr>
        <w:pStyle w:val="Caption"/>
      </w:pPr>
      <w:bookmarkStart w:id="143" w:name="_Ref25825173"/>
      <w:bookmarkStart w:id="144" w:name="_Toc59032038"/>
      <w:bookmarkStart w:id="145" w:name="_Toc69387687"/>
      <w:r>
        <w:t xml:space="preserve">Figure </w:t>
      </w:r>
      <w:r>
        <w:fldChar w:fldCharType="begin"/>
      </w:r>
      <w:r>
        <w:rPr>
          <w:noProof/>
        </w:rPr>
        <w:instrText xml:space="preserve"> SEQ Figure \* ARABIC </w:instrText>
      </w:r>
      <w:r>
        <w:fldChar w:fldCharType="separate"/>
      </w:r>
      <w:r w:rsidR="00996426">
        <w:rPr>
          <w:noProof/>
        </w:rPr>
        <w:t>23</w:t>
      </w:r>
      <w:r>
        <w:fldChar w:fldCharType="end"/>
      </w:r>
      <w:bookmarkEnd w:id="143"/>
      <w:r>
        <w:t>. Overview of model domain applied in the Matter Transport study of LTIM using TUFLOW-FV. Grid provided courtesy of DEW. Coloured grids in maps on the right-hand side represent depths, i.e. increasing depth from shallow (blue) to deep (red).</w:t>
      </w:r>
      <w:bookmarkEnd w:id="144"/>
      <w:bookmarkEnd w:id="145"/>
    </w:p>
    <w:p w14:paraId="685A7E26" w14:textId="77777777" w:rsidR="007117DA" w:rsidRDefault="007117DA" w:rsidP="007117DA">
      <w:r>
        <w:rPr>
          <w:noProof/>
          <w:lang w:val="en-US"/>
        </w:rPr>
        <w:drawing>
          <wp:inline distT="0" distB="0" distL="0" distR="0" wp14:anchorId="7D012DBF" wp14:editId="3144E782">
            <wp:extent cx="5704061" cy="2914650"/>
            <wp:effectExtent l="0" t="0" r="0" b="0"/>
            <wp:docPr id="111" name="Picture 111" descr="A picture containing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 picture containing histogram&#10;&#10;Description automatically generated"/>
                    <pic:cNvPicPr>
                      <a:picLocks noChangeAspect="1" noChangeArrowheads="1"/>
                    </pic:cNvPicPr>
                  </pic:nvPicPr>
                  <pic:blipFill rotWithShape="1">
                    <a:blip r:embed="rId70" cstate="email">
                      <a:extLst>
                        <a:ext uri="{28A0092B-C50C-407E-A947-70E740481C1C}">
                          <a14:useLocalDpi xmlns:a14="http://schemas.microsoft.com/office/drawing/2010/main"/>
                        </a:ext>
                      </a:extLst>
                    </a:blip>
                    <a:srcRect/>
                    <a:stretch/>
                  </pic:blipFill>
                  <pic:spPr bwMode="auto">
                    <a:xfrm>
                      <a:off x="0" y="0"/>
                      <a:ext cx="5719274" cy="2922424"/>
                    </a:xfrm>
                    <a:prstGeom prst="rect">
                      <a:avLst/>
                    </a:prstGeom>
                    <a:no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2A6784E" w14:textId="7D68E0FA" w:rsidR="007117DA" w:rsidRDefault="007117DA" w:rsidP="00F8184E">
      <w:pPr>
        <w:pStyle w:val="Captions"/>
      </w:pPr>
      <w:bookmarkStart w:id="146" w:name="_Ref25581279"/>
      <w:bookmarkStart w:id="147" w:name="_Toc69387688"/>
      <w:r>
        <w:t xml:space="preserve">Figure </w:t>
      </w:r>
      <w:r>
        <w:fldChar w:fldCharType="begin"/>
      </w:r>
      <w:r>
        <w:rPr>
          <w:noProof/>
        </w:rPr>
        <w:instrText xml:space="preserve"> SEQ Figure \* ARABIC </w:instrText>
      </w:r>
      <w:r>
        <w:fldChar w:fldCharType="separate"/>
      </w:r>
      <w:r w:rsidR="00996426">
        <w:rPr>
          <w:noProof/>
        </w:rPr>
        <w:t>24</w:t>
      </w:r>
      <w:r>
        <w:fldChar w:fldCharType="end"/>
      </w:r>
      <w:bookmarkEnd w:id="146"/>
      <w:r>
        <w:t xml:space="preserve">. Overview of the flow rates from three water sources assessed by the model simulations. </w:t>
      </w:r>
      <w:r w:rsidR="00980484">
        <w:t xml:space="preserve">The area plots show the proportion of flow that was considered non-allocated (“no eWater” scenario), the proportion of </w:t>
      </w:r>
      <w:r>
        <w:t>Commonwealth environmental water (</w:t>
      </w:r>
      <w:r w:rsidR="00980484">
        <w:t>CEWO</w:t>
      </w:r>
      <w:r>
        <w:t xml:space="preserve">) and </w:t>
      </w:r>
      <w:r w:rsidR="00980484">
        <w:t>the proportion of non-CEW environmental water (eWater, together with non-allocated is the “no CEW” scenario</w:t>
      </w:r>
      <w:r w:rsidR="00667AE1">
        <w:t>). The cumulation of all these flows represents the ‘all water” scenario. Flows were applied to the full domain matter transport model at the upstream boundary, which is at Lock 1.</w:t>
      </w:r>
      <w:bookmarkEnd w:id="147"/>
    </w:p>
    <w:p w14:paraId="776235E1" w14:textId="099DFB35" w:rsidR="007117DA" w:rsidRDefault="006A00AA" w:rsidP="007117DA">
      <w:pPr>
        <w:rPr>
          <w:lang w:val="en-US"/>
        </w:rPr>
      </w:pPr>
      <w:r>
        <w:t xml:space="preserve">Additional </w:t>
      </w:r>
      <w:bookmarkStart w:id="148" w:name="_Hlk64577162"/>
      <w:r w:rsidR="007117DA">
        <w:rPr>
          <w:lang w:val="en-US"/>
        </w:rPr>
        <w:t xml:space="preserve">flow specifications for SA Water off-takes were also included. Irrigation return flows were assumed to be negligible over this period and were not included in the model. Similarly, flows from Eastern Mount Lofty Ranges were not included since their contribution to the Lower Lakes </w:t>
      </w:r>
      <w:proofErr w:type="gramStart"/>
      <w:r w:rsidR="007117DA">
        <w:rPr>
          <w:lang w:val="en-US"/>
        </w:rPr>
        <w:t>was</w:t>
      </w:r>
      <w:r w:rsidR="007117DA">
        <w:rPr>
          <w:color w:val="auto"/>
          <w:lang w:val="en-US"/>
        </w:rPr>
        <w:t xml:space="preserve"> considered to be</w:t>
      </w:r>
      <w:proofErr w:type="gramEnd"/>
      <w:r w:rsidR="007117DA">
        <w:rPr>
          <w:color w:val="auto"/>
          <w:lang w:val="en-US"/>
        </w:rPr>
        <w:t xml:space="preserve"> relatively minor (Cook</w:t>
      </w:r>
      <w:r w:rsidR="007117DA">
        <w:rPr>
          <w:i/>
          <w:iCs/>
          <w:color w:val="auto"/>
          <w:lang w:val="en-US"/>
        </w:rPr>
        <w:t xml:space="preserve"> et al.</w:t>
      </w:r>
      <w:r w:rsidR="007117DA">
        <w:rPr>
          <w:color w:val="auto"/>
          <w:lang w:val="en-US"/>
        </w:rPr>
        <w:t xml:space="preserve"> 2010). Meteorological conditions were based on </w:t>
      </w:r>
      <w:r w:rsidR="007117DA">
        <w:rPr>
          <w:lang w:val="en-US"/>
        </w:rPr>
        <w:t xml:space="preserve">data from </w:t>
      </w:r>
      <w:proofErr w:type="spellStart"/>
      <w:r w:rsidR="007117DA">
        <w:rPr>
          <w:lang w:val="en-US"/>
        </w:rPr>
        <w:t>Narrung</w:t>
      </w:r>
      <w:proofErr w:type="spellEnd"/>
      <w:r w:rsidR="007117DA">
        <w:rPr>
          <w:lang w:val="en-US"/>
        </w:rPr>
        <w:t>. Between Lake Alexandrina and the Coorong, five barrages were included (</w:t>
      </w:r>
      <w:proofErr w:type="spellStart"/>
      <w:r w:rsidR="007117DA">
        <w:rPr>
          <w:lang w:val="en-US"/>
        </w:rPr>
        <w:t>Goolwa</w:t>
      </w:r>
      <w:proofErr w:type="spellEnd"/>
      <w:r w:rsidR="007117DA">
        <w:rPr>
          <w:lang w:val="en-US"/>
        </w:rPr>
        <w:t xml:space="preserve">, </w:t>
      </w:r>
      <w:proofErr w:type="spellStart"/>
      <w:r w:rsidR="007117DA">
        <w:rPr>
          <w:lang w:val="en-US"/>
        </w:rPr>
        <w:t>Mundoo</w:t>
      </w:r>
      <w:proofErr w:type="spellEnd"/>
      <w:r w:rsidR="007117DA">
        <w:rPr>
          <w:lang w:val="en-US"/>
        </w:rPr>
        <w:t xml:space="preserve">, Boundary Creek, Ewe Island and </w:t>
      </w:r>
      <w:proofErr w:type="spellStart"/>
      <w:r w:rsidR="007117DA">
        <w:rPr>
          <w:lang w:val="en-US"/>
        </w:rPr>
        <w:t>Tauwitchere</w:t>
      </w:r>
      <w:proofErr w:type="spellEnd"/>
      <w:r w:rsidR="007117DA">
        <w:rPr>
          <w:lang w:val="en-US"/>
        </w:rPr>
        <w:t xml:space="preserve">) and set with a spill-over height of 0.72 m AHD. The barrage operation was set to include gate operation based on operational information provided through discussions with representatives of DEW. At the bottom of the domain, two open boundaries were specified, one at the Murray Mouth and one at Salt Creek. Murray Mouth water level was based on Victor Harbor tidal data, which were available at </w:t>
      </w:r>
      <w:proofErr w:type="gramStart"/>
      <w:r w:rsidR="007117DA">
        <w:rPr>
          <w:lang w:val="en-US"/>
        </w:rPr>
        <w:t>10 minute</w:t>
      </w:r>
      <w:proofErr w:type="gramEnd"/>
      <w:r w:rsidR="007117DA">
        <w:rPr>
          <w:lang w:val="en-US"/>
        </w:rPr>
        <w:t xml:space="preserve"> </w:t>
      </w:r>
      <w:r w:rsidR="00022DAF">
        <w:rPr>
          <w:lang w:val="en-US"/>
        </w:rPr>
        <w:t>intervals</w:t>
      </w:r>
      <w:r w:rsidR="007117DA">
        <w:rPr>
          <w:lang w:val="en-US"/>
        </w:rPr>
        <w:t xml:space="preserve">. Salt Creek flow data were set based on available flow data from the </w:t>
      </w:r>
      <w:proofErr w:type="spellStart"/>
      <w:r w:rsidR="007117DA">
        <w:rPr>
          <w:lang w:val="en-US"/>
        </w:rPr>
        <w:t>WaterConnect</w:t>
      </w:r>
      <w:proofErr w:type="spellEnd"/>
      <w:r w:rsidR="007117DA">
        <w:rPr>
          <w:lang w:val="en-US"/>
        </w:rPr>
        <w:t xml:space="preserve"> website (DEW).</w:t>
      </w:r>
    </w:p>
    <w:p w14:paraId="0DB9E829" w14:textId="77777777" w:rsidR="007117DA" w:rsidRDefault="007117DA" w:rsidP="007117DA">
      <w:pPr>
        <w:widowControl w:val="0"/>
      </w:pPr>
      <w:r>
        <w:rPr>
          <w:lang w:val="en-US"/>
        </w:rPr>
        <w:t xml:space="preserve">Water quality conditions for both boundary points were set based on a linear interpolation of the measured nutrient and salinity data used for this study. Water quality conditions for the river inflow at Lock 1 were determined based on interpolation of available data from Lock 1 or Morgan. For water quality properties for the without environmental water scenarios, rating curves were developed for flow and concentration. Based on the daily flow difference, a scaled concentration was estimated for water quality parameters including salinity, phosphate, ammonium, nitrate, total </w:t>
      </w:r>
      <w:proofErr w:type="gramStart"/>
      <w:r>
        <w:rPr>
          <w:lang w:val="en-US"/>
        </w:rPr>
        <w:t>nitrogen</w:t>
      </w:r>
      <w:proofErr w:type="gramEnd"/>
      <w:r>
        <w:rPr>
          <w:lang w:val="en-US"/>
        </w:rPr>
        <w:t xml:space="preserve"> and silica. </w:t>
      </w:r>
      <w:r>
        <w:t xml:space="preserve">The </w:t>
      </w:r>
      <w:proofErr w:type="spellStart"/>
      <w:r>
        <w:t>physico</w:t>
      </w:r>
      <w:proofErr w:type="spellEnd"/>
      <w:r>
        <w:t xml:space="preserve">-chemical information at other sites was used to validate the model. </w:t>
      </w:r>
    </w:p>
    <w:p w14:paraId="300C2445" w14:textId="22CC9472" w:rsidR="007117DA" w:rsidRDefault="007117DA" w:rsidP="007117DA">
      <w:r>
        <w:t>The influence of environmental water on the concentrations of matter was assessed through a comparison of modelled concentrations for the various scenarios for the Barrages and Coorong. Modelled concentrations are presented as medians of modelled cells within Murray Mouth area surrounding sampling sites (</w:t>
      </w:r>
      <w:r>
        <w:fldChar w:fldCharType="begin"/>
      </w:r>
      <w:r>
        <w:instrText xml:space="preserve"> REF _Ref25581312 \h </w:instrText>
      </w:r>
      <w:r>
        <w:fldChar w:fldCharType="separate"/>
      </w:r>
      <w:r w:rsidR="00CF2251">
        <w:t xml:space="preserve">Figure </w:t>
      </w:r>
      <w:r w:rsidR="00CF2251">
        <w:rPr>
          <w:noProof/>
        </w:rPr>
        <w:t>25</w:t>
      </w:r>
      <w:r>
        <w:fldChar w:fldCharType="end"/>
      </w:r>
      <w:r>
        <w:t xml:space="preserve">). It is well established what occurs at the lake and river sites in response to environmental water and these sites are no longer reported. A range in concentrations within the Murray Mouth cells is also presented for the ‘all water’ scenario. </w:t>
      </w:r>
    </w:p>
    <w:bookmarkEnd w:id="148"/>
    <w:p w14:paraId="5CD82775" w14:textId="77777777" w:rsidR="007117DA" w:rsidRDefault="007117DA" w:rsidP="007117DA">
      <w:pPr>
        <w:jc w:val="center"/>
      </w:pPr>
      <w:r>
        <w:rPr>
          <w:noProof/>
          <w:lang w:val="en-US"/>
        </w:rPr>
        <w:drawing>
          <wp:inline distT="0" distB="0" distL="0" distR="0" wp14:anchorId="3B722817" wp14:editId="2578C73C">
            <wp:extent cx="5676265" cy="4311015"/>
            <wp:effectExtent l="0" t="0" r="635"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5676265" cy="4311015"/>
                    </a:xfrm>
                    <a:prstGeom prst="rect">
                      <a:avLst/>
                    </a:prstGeom>
                    <a:noFill/>
                    <a:ln>
                      <a:noFill/>
                    </a:ln>
                  </pic:spPr>
                </pic:pic>
              </a:graphicData>
            </a:graphic>
          </wp:inline>
        </w:drawing>
      </w:r>
    </w:p>
    <w:p w14:paraId="6B6E9CC7" w14:textId="013B9353" w:rsidR="007117DA" w:rsidRDefault="007117DA" w:rsidP="00F8184E">
      <w:pPr>
        <w:pStyle w:val="Captions"/>
      </w:pPr>
      <w:bookmarkStart w:id="149" w:name="_Ref25581312"/>
      <w:bookmarkStart w:id="150" w:name="_Toc59032040"/>
      <w:bookmarkStart w:id="151" w:name="_Toc69387689"/>
      <w:r>
        <w:t xml:space="preserve">Figure </w:t>
      </w:r>
      <w:r>
        <w:fldChar w:fldCharType="begin"/>
      </w:r>
      <w:r>
        <w:rPr>
          <w:noProof/>
        </w:rPr>
        <w:instrText xml:space="preserve"> SEQ Figure \* ARABIC </w:instrText>
      </w:r>
      <w:r>
        <w:fldChar w:fldCharType="separate"/>
      </w:r>
      <w:r w:rsidR="00996426">
        <w:rPr>
          <w:noProof/>
        </w:rPr>
        <w:t>25</w:t>
      </w:r>
      <w:r>
        <w:fldChar w:fldCharType="end"/>
      </w:r>
      <w:bookmarkEnd w:id="149"/>
      <w:r>
        <w:t>. Modelled cells (circled) used for calculating the modelled concentration of nutrients or salt at the Wellington, Lake Alexandrina Middle and Murray Mouth sites.</w:t>
      </w:r>
      <w:bookmarkEnd w:id="150"/>
      <w:bookmarkEnd w:id="151"/>
    </w:p>
    <w:p w14:paraId="0D816001" w14:textId="77777777" w:rsidR="007117DA" w:rsidRDefault="007117DA" w:rsidP="007117DA">
      <w:bookmarkStart w:id="152" w:name="_Hlk64577311"/>
      <w:r>
        <w:t xml:space="preserve">The transport of matter was assessed through modelled exports from the Murray River Channel (Wellington), Lower Lakes (Barrages) and Coorong (Murray Mouth). Findings are presented for salinity, ammonium, phosphate, dissolved silica, organic nitrogen, organic </w:t>
      </w:r>
      <w:proofErr w:type="gramStart"/>
      <w:r>
        <w:t>phosphorus</w:t>
      </w:r>
      <w:proofErr w:type="gramEnd"/>
      <w:r>
        <w:t xml:space="preserve"> and chlorophyll </w:t>
      </w:r>
      <w:r>
        <w:rPr>
          <w:i/>
        </w:rPr>
        <w:t>a</w:t>
      </w:r>
      <w:r>
        <w:t xml:space="preserve">. Salinity is presented as practical salinity units (PSU), a measurement of the </w:t>
      </w:r>
      <w:r>
        <w:rPr>
          <w:rFonts w:eastAsiaTheme="minorHAnsi"/>
          <w:color w:val="auto"/>
          <w:kern w:val="0"/>
        </w:rPr>
        <w:t>measured conductivity to standard potassium chloride (</w:t>
      </w:r>
      <w:proofErr w:type="spellStart"/>
      <w:r>
        <w:rPr>
          <w:rFonts w:eastAsiaTheme="minorHAnsi"/>
          <w:color w:val="auto"/>
          <w:kern w:val="0"/>
        </w:rPr>
        <w:t>KCl</w:t>
      </w:r>
      <w:proofErr w:type="spellEnd"/>
      <w:r>
        <w:rPr>
          <w:rFonts w:eastAsiaTheme="minorHAnsi"/>
          <w:color w:val="auto"/>
          <w:kern w:val="0"/>
        </w:rPr>
        <w:t>) conductivity</w:t>
      </w:r>
      <w:r>
        <w:t xml:space="preserve">. PSU was used for validating model outputs as it overcomes observed differences in electrical conductivity caused by changes in water temperature. One PSU is approximately equal to one part per thousand. </w:t>
      </w:r>
    </w:p>
    <w:p w14:paraId="374CB472" w14:textId="689AFE12" w:rsidR="007117DA" w:rsidRDefault="007117DA" w:rsidP="007117DA">
      <w:pPr>
        <w:rPr>
          <w:lang w:val="en-US"/>
        </w:rPr>
      </w:pPr>
      <w:r>
        <w:rPr>
          <w:lang w:val="en-US"/>
        </w:rPr>
        <w:t xml:space="preserve">Given the increasing efforts to improve and restore the Coorong, a high-resolution model of the Coorong was developed, which </w:t>
      </w:r>
      <w:proofErr w:type="gramStart"/>
      <w:r>
        <w:rPr>
          <w:lang w:val="en-US"/>
        </w:rPr>
        <w:t>is considered to be</w:t>
      </w:r>
      <w:proofErr w:type="gramEnd"/>
      <w:r>
        <w:rPr>
          <w:lang w:val="en-US"/>
        </w:rPr>
        <w:t xml:space="preserve"> more accurate in resolving the salt, nutrients and habitat across the system. The Coorong only domain (</w:t>
      </w:r>
      <w:r>
        <w:rPr>
          <w:lang w:val="en-US"/>
        </w:rPr>
        <w:fldChar w:fldCharType="begin"/>
      </w:r>
      <w:r>
        <w:rPr>
          <w:lang w:val="en-US"/>
        </w:rPr>
        <w:instrText xml:space="preserve"> REF _Ref63244347 \h </w:instrText>
      </w:r>
      <w:r>
        <w:rPr>
          <w:lang w:val="en-US"/>
        </w:rPr>
      </w:r>
      <w:r>
        <w:rPr>
          <w:lang w:val="en-US"/>
        </w:rPr>
        <w:fldChar w:fldCharType="separate"/>
      </w:r>
      <w:r w:rsidR="00CF2251">
        <w:t xml:space="preserve">Figure </w:t>
      </w:r>
      <w:r w:rsidR="00CF2251">
        <w:rPr>
          <w:noProof/>
        </w:rPr>
        <w:t>26</w:t>
      </w:r>
      <w:r>
        <w:rPr>
          <w:lang w:val="en-US"/>
        </w:rPr>
        <w:fldChar w:fldCharType="end"/>
      </w:r>
      <w:r>
        <w:rPr>
          <w:lang w:val="en-US"/>
        </w:rPr>
        <w:t xml:space="preserve">) was run under the same scenarios above, but due to the long residence time, these simulations were run from 1 July 2017 to 30 June 2020, i.e., a period of three years; this window was chosen as it began after the high flow event in 2016 which “reset” salinity levels in the Coorong. The simulation included gauged Salt Creek inputs and measured ocean water levels based on the Barker Knoll telemetered site. Weather data were also used as a boundary condition </w:t>
      </w:r>
      <w:proofErr w:type="gramStart"/>
      <w:r>
        <w:rPr>
          <w:lang w:val="en-US"/>
        </w:rPr>
        <w:t>in order to</w:t>
      </w:r>
      <w:proofErr w:type="gramEnd"/>
      <w:r>
        <w:rPr>
          <w:lang w:val="en-US"/>
        </w:rPr>
        <w:t xml:space="preserve"> predict the effect of wind and </w:t>
      </w:r>
      <w:proofErr w:type="spellStart"/>
      <w:r>
        <w:rPr>
          <w:lang w:val="en-US"/>
        </w:rPr>
        <w:t>evapo</w:t>
      </w:r>
      <w:proofErr w:type="spellEnd"/>
      <w:r>
        <w:rPr>
          <w:lang w:val="en-US"/>
        </w:rPr>
        <w:t>-concentration effects. Because of the importance of salinity movement in this system, a detailed salt and nutrient flux analysis was undertaken to understand the rate of salt and nutrient accumulation in both the North and South of the Coorong.</w:t>
      </w:r>
    </w:p>
    <w:bookmarkEnd w:id="152"/>
    <w:p w14:paraId="14B34817" w14:textId="1F0A9BD8" w:rsidR="007117DA" w:rsidRDefault="0070113B" w:rsidP="007117DA">
      <w:pPr>
        <w:rPr>
          <w:lang w:val="en-US"/>
        </w:rPr>
      </w:pPr>
      <w:r w:rsidRPr="0070113B">
        <w:rPr>
          <w:noProof/>
        </w:rPr>
        <w:drawing>
          <wp:inline distT="0" distB="0" distL="0" distR="0" wp14:anchorId="48A35CEE" wp14:editId="22DE1035">
            <wp:extent cx="5727700" cy="3787140"/>
            <wp:effectExtent l="0" t="0" r="6350"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5727700" cy="3787140"/>
                    </a:xfrm>
                    <a:prstGeom prst="rect">
                      <a:avLst/>
                    </a:prstGeom>
                    <a:noFill/>
                    <a:ln>
                      <a:noFill/>
                    </a:ln>
                  </pic:spPr>
                </pic:pic>
              </a:graphicData>
            </a:graphic>
          </wp:inline>
        </w:drawing>
      </w:r>
    </w:p>
    <w:p w14:paraId="3CE1698E" w14:textId="4D4C255D" w:rsidR="007117DA" w:rsidRDefault="007117DA" w:rsidP="007117DA">
      <w:pPr>
        <w:pStyle w:val="Caption"/>
      </w:pPr>
      <w:bookmarkStart w:id="153" w:name="_Ref63244347"/>
      <w:bookmarkStart w:id="154" w:name="_Toc69387690"/>
      <w:r>
        <w:t xml:space="preserve">Figure </w:t>
      </w:r>
      <w:r w:rsidR="006C38E9">
        <w:fldChar w:fldCharType="begin"/>
      </w:r>
      <w:r w:rsidR="006C38E9">
        <w:instrText xml:space="preserve"> SEQ Figure \* ARABIC </w:instrText>
      </w:r>
      <w:r w:rsidR="006C38E9">
        <w:fldChar w:fldCharType="separate"/>
      </w:r>
      <w:r w:rsidR="00996426">
        <w:rPr>
          <w:noProof/>
        </w:rPr>
        <w:t>26</w:t>
      </w:r>
      <w:r w:rsidR="006C38E9">
        <w:rPr>
          <w:noProof/>
        </w:rPr>
        <w:fldChar w:fldCharType="end"/>
      </w:r>
      <w:bookmarkEnd w:id="153"/>
      <w:r>
        <w:t xml:space="preserve">. Fine resolution of the Coorong only domain, used for detailed Coorong salt and nutrient flux calculations, and habitat assessment of </w:t>
      </w:r>
      <w:proofErr w:type="spellStart"/>
      <w:r w:rsidRPr="002B7AD6">
        <w:rPr>
          <w:i/>
          <w:iCs/>
        </w:rPr>
        <w:t>Ruppia</w:t>
      </w:r>
      <w:proofErr w:type="spellEnd"/>
      <w:r w:rsidRPr="002B7AD6">
        <w:rPr>
          <w:i/>
          <w:iCs/>
        </w:rPr>
        <w:t xml:space="preserve"> </w:t>
      </w:r>
      <w:r>
        <w:t>and key fish species (Section 2.3.2).</w:t>
      </w:r>
      <w:bookmarkEnd w:id="154"/>
    </w:p>
    <w:p w14:paraId="2E9B4634" w14:textId="77777777" w:rsidR="007117DA" w:rsidRDefault="007117DA" w:rsidP="007117DA">
      <w:bookmarkStart w:id="155" w:name="_Hlk64577481"/>
      <w:r>
        <w:t xml:space="preserve">The salt load exported from the Murray River is a function of the flow volume and the salt concentration and is unidirectional. Salinity in the Coorong is more complicated and needs to consider flow from the river, salt concentrations already in Coorong, which varies with distance from the Murray Mouth, salt input from the South East which is a function of volume and salt concentration of water draining from the large South East catchment, and input of water from the ocean which varies with the seasonal fluctuation in sea-level, daily tide variations and the volume of water exiting the Murray Mouth which acts to prevent seawater ingress. </w:t>
      </w:r>
      <w:bookmarkStart w:id="156" w:name="_Hlk64576438"/>
      <w:r>
        <w:t>In addition to the “</w:t>
      </w:r>
      <w:r w:rsidRPr="00916F2F">
        <w:rPr>
          <w:b/>
          <w:bCs/>
        </w:rPr>
        <w:t>All water</w:t>
      </w:r>
      <w:r>
        <w:t>” and “</w:t>
      </w:r>
      <w:r w:rsidRPr="00916F2F">
        <w:rPr>
          <w:b/>
          <w:bCs/>
        </w:rPr>
        <w:t>no eWater</w:t>
      </w:r>
      <w:r>
        <w:t>” scenarios, we ran a “</w:t>
      </w:r>
      <w:r w:rsidRPr="00916F2F">
        <w:rPr>
          <w:b/>
          <w:bCs/>
        </w:rPr>
        <w:t>no eWater 3yrs</w:t>
      </w:r>
      <w:r>
        <w:t xml:space="preserve">” scenario to demonstrate the cumulative effects of water delivery to the lagoon conditions. </w:t>
      </w:r>
    </w:p>
    <w:bookmarkEnd w:id="155"/>
    <w:bookmarkEnd w:id="156"/>
    <w:p w14:paraId="15E0F5A9" w14:textId="77777777" w:rsidR="007117DA" w:rsidRPr="0041530A" w:rsidRDefault="007117DA" w:rsidP="007117DA"/>
    <w:p w14:paraId="723D13C8" w14:textId="77777777" w:rsidR="007117DA" w:rsidRDefault="007117DA" w:rsidP="007117DA">
      <w:pPr>
        <w:pStyle w:val="Heading3"/>
        <w:rPr>
          <w:lang w:eastAsia="en-AU"/>
        </w:rPr>
      </w:pPr>
      <w:r w:rsidRPr="00565AEA">
        <w:t>Results</w:t>
      </w:r>
    </w:p>
    <w:p w14:paraId="2C2CD31F" w14:textId="77777777" w:rsidR="007117DA" w:rsidRDefault="007117DA" w:rsidP="007117DA">
      <w:pPr>
        <w:rPr>
          <w:i/>
          <w:u w:val="single"/>
        </w:rPr>
      </w:pPr>
      <w:r>
        <w:rPr>
          <w:i/>
          <w:u w:val="single"/>
        </w:rPr>
        <w:t>Salt flux through the Murray River domain</w:t>
      </w:r>
    </w:p>
    <w:p w14:paraId="4EAC22A7" w14:textId="661C7321" w:rsidR="007117DA" w:rsidRDefault="007117DA" w:rsidP="007117DA">
      <w:r>
        <w:t>Commonwealth environmental water was the only water that exited the barrages for the 2019-20 water year and so all salt export over the barrages is attributable entirely to this (</w:t>
      </w:r>
      <w:r>
        <w:fldChar w:fldCharType="begin"/>
      </w:r>
      <w:r>
        <w:instrText xml:space="preserve"> REF _Ref30778933 \h </w:instrText>
      </w:r>
      <w:r>
        <w:fldChar w:fldCharType="separate"/>
      </w:r>
      <w:r w:rsidR="006045CA">
        <w:t xml:space="preserve">Table </w:t>
      </w:r>
      <w:r w:rsidR="006045CA">
        <w:rPr>
          <w:noProof/>
        </w:rPr>
        <w:t>5</w:t>
      </w:r>
      <w:r>
        <w:fldChar w:fldCharType="end"/>
      </w:r>
      <w:r>
        <w:t xml:space="preserve">). A total salt load of 623,999 tonnes was exported from the river basin for 2019-20. If there was no environmental water in 2019-20 then no salt would have been exported from the basin which implies salt would be accumulating upstream in wetlands </w:t>
      </w:r>
      <w:r w:rsidR="00DE73A8">
        <w:t>and floodplains.</w:t>
      </w:r>
    </w:p>
    <w:p w14:paraId="3CBA4B11" w14:textId="1B962973" w:rsidR="007117DA" w:rsidRDefault="007117DA" w:rsidP="007117DA">
      <w:r>
        <w:t>In 2019-20, there was a net import of salt into the Coorong (through the Murray Mouth), which is consistent with all low flow years. In 2019-20 the net salt import to the Murray Mouth was 335,926 tonnes (</w:t>
      </w:r>
      <w:r>
        <w:fldChar w:fldCharType="begin"/>
      </w:r>
      <w:r>
        <w:instrText xml:space="preserve"> REF _Ref30778933 \h </w:instrText>
      </w:r>
      <w:r>
        <w:fldChar w:fldCharType="separate"/>
      </w:r>
      <w:r w:rsidR="006045CA">
        <w:t xml:space="preserve">Table </w:t>
      </w:r>
      <w:r w:rsidR="006045CA">
        <w:rPr>
          <w:noProof/>
        </w:rPr>
        <w:t>5</w:t>
      </w:r>
      <w:r>
        <w:fldChar w:fldCharType="end"/>
      </w:r>
      <w:r>
        <w:t>). Without environmental water, the net import of salt would have been much larger at 2.3 million tonnes. Environmental water decreased salt import by approximately 2 million tonnes (</w:t>
      </w:r>
      <w:r>
        <w:fldChar w:fldCharType="begin"/>
      </w:r>
      <w:r>
        <w:instrText xml:space="preserve"> REF _Ref30778933 \h </w:instrText>
      </w:r>
      <w:r>
        <w:fldChar w:fldCharType="separate"/>
      </w:r>
      <w:r w:rsidR="006045CA">
        <w:t xml:space="preserve">Table </w:t>
      </w:r>
      <w:r w:rsidR="006045CA">
        <w:rPr>
          <w:noProof/>
        </w:rPr>
        <w:t>5</w:t>
      </w:r>
      <w:r>
        <w:fldChar w:fldCharType="end"/>
      </w:r>
      <w:r>
        <w:t xml:space="preserve">), all of which is specifically attributable to Commonwealth environmental water. </w:t>
      </w:r>
    </w:p>
    <w:p w14:paraId="51DEA251" w14:textId="77ACDFF6" w:rsidR="007117DA" w:rsidRDefault="007117DA" w:rsidP="00F8184E">
      <w:pPr>
        <w:pStyle w:val="Captions"/>
      </w:pPr>
      <w:bookmarkStart w:id="157" w:name="_Ref30778933"/>
      <w:bookmarkStart w:id="158" w:name="_Toc59032078"/>
      <w:bookmarkStart w:id="159" w:name="_Toc69387734"/>
      <w:r>
        <w:t xml:space="preserve">Table </w:t>
      </w:r>
      <w:r>
        <w:fldChar w:fldCharType="begin"/>
      </w:r>
      <w:r>
        <w:rPr>
          <w:noProof/>
        </w:rPr>
        <w:instrText xml:space="preserve"> SEQ Table \* ARABIC </w:instrText>
      </w:r>
      <w:r>
        <w:fldChar w:fldCharType="separate"/>
      </w:r>
      <w:r w:rsidR="00CE5EF5">
        <w:rPr>
          <w:noProof/>
        </w:rPr>
        <w:t>5</w:t>
      </w:r>
      <w:r>
        <w:fldChar w:fldCharType="end"/>
      </w:r>
      <w:bookmarkEnd w:id="157"/>
      <w:r>
        <w:t>. Six</w:t>
      </w:r>
      <w:r w:rsidR="00006794">
        <w:t>-</w:t>
      </w:r>
      <w:r>
        <w:t>year record of modelled salt export (</w:t>
      </w:r>
      <w:proofErr w:type="spellStart"/>
      <w:r>
        <w:t>tonnes</w:t>
      </w:r>
      <w:proofErr w:type="spellEnd"/>
      <w:r>
        <w:t>) over the barrages to the Coorong estuary and through the Murray Mouth into the Southern Ocean.</w:t>
      </w:r>
      <w:bookmarkEnd w:id="158"/>
      <w:bookmarkEnd w:id="159"/>
    </w:p>
    <w:tbl>
      <w:tblPr>
        <w:tblW w:w="0" w:type="auto"/>
        <w:jc w:val="center"/>
        <w:tblLayout w:type="fixed"/>
        <w:tblLook w:val="04A0" w:firstRow="1" w:lastRow="0" w:firstColumn="1" w:lastColumn="0" w:noHBand="0" w:noVBand="1"/>
      </w:tblPr>
      <w:tblGrid>
        <w:gridCol w:w="1559"/>
        <w:gridCol w:w="1276"/>
        <w:gridCol w:w="1276"/>
        <w:gridCol w:w="1134"/>
        <w:gridCol w:w="1134"/>
        <w:gridCol w:w="1134"/>
        <w:gridCol w:w="1223"/>
      </w:tblGrid>
      <w:tr w:rsidR="00DC2C7F" w14:paraId="339F9B38" w14:textId="77777777" w:rsidTr="0070113B">
        <w:trPr>
          <w:trHeight w:val="340"/>
          <w:jc w:val="center"/>
        </w:trPr>
        <w:tc>
          <w:tcPr>
            <w:tcW w:w="1559" w:type="dxa"/>
            <w:tcBorders>
              <w:top w:val="single" w:sz="4" w:space="0" w:color="auto"/>
              <w:left w:val="nil"/>
              <w:bottom w:val="single" w:sz="4" w:space="0" w:color="auto"/>
              <w:right w:val="nil"/>
            </w:tcBorders>
            <w:vAlign w:val="center"/>
            <w:hideMark/>
          </w:tcPr>
          <w:p w14:paraId="6505E0C7" w14:textId="77777777" w:rsidR="007117DA" w:rsidRDefault="007117DA" w:rsidP="00A90A24">
            <w:pPr>
              <w:spacing w:before="0" w:after="0" w:line="240" w:lineRule="auto"/>
              <w:jc w:val="left"/>
              <w:rPr>
                <w:b/>
                <w:kern w:val="0"/>
                <w:sz w:val="19"/>
                <w:szCs w:val="19"/>
              </w:rPr>
            </w:pPr>
            <w:r>
              <w:rPr>
                <w:b/>
                <w:kern w:val="0"/>
                <w:sz w:val="19"/>
                <w:szCs w:val="19"/>
              </w:rPr>
              <w:t>Scenario</w:t>
            </w:r>
          </w:p>
        </w:tc>
        <w:tc>
          <w:tcPr>
            <w:tcW w:w="1276" w:type="dxa"/>
            <w:tcBorders>
              <w:top w:val="single" w:sz="4" w:space="0" w:color="auto"/>
              <w:left w:val="nil"/>
              <w:bottom w:val="single" w:sz="4" w:space="0" w:color="auto"/>
              <w:right w:val="nil"/>
            </w:tcBorders>
            <w:noWrap/>
            <w:vAlign w:val="center"/>
            <w:hideMark/>
          </w:tcPr>
          <w:p w14:paraId="2D8D2CF4" w14:textId="77777777" w:rsidR="007117DA" w:rsidRPr="006427ED" w:rsidRDefault="007117DA" w:rsidP="00A90A24">
            <w:pPr>
              <w:spacing w:before="0" w:after="0" w:line="240" w:lineRule="auto"/>
              <w:jc w:val="center"/>
              <w:rPr>
                <w:b/>
                <w:kern w:val="0"/>
                <w:sz w:val="19"/>
                <w:szCs w:val="19"/>
              </w:rPr>
            </w:pPr>
            <w:r w:rsidRPr="006427ED">
              <w:rPr>
                <w:b/>
                <w:kern w:val="0"/>
                <w:sz w:val="19"/>
                <w:szCs w:val="19"/>
              </w:rPr>
              <w:t>2014-15</w:t>
            </w:r>
          </w:p>
        </w:tc>
        <w:tc>
          <w:tcPr>
            <w:tcW w:w="1276" w:type="dxa"/>
            <w:tcBorders>
              <w:top w:val="single" w:sz="4" w:space="0" w:color="auto"/>
              <w:left w:val="nil"/>
              <w:bottom w:val="single" w:sz="4" w:space="0" w:color="auto"/>
              <w:right w:val="nil"/>
            </w:tcBorders>
            <w:noWrap/>
            <w:vAlign w:val="center"/>
            <w:hideMark/>
          </w:tcPr>
          <w:p w14:paraId="1C024D62" w14:textId="77777777" w:rsidR="007117DA" w:rsidRPr="006427ED" w:rsidRDefault="007117DA" w:rsidP="00A90A24">
            <w:pPr>
              <w:spacing w:before="0" w:after="0" w:line="240" w:lineRule="auto"/>
              <w:jc w:val="center"/>
              <w:rPr>
                <w:b/>
                <w:kern w:val="0"/>
                <w:sz w:val="19"/>
                <w:szCs w:val="19"/>
              </w:rPr>
            </w:pPr>
            <w:r w:rsidRPr="006427ED">
              <w:rPr>
                <w:b/>
                <w:kern w:val="0"/>
                <w:sz w:val="19"/>
                <w:szCs w:val="19"/>
              </w:rPr>
              <w:t>2015-16</w:t>
            </w:r>
          </w:p>
        </w:tc>
        <w:tc>
          <w:tcPr>
            <w:tcW w:w="1134" w:type="dxa"/>
            <w:tcBorders>
              <w:top w:val="single" w:sz="4" w:space="0" w:color="auto"/>
              <w:left w:val="nil"/>
              <w:bottom w:val="single" w:sz="4" w:space="0" w:color="auto"/>
              <w:right w:val="nil"/>
            </w:tcBorders>
            <w:noWrap/>
            <w:vAlign w:val="center"/>
            <w:hideMark/>
          </w:tcPr>
          <w:p w14:paraId="1F5F59AF" w14:textId="77777777" w:rsidR="007117DA" w:rsidRPr="006427ED" w:rsidRDefault="007117DA" w:rsidP="00A90A24">
            <w:pPr>
              <w:spacing w:before="0" w:after="0" w:line="240" w:lineRule="auto"/>
              <w:jc w:val="center"/>
              <w:rPr>
                <w:b/>
                <w:kern w:val="0"/>
                <w:sz w:val="19"/>
                <w:szCs w:val="19"/>
              </w:rPr>
            </w:pPr>
            <w:r w:rsidRPr="006427ED">
              <w:rPr>
                <w:b/>
                <w:kern w:val="0"/>
                <w:sz w:val="19"/>
                <w:szCs w:val="19"/>
              </w:rPr>
              <w:t>2016-17</w:t>
            </w:r>
          </w:p>
        </w:tc>
        <w:tc>
          <w:tcPr>
            <w:tcW w:w="1134" w:type="dxa"/>
            <w:tcBorders>
              <w:top w:val="single" w:sz="4" w:space="0" w:color="auto"/>
              <w:left w:val="nil"/>
              <w:bottom w:val="single" w:sz="4" w:space="0" w:color="auto"/>
              <w:right w:val="nil"/>
            </w:tcBorders>
            <w:noWrap/>
            <w:vAlign w:val="center"/>
            <w:hideMark/>
          </w:tcPr>
          <w:p w14:paraId="28004114" w14:textId="6D62424A" w:rsidR="007117DA" w:rsidRPr="006427ED" w:rsidRDefault="007117DA" w:rsidP="00A90A24">
            <w:pPr>
              <w:spacing w:before="0" w:after="0" w:line="240" w:lineRule="auto"/>
              <w:jc w:val="center"/>
              <w:rPr>
                <w:b/>
                <w:kern w:val="0"/>
                <w:sz w:val="19"/>
                <w:szCs w:val="19"/>
              </w:rPr>
            </w:pPr>
            <w:r w:rsidRPr="006427ED">
              <w:rPr>
                <w:b/>
                <w:kern w:val="0"/>
                <w:sz w:val="19"/>
                <w:szCs w:val="19"/>
              </w:rPr>
              <w:t>2017-18</w:t>
            </w:r>
            <w:r w:rsidR="00A90089">
              <w:rPr>
                <w:b/>
                <w:kern w:val="0"/>
                <w:sz w:val="19"/>
                <w:szCs w:val="19"/>
              </w:rPr>
              <w:t>*</w:t>
            </w:r>
          </w:p>
        </w:tc>
        <w:tc>
          <w:tcPr>
            <w:tcW w:w="1134" w:type="dxa"/>
            <w:tcBorders>
              <w:top w:val="single" w:sz="4" w:space="0" w:color="auto"/>
              <w:left w:val="nil"/>
              <w:bottom w:val="single" w:sz="4" w:space="0" w:color="auto"/>
              <w:right w:val="nil"/>
            </w:tcBorders>
            <w:vAlign w:val="center"/>
            <w:hideMark/>
          </w:tcPr>
          <w:p w14:paraId="2CCD6014" w14:textId="6D95FD27" w:rsidR="007117DA" w:rsidRPr="006427ED" w:rsidRDefault="007117DA" w:rsidP="00A90A24">
            <w:pPr>
              <w:spacing w:before="0" w:after="0" w:line="240" w:lineRule="auto"/>
              <w:jc w:val="center"/>
              <w:rPr>
                <w:b/>
                <w:kern w:val="0"/>
                <w:sz w:val="19"/>
                <w:szCs w:val="19"/>
              </w:rPr>
            </w:pPr>
            <w:r w:rsidRPr="006427ED">
              <w:rPr>
                <w:b/>
                <w:kern w:val="0"/>
                <w:sz w:val="19"/>
                <w:szCs w:val="19"/>
              </w:rPr>
              <w:t>2018-19</w:t>
            </w:r>
            <w:r w:rsidR="00A90089">
              <w:rPr>
                <w:b/>
                <w:kern w:val="0"/>
                <w:sz w:val="19"/>
                <w:szCs w:val="19"/>
              </w:rPr>
              <w:t>*</w:t>
            </w:r>
          </w:p>
        </w:tc>
        <w:tc>
          <w:tcPr>
            <w:tcW w:w="1223" w:type="dxa"/>
            <w:tcBorders>
              <w:top w:val="single" w:sz="4" w:space="0" w:color="auto"/>
              <w:left w:val="nil"/>
              <w:bottom w:val="single" w:sz="4" w:space="0" w:color="auto"/>
              <w:right w:val="nil"/>
            </w:tcBorders>
            <w:vAlign w:val="center"/>
            <w:hideMark/>
          </w:tcPr>
          <w:p w14:paraId="5DEBA180" w14:textId="2E1DAD24" w:rsidR="007117DA" w:rsidRDefault="007117DA" w:rsidP="00A90A24">
            <w:pPr>
              <w:spacing w:before="0" w:after="0" w:line="240" w:lineRule="auto"/>
              <w:jc w:val="center"/>
              <w:rPr>
                <w:b/>
                <w:kern w:val="0"/>
                <w:sz w:val="19"/>
                <w:szCs w:val="19"/>
              </w:rPr>
            </w:pPr>
            <w:r>
              <w:rPr>
                <w:b/>
                <w:kern w:val="0"/>
                <w:sz w:val="19"/>
                <w:szCs w:val="19"/>
              </w:rPr>
              <w:t>2019-20</w:t>
            </w:r>
            <w:r w:rsidR="00A90089">
              <w:rPr>
                <w:b/>
                <w:kern w:val="0"/>
                <w:sz w:val="19"/>
                <w:szCs w:val="19"/>
              </w:rPr>
              <w:t>*</w:t>
            </w:r>
          </w:p>
        </w:tc>
      </w:tr>
      <w:tr w:rsidR="00DC2C7F" w14:paraId="2F869D67" w14:textId="77777777" w:rsidTr="0070113B">
        <w:trPr>
          <w:trHeight w:val="340"/>
          <w:jc w:val="center"/>
        </w:trPr>
        <w:tc>
          <w:tcPr>
            <w:tcW w:w="1559" w:type="dxa"/>
            <w:tcBorders>
              <w:top w:val="single" w:sz="4" w:space="0" w:color="auto"/>
              <w:left w:val="nil"/>
              <w:bottom w:val="nil"/>
              <w:right w:val="nil"/>
            </w:tcBorders>
            <w:vAlign w:val="center"/>
            <w:hideMark/>
          </w:tcPr>
          <w:p w14:paraId="0D128685" w14:textId="77777777" w:rsidR="007117DA" w:rsidRDefault="007117DA" w:rsidP="00A90A24">
            <w:pPr>
              <w:spacing w:before="0" w:after="0" w:line="240" w:lineRule="auto"/>
              <w:jc w:val="left"/>
              <w:rPr>
                <w:kern w:val="0"/>
                <w:sz w:val="19"/>
                <w:szCs w:val="19"/>
                <w:u w:val="single"/>
              </w:rPr>
            </w:pPr>
            <w:r>
              <w:rPr>
                <w:kern w:val="0"/>
                <w:sz w:val="19"/>
                <w:szCs w:val="19"/>
                <w:u w:val="single"/>
              </w:rPr>
              <w:t>Barrages</w:t>
            </w:r>
          </w:p>
        </w:tc>
        <w:tc>
          <w:tcPr>
            <w:tcW w:w="1276" w:type="dxa"/>
            <w:tcBorders>
              <w:top w:val="single" w:sz="4" w:space="0" w:color="auto"/>
              <w:left w:val="nil"/>
              <w:bottom w:val="nil"/>
              <w:right w:val="nil"/>
            </w:tcBorders>
            <w:noWrap/>
            <w:vAlign w:val="center"/>
          </w:tcPr>
          <w:p w14:paraId="1ABF4142" w14:textId="77777777" w:rsidR="007117DA" w:rsidRDefault="007117DA" w:rsidP="00A90A24">
            <w:pPr>
              <w:spacing w:before="0" w:after="0" w:line="240" w:lineRule="auto"/>
              <w:jc w:val="center"/>
              <w:rPr>
                <w:kern w:val="0"/>
                <w:sz w:val="19"/>
                <w:szCs w:val="19"/>
              </w:rPr>
            </w:pPr>
          </w:p>
        </w:tc>
        <w:tc>
          <w:tcPr>
            <w:tcW w:w="1276" w:type="dxa"/>
            <w:tcBorders>
              <w:top w:val="single" w:sz="4" w:space="0" w:color="auto"/>
              <w:left w:val="nil"/>
              <w:bottom w:val="nil"/>
              <w:right w:val="nil"/>
            </w:tcBorders>
            <w:noWrap/>
            <w:vAlign w:val="center"/>
          </w:tcPr>
          <w:p w14:paraId="36374982" w14:textId="77777777" w:rsidR="007117DA" w:rsidRDefault="007117DA" w:rsidP="00A90A24">
            <w:pPr>
              <w:spacing w:before="0" w:after="0" w:line="240" w:lineRule="auto"/>
              <w:jc w:val="center"/>
              <w:rPr>
                <w:kern w:val="0"/>
                <w:sz w:val="19"/>
                <w:szCs w:val="19"/>
              </w:rPr>
            </w:pPr>
          </w:p>
        </w:tc>
        <w:tc>
          <w:tcPr>
            <w:tcW w:w="1134" w:type="dxa"/>
            <w:tcBorders>
              <w:top w:val="single" w:sz="4" w:space="0" w:color="auto"/>
              <w:left w:val="nil"/>
              <w:bottom w:val="nil"/>
              <w:right w:val="nil"/>
            </w:tcBorders>
            <w:noWrap/>
            <w:vAlign w:val="center"/>
          </w:tcPr>
          <w:p w14:paraId="020BD37A" w14:textId="77777777" w:rsidR="007117DA" w:rsidRDefault="007117DA" w:rsidP="00A90A24">
            <w:pPr>
              <w:spacing w:before="0" w:after="0" w:line="240" w:lineRule="auto"/>
              <w:jc w:val="center"/>
              <w:rPr>
                <w:kern w:val="0"/>
                <w:sz w:val="19"/>
                <w:szCs w:val="19"/>
              </w:rPr>
            </w:pPr>
          </w:p>
        </w:tc>
        <w:tc>
          <w:tcPr>
            <w:tcW w:w="1134" w:type="dxa"/>
            <w:tcBorders>
              <w:top w:val="single" w:sz="4" w:space="0" w:color="auto"/>
              <w:left w:val="nil"/>
              <w:bottom w:val="nil"/>
              <w:right w:val="nil"/>
            </w:tcBorders>
            <w:noWrap/>
            <w:vAlign w:val="center"/>
          </w:tcPr>
          <w:p w14:paraId="1ABC9B3B" w14:textId="77777777" w:rsidR="007117DA" w:rsidRDefault="007117DA" w:rsidP="00A90A24">
            <w:pPr>
              <w:spacing w:before="0" w:after="0" w:line="240" w:lineRule="auto"/>
              <w:jc w:val="center"/>
              <w:rPr>
                <w:kern w:val="0"/>
                <w:sz w:val="19"/>
                <w:szCs w:val="19"/>
              </w:rPr>
            </w:pPr>
          </w:p>
        </w:tc>
        <w:tc>
          <w:tcPr>
            <w:tcW w:w="1134" w:type="dxa"/>
            <w:tcBorders>
              <w:top w:val="single" w:sz="4" w:space="0" w:color="auto"/>
              <w:left w:val="nil"/>
              <w:bottom w:val="nil"/>
              <w:right w:val="nil"/>
            </w:tcBorders>
            <w:vAlign w:val="center"/>
          </w:tcPr>
          <w:p w14:paraId="509BEAD8" w14:textId="77777777" w:rsidR="007117DA" w:rsidRDefault="007117DA" w:rsidP="00A90A24">
            <w:pPr>
              <w:spacing w:before="0" w:after="0" w:line="240" w:lineRule="auto"/>
              <w:jc w:val="center"/>
              <w:rPr>
                <w:kern w:val="0"/>
                <w:sz w:val="19"/>
                <w:szCs w:val="19"/>
              </w:rPr>
            </w:pPr>
          </w:p>
        </w:tc>
        <w:tc>
          <w:tcPr>
            <w:tcW w:w="1223" w:type="dxa"/>
            <w:tcBorders>
              <w:top w:val="single" w:sz="4" w:space="0" w:color="auto"/>
              <w:left w:val="nil"/>
              <w:bottom w:val="nil"/>
              <w:right w:val="nil"/>
            </w:tcBorders>
            <w:vAlign w:val="center"/>
          </w:tcPr>
          <w:p w14:paraId="088D4B18" w14:textId="77777777" w:rsidR="007117DA" w:rsidRDefault="007117DA" w:rsidP="00A90A24">
            <w:pPr>
              <w:spacing w:before="0" w:after="0" w:line="240" w:lineRule="auto"/>
              <w:jc w:val="center"/>
              <w:rPr>
                <w:kern w:val="0"/>
                <w:sz w:val="19"/>
                <w:szCs w:val="19"/>
              </w:rPr>
            </w:pPr>
          </w:p>
        </w:tc>
      </w:tr>
      <w:tr w:rsidR="0070113B" w14:paraId="704B771C" w14:textId="77777777" w:rsidTr="00006794">
        <w:trPr>
          <w:trHeight w:val="340"/>
          <w:jc w:val="center"/>
        </w:trPr>
        <w:tc>
          <w:tcPr>
            <w:tcW w:w="1559" w:type="dxa"/>
            <w:vAlign w:val="center"/>
            <w:hideMark/>
          </w:tcPr>
          <w:p w14:paraId="5A514F69" w14:textId="338A4C68" w:rsidR="0070113B" w:rsidRDefault="0070113B" w:rsidP="0070113B">
            <w:pPr>
              <w:spacing w:before="0" w:after="0" w:line="240" w:lineRule="auto"/>
              <w:jc w:val="left"/>
              <w:rPr>
                <w:kern w:val="0"/>
                <w:sz w:val="19"/>
                <w:szCs w:val="19"/>
              </w:rPr>
            </w:pPr>
            <w:r>
              <w:rPr>
                <w:kern w:val="0"/>
                <w:sz w:val="19"/>
                <w:szCs w:val="19"/>
              </w:rPr>
              <w:t>All water</w:t>
            </w:r>
          </w:p>
        </w:tc>
        <w:tc>
          <w:tcPr>
            <w:tcW w:w="1276" w:type="dxa"/>
            <w:noWrap/>
            <w:vAlign w:val="center"/>
            <w:hideMark/>
          </w:tcPr>
          <w:p w14:paraId="7C60448F" w14:textId="77777777" w:rsidR="0070113B" w:rsidRDefault="0070113B" w:rsidP="00006794">
            <w:pPr>
              <w:spacing w:before="0" w:after="0" w:line="240" w:lineRule="auto"/>
              <w:jc w:val="center"/>
              <w:rPr>
                <w:kern w:val="0"/>
                <w:sz w:val="19"/>
                <w:szCs w:val="19"/>
              </w:rPr>
            </w:pPr>
            <w:r>
              <w:rPr>
                <w:kern w:val="0"/>
                <w:sz w:val="19"/>
                <w:szCs w:val="19"/>
              </w:rPr>
              <w:t>446,855</w:t>
            </w:r>
          </w:p>
        </w:tc>
        <w:tc>
          <w:tcPr>
            <w:tcW w:w="1276" w:type="dxa"/>
            <w:noWrap/>
            <w:vAlign w:val="center"/>
            <w:hideMark/>
          </w:tcPr>
          <w:p w14:paraId="143324DA" w14:textId="77777777" w:rsidR="0070113B" w:rsidRDefault="0070113B" w:rsidP="00006794">
            <w:pPr>
              <w:spacing w:before="0" w:after="0" w:line="240" w:lineRule="auto"/>
              <w:jc w:val="center"/>
              <w:rPr>
                <w:kern w:val="0"/>
                <w:sz w:val="19"/>
                <w:szCs w:val="19"/>
              </w:rPr>
            </w:pPr>
            <w:r>
              <w:rPr>
                <w:kern w:val="0"/>
                <w:sz w:val="19"/>
                <w:szCs w:val="19"/>
              </w:rPr>
              <w:t>288,516</w:t>
            </w:r>
          </w:p>
        </w:tc>
        <w:tc>
          <w:tcPr>
            <w:tcW w:w="1134" w:type="dxa"/>
            <w:noWrap/>
            <w:vAlign w:val="center"/>
            <w:hideMark/>
          </w:tcPr>
          <w:p w14:paraId="09197F43" w14:textId="77777777" w:rsidR="0070113B" w:rsidRDefault="0070113B" w:rsidP="00006794">
            <w:pPr>
              <w:spacing w:before="0" w:after="0" w:line="240" w:lineRule="auto"/>
              <w:jc w:val="center"/>
              <w:rPr>
                <w:kern w:val="0"/>
                <w:sz w:val="19"/>
                <w:szCs w:val="19"/>
              </w:rPr>
            </w:pPr>
            <w:r>
              <w:rPr>
                <w:kern w:val="0"/>
                <w:sz w:val="19"/>
                <w:szCs w:val="19"/>
              </w:rPr>
              <w:t>1,504,541</w:t>
            </w:r>
          </w:p>
        </w:tc>
        <w:tc>
          <w:tcPr>
            <w:tcW w:w="1134" w:type="dxa"/>
            <w:noWrap/>
            <w:vAlign w:val="center"/>
            <w:hideMark/>
          </w:tcPr>
          <w:p w14:paraId="3233EC6E" w14:textId="58A32125" w:rsidR="0070113B" w:rsidRPr="0070113B" w:rsidRDefault="0070113B" w:rsidP="00006794">
            <w:pPr>
              <w:spacing w:before="0" w:after="0" w:line="240" w:lineRule="auto"/>
              <w:jc w:val="center"/>
              <w:rPr>
                <w:kern w:val="0"/>
                <w:sz w:val="19"/>
                <w:szCs w:val="19"/>
              </w:rPr>
            </w:pPr>
            <w:r w:rsidRPr="0070113B">
              <w:rPr>
                <w:sz w:val="19"/>
                <w:szCs w:val="19"/>
              </w:rPr>
              <w:t>496</w:t>
            </w:r>
            <w:r>
              <w:rPr>
                <w:sz w:val="19"/>
                <w:szCs w:val="19"/>
              </w:rPr>
              <w:t>,</w:t>
            </w:r>
            <w:r w:rsidRPr="0070113B">
              <w:rPr>
                <w:sz w:val="19"/>
                <w:szCs w:val="19"/>
              </w:rPr>
              <w:t>936</w:t>
            </w:r>
          </w:p>
        </w:tc>
        <w:tc>
          <w:tcPr>
            <w:tcW w:w="1134" w:type="dxa"/>
            <w:vAlign w:val="center"/>
            <w:hideMark/>
          </w:tcPr>
          <w:p w14:paraId="0D020F8E" w14:textId="69CE5031" w:rsidR="0070113B" w:rsidRPr="0070113B" w:rsidRDefault="0070113B" w:rsidP="00006794">
            <w:pPr>
              <w:spacing w:before="0" w:after="0" w:line="240" w:lineRule="auto"/>
              <w:jc w:val="center"/>
              <w:rPr>
                <w:kern w:val="0"/>
                <w:sz w:val="19"/>
                <w:szCs w:val="19"/>
              </w:rPr>
            </w:pPr>
            <w:r w:rsidRPr="0070113B">
              <w:rPr>
                <w:sz w:val="19"/>
                <w:szCs w:val="19"/>
              </w:rPr>
              <w:t>532,333</w:t>
            </w:r>
          </w:p>
        </w:tc>
        <w:tc>
          <w:tcPr>
            <w:tcW w:w="1223" w:type="dxa"/>
            <w:vAlign w:val="center"/>
            <w:hideMark/>
          </w:tcPr>
          <w:p w14:paraId="231B7B07" w14:textId="60C4CA0D" w:rsidR="0070113B" w:rsidRDefault="0070113B" w:rsidP="00006794">
            <w:pPr>
              <w:spacing w:before="0" w:after="0" w:line="240" w:lineRule="auto"/>
              <w:jc w:val="center"/>
              <w:rPr>
                <w:kern w:val="0"/>
                <w:sz w:val="19"/>
                <w:szCs w:val="19"/>
              </w:rPr>
            </w:pPr>
            <w:r>
              <w:rPr>
                <w:kern w:val="0"/>
                <w:sz w:val="19"/>
                <w:szCs w:val="19"/>
              </w:rPr>
              <w:t>623,999</w:t>
            </w:r>
          </w:p>
        </w:tc>
      </w:tr>
      <w:tr w:rsidR="0070113B" w14:paraId="243F410C" w14:textId="77777777" w:rsidTr="00006794">
        <w:trPr>
          <w:trHeight w:val="340"/>
          <w:jc w:val="center"/>
        </w:trPr>
        <w:tc>
          <w:tcPr>
            <w:tcW w:w="1559" w:type="dxa"/>
            <w:vAlign w:val="center"/>
            <w:hideMark/>
          </w:tcPr>
          <w:p w14:paraId="1A255686" w14:textId="77777777" w:rsidR="0070113B" w:rsidRDefault="0070113B" w:rsidP="0070113B">
            <w:pPr>
              <w:spacing w:before="0" w:after="0" w:line="240" w:lineRule="auto"/>
              <w:jc w:val="left"/>
              <w:rPr>
                <w:kern w:val="0"/>
                <w:sz w:val="19"/>
                <w:szCs w:val="19"/>
              </w:rPr>
            </w:pPr>
            <w:r>
              <w:rPr>
                <w:kern w:val="0"/>
                <w:sz w:val="19"/>
                <w:szCs w:val="19"/>
              </w:rPr>
              <w:t>No CEW</w:t>
            </w:r>
          </w:p>
        </w:tc>
        <w:tc>
          <w:tcPr>
            <w:tcW w:w="1276" w:type="dxa"/>
            <w:noWrap/>
            <w:vAlign w:val="center"/>
            <w:hideMark/>
          </w:tcPr>
          <w:p w14:paraId="25751525" w14:textId="77777777" w:rsidR="0070113B" w:rsidRDefault="0070113B" w:rsidP="00006794">
            <w:pPr>
              <w:spacing w:before="0" w:after="0" w:line="240" w:lineRule="auto"/>
              <w:jc w:val="center"/>
              <w:rPr>
                <w:kern w:val="0"/>
                <w:sz w:val="19"/>
                <w:szCs w:val="19"/>
              </w:rPr>
            </w:pPr>
            <w:r>
              <w:rPr>
                <w:kern w:val="0"/>
                <w:sz w:val="19"/>
                <w:szCs w:val="19"/>
              </w:rPr>
              <w:t>161,791</w:t>
            </w:r>
          </w:p>
        </w:tc>
        <w:tc>
          <w:tcPr>
            <w:tcW w:w="1276" w:type="dxa"/>
            <w:noWrap/>
            <w:vAlign w:val="center"/>
            <w:hideMark/>
          </w:tcPr>
          <w:p w14:paraId="17B8E457" w14:textId="77777777" w:rsidR="0070113B" w:rsidRDefault="0070113B" w:rsidP="00006794">
            <w:pPr>
              <w:spacing w:before="0" w:after="0" w:line="240" w:lineRule="auto"/>
              <w:jc w:val="center"/>
              <w:rPr>
                <w:kern w:val="0"/>
                <w:sz w:val="19"/>
                <w:szCs w:val="19"/>
              </w:rPr>
            </w:pPr>
            <w:r>
              <w:rPr>
                <w:kern w:val="0"/>
                <w:sz w:val="19"/>
                <w:szCs w:val="19"/>
              </w:rPr>
              <w:t>36,884</w:t>
            </w:r>
          </w:p>
        </w:tc>
        <w:tc>
          <w:tcPr>
            <w:tcW w:w="1134" w:type="dxa"/>
            <w:noWrap/>
            <w:vAlign w:val="center"/>
            <w:hideMark/>
          </w:tcPr>
          <w:p w14:paraId="2B1CA46A" w14:textId="77777777" w:rsidR="0070113B" w:rsidRDefault="0070113B" w:rsidP="00006794">
            <w:pPr>
              <w:spacing w:before="0" w:after="0" w:line="240" w:lineRule="auto"/>
              <w:jc w:val="center"/>
              <w:rPr>
                <w:kern w:val="0"/>
                <w:sz w:val="19"/>
                <w:szCs w:val="19"/>
              </w:rPr>
            </w:pPr>
            <w:r>
              <w:rPr>
                <w:kern w:val="0"/>
                <w:sz w:val="19"/>
                <w:szCs w:val="19"/>
              </w:rPr>
              <w:t>1,383,674</w:t>
            </w:r>
          </w:p>
        </w:tc>
        <w:tc>
          <w:tcPr>
            <w:tcW w:w="1134" w:type="dxa"/>
            <w:noWrap/>
            <w:vAlign w:val="center"/>
            <w:hideMark/>
          </w:tcPr>
          <w:p w14:paraId="04DC42F0" w14:textId="053B6761" w:rsidR="0070113B" w:rsidRPr="0070113B" w:rsidRDefault="0070113B" w:rsidP="00006794">
            <w:pPr>
              <w:spacing w:before="0" w:after="0" w:line="240" w:lineRule="auto"/>
              <w:jc w:val="center"/>
              <w:rPr>
                <w:kern w:val="0"/>
                <w:sz w:val="19"/>
                <w:szCs w:val="19"/>
              </w:rPr>
            </w:pPr>
            <w:r w:rsidRPr="0070113B">
              <w:rPr>
                <w:sz w:val="19"/>
                <w:szCs w:val="19"/>
              </w:rPr>
              <w:t>60</w:t>
            </w:r>
            <w:r>
              <w:rPr>
                <w:sz w:val="19"/>
                <w:szCs w:val="19"/>
              </w:rPr>
              <w:t>,</w:t>
            </w:r>
            <w:r w:rsidRPr="0070113B">
              <w:rPr>
                <w:sz w:val="19"/>
                <w:szCs w:val="19"/>
              </w:rPr>
              <w:t>088</w:t>
            </w:r>
          </w:p>
        </w:tc>
        <w:tc>
          <w:tcPr>
            <w:tcW w:w="1134" w:type="dxa"/>
            <w:vAlign w:val="center"/>
            <w:hideMark/>
          </w:tcPr>
          <w:p w14:paraId="1100AF28" w14:textId="3A510C60" w:rsidR="0070113B" w:rsidRPr="0070113B" w:rsidRDefault="0070113B" w:rsidP="00006794">
            <w:pPr>
              <w:spacing w:before="0" w:after="0" w:line="240" w:lineRule="auto"/>
              <w:jc w:val="center"/>
              <w:rPr>
                <w:kern w:val="0"/>
                <w:sz w:val="19"/>
                <w:szCs w:val="19"/>
              </w:rPr>
            </w:pPr>
            <w:r w:rsidRPr="0070113B">
              <w:rPr>
                <w:sz w:val="19"/>
                <w:szCs w:val="19"/>
              </w:rPr>
              <w:t>0</w:t>
            </w:r>
          </w:p>
        </w:tc>
        <w:tc>
          <w:tcPr>
            <w:tcW w:w="1223" w:type="dxa"/>
            <w:vAlign w:val="center"/>
            <w:hideMark/>
          </w:tcPr>
          <w:p w14:paraId="624C4D52" w14:textId="77777777" w:rsidR="0070113B" w:rsidRDefault="0070113B" w:rsidP="00006794">
            <w:pPr>
              <w:spacing w:before="0" w:after="0" w:line="240" w:lineRule="auto"/>
              <w:jc w:val="center"/>
              <w:rPr>
                <w:kern w:val="0"/>
                <w:sz w:val="19"/>
                <w:szCs w:val="19"/>
              </w:rPr>
            </w:pPr>
            <w:r>
              <w:rPr>
                <w:kern w:val="0"/>
                <w:sz w:val="19"/>
                <w:szCs w:val="19"/>
              </w:rPr>
              <w:t>0</w:t>
            </w:r>
          </w:p>
        </w:tc>
      </w:tr>
      <w:tr w:rsidR="0070113B" w14:paraId="2D38DF6D" w14:textId="77777777" w:rsidTr="00006794">
        <w:trPr>
          <w:trHeight w:val="340"/>
          <w:jc w:val="center"/>
        </w:trPr>
        <w:tc>
          <w:tcPr>
            <w:tcW w:w="1559" w:type="dxa"/>
            <w:vAlign w:val="center"/>
            <w:hideMark/>
          </w:tcPr>
          <w:p w14:paraId="29AF1F4F" w14:textId="77777777" w:rsidR="0070113B" w:rsidRDefault="0070113B" w:rsidP="0070113B">
            <w:pPr>
              <w:spacing w:before="0" w:after="0" w:line="240" w:lineRule="auto"/>
              <w:jc w:val="left"/>
              <w:rPr>
                <w:kern w:val="0"/>
                <w:sz w:val="19"/>
                <w:szCs w:val="19"/>
              </w:rPr>
            </w:pPr>
            <w:r>
              <w:rPr>
                <w:kern w:val="0"/>
                <w:sz w:val="19"/>
                <w:szCs w:val="19"/>
              </w:rPr>
              <w:t>No eWater</w:t>
            </w:r>
          </w:p>
        </w:tc>
        <w:tc>
          <w:tcPr>
            <w:tcW w:w="1276" w:type="dxa"/>
            <w:noWrap/>
            <w:vAlign w:val="center"/>
            <w:hideMark/>
          </w:tcPr>
          <w:p w14:paraId="3E50EB26" w14:textId="77777777" w:rsidR="0070113B" w:rsidRDefault="0070113B" w:rsidP="00006794">
            <w:pPr>
              <w:spacing w:before="0" w:after="0" w:line="240" w:lineRule="auto"/>
              <w:jc w:val="center"/>
              <w:rPr>
                <w:kern w:val="0"/>
                <w:sz w:val="19"/>
                <w:szCs w:val="19"/>
              </w:rPr>
            </w:pPr>
            <w:r>
              <w:rPr>
                <w:kern w:val="0"/>
                <w:sz w:val="19"/>
                <w:szCs w:val="19"/>
              </w:rPr>
              <w:t>152,406</w:t>
            </w:r>
          </w:p>
        </w:tc>
        <w:tc>
          <w:tcPr>
            <w:tcW w:w="1276" w:type="dxa"/>
            <w:noWrap/>
            <w:vAlign w:val="center"/>
            <w:hideMark/>
          </w:tcPr>
          <w:p w14:paraId="4159D54A" w14:textId="77777777" w:rsidR="0070113B" w:rsidRDefault="0070113B" w:rsidP="00006794">
            <w:pPr>
              <w:spacing w:before="0" w:after="0" w:line="240" w:lineRule="auto"/>
              <w:jc w:val="center"/>
              <w:rPr>
                <w:kern w:val="0"/>
                <w:sz w:val="19"/>
                <w:szCs w:val="19"/>
              </w:rPr>
            </w:pPr>
            <w:r>
              <w:rPr>
                <w:kern w:val="0"/>
                <w:sz w:val="19"/>
                <w:szCs w:val="19"/>
              </w:rPr>
              <w:t>31,031</w:t>
            </w:r>
          </w:p>
        </w:tc>
        <w:tc>
          <w:tcPr>
            <w:tcW w:w="1134" w:type="dxa"/>
            <w:noWrap/>
            <w:vAlign w:val="center"/>
            <w:hideMark/>
          </w:tcPr>
          <w:p w14:paraId="2E585279" w14:textId="77777777" w:rsidR="0070113B" w:rsidRDefault="0070113B" w:rsidP="00006794">
            <w:pPr>
              <w:spacing w:before="0" w:after="0" w:line="240" w:lineRule="auto"/>
              <w:jc w:val="center"/>
              <w:rPr>
                <w:kern w:val="0"/>
                <w:sz w:val="19"/>
                <w:szCs w:val="19"/>
              </w:rPr>
            </w:pPr>
            <w:r>
              <w:rPr>
                <w:kern w:val="0"/>
                <w:sz w:val="19"/>
                <w:szCs w:val="19"/>
              </w:rPr>
              <w:t>1,317,791</w:t>
            </w:r>
          </w:p>
        </w:tc>
        <w:tc>
          <w:tcPr>
            <w:tcW w:w="1134" w:type="dxa"/>
            <w:noWrap/>
            <w:vAlign w:val="center"/>
            <w:hideMark/>
          </w:tcPr>
          <w:p w14:paraId="0D60B697" w14:textId="52F9AD08" w:rsidR="0070113B" w:rsidRPr="0070113B" w:rsidRDefault="0070113B" w:rsidP="00006794">
            <w:pPr>
              <w:spacing w:before="0" w:after="0" w:line="240" w:lineRule="auto"/>
              <w:jc w:val="center"/>
              <w:rPr>
                <w:kern w:val="0"/>
                <w:sz w:val="19"/>
                <w:szCs w:val="19"/>
              </w:rPr>
            </w:pPr>
            <w:r w:rsidRPr="0070113B">
              <w:rPr>
                <w:sz w:val="19"/>
                <w:szCs w:val="19"/>
              </w:rPr>
              <w:t>60</w:t>
            </w:r>
            <w:r>
              <w:rPr>
                <w:sz w:val="19"/>
                <w:szCs w:val="19"/>
              </w:rPr>
              <w:t>,</w:t>
            </w:r>
            <w:r w:rsidRPr="0070113B">
              <w:rPr>
                <w:sz w:val="19"/>
                <w:szCs w:val="19"/>
              </w:rPr>
              <w:t>088</w:t>
            </w:r>
          </w:p>
        </w:tc>
        <w:tc>
          <w:tcPr>
            <w:tcW w:w="1134" w:type="dxa"/>
            <w:vAlign w:val="center"/>
            <w:hideMark/>
          </w:tcPr>
          <w:p w14:paraId="52496F09" w14:textId="203FA168" w:rsidR="0070113B" w:rsidRPr="0070113B" w:rsidRDefault="0070113B" w:rsidP="00006794">
            <w:pPr>
              <w:spacing w:before="0" w:after="0" w:line="240" w:lineRule="auto"/>
              <w:jc w:val="center"/>
              <w:rPr>
                <w:kern w:val="0"/>
                <w:sz w:val="19"/>
                <w:szCs w:val="19"/>
              </w:rPr>
            </w:pPr>
            <w:r w:rsidRPr="0070113B">
              <w:rPr>
                <w:sz w:val="19"/>
                <w:szCs w:val="19"/>
              </w:rPr>
              <w:t>0</w:t>
            </w:r>
          </w:p>
        </w:tc>
        <w:tc>
          <w:tcPr>
            <w:tcW w:w="1223" w:type="dxa"/>
            <w:vAlign w:val="center"/>
            <w:hideMark/>
          </w:tcPr>
          <w:p w14:paraId="66357E3D" w14:textId="77777777" w:rsidR="0070113B" w:rsidRDefault="0070113B" w:rsidP="00006794">
            <w:pPr>
              <w:spacing w:before="0" w:after="0" w:line="240" w:lineRule="auto"/>
              <w:jc w:val="center"/>
              <w:rPr>
                <w:kern w:val="0"/>
                <w:sz w:val="19"/>
                <w:szCs w:val="19"/>
              </w:rPr>
            </w:pPr>
            <w:r>
              <w:rPr>
                <w:kern w:val="0"/>
                <w:sz w:val="19"/>
                <w:szCs w:val="19"/>
              </w:rPr>
              <w:t>0</w:t>
            </w:r>
          </w:p>
        </w:tc>
      </w:tr>
      <w:tr w:rsidR="0070113B" w14:paraId="22891EFC" w14:textId="77777777" w:rsidTr="00006794">
        <w:trPr>
          <w:trHeight w:val="340"/>
          <w:jc w:val="center"/>
        </w:trPr>
        <w:tc>
          <w:tcPr>
            <w:tcW w:w="1559" w:type="dxa"/>
            <w:vAlign w:val="center"/>
          </w:tcPr>
          <w:p w14:paraId="79E01656" w14:textId="77777777" w:rsidR="0070113B" w:rsidRDefault="0070113B" w:rsidP="0070113B">
            <w:pPr>
              <w:spacing w:before="0" w:after="0" w:line="240" w:lineRule="auto"/>
              <w:jc w:val="left"/>
              <w:rPr>
                <w:kern w:val="0"/>
                <w:sz w:val="8"/>
                <w:szCs w:val="19"/>
                <w:u w:val="single"/>
              </w:rPr>
            </w:pPr>
          </w:p>
          <w:p w14:paraId="24C5D4DC" w14:textId="77777777" w:rsidR="0070113B" w:rsidRDefault="0070113B" w:rsidP="0070113B">
            <w:pPr>
              <w:spacing w:before="0" w:after="0" w:line="240" w:lineRule="auto"/>
              <w:jc w:val="left"/>
              <w:rPr>
                <w:kern w:val="0"/>
                <w:sz w:val="19"/>
                <w:szCs w:val="19"/>
                <w:u w:val="single"/>
              </w:rPr>
            </w:pPr>
            <w:r>
              <w:rPr>
                <w:kern w:val="0"/>
                <w:sz w:val="19"/>
                <w:szCs w:val="19"/>
                <w:u w:val="single"/>
              </w:rPr>
              <w:t>Murray Mouth</w:t>
            </w:r>
          </w:p>
        </w:tc>
        <w:tc>
          <w:tcPr>
            <w:tcW w:w="1276" w:type="dxa"/>
            <w:noWrap/>
            <w:vAlign w:val="center"/>
          </w:tcPr>
          <w:p w14:paraId="5483B9E3" w14:textId="77777777" w:rsidR="0070113B" w:rsidRDefault="0070113B" w:rsidP="00006794">
            <w:pPr>
              <w:spacing w:before="0" w:after="0" w:line="240" w:lineRule="auto"/>
              <w:jc w:val="center"/>
              <w:rPr>
                <w:kern w:val="0"/>
                <w:sz w:val="19"/>
                <w:szCs w:val="19"/>
              </w:rPr>
            </w:pPr>
          </w:p>
        </w:tc>
        <w:tc>
          <w:tcPr>
            <w:tcW w:w="1276" w:type="dxa"/>
            <w:noWrap/>
            <w:vAlign w:val="center"/>
          </w:tcPr>
          <w:p w14:paraId="5C7F1B9F" w14:textId="77777777" w:rsidR="0070113B" w:rsidRDefault="0070113B" w:rsidP="00006794">
            <w:pPr>
              <w:spacing w:before="0" w:after="0" w:line="240" w:lineRule="auto"/>
              <w:jc w:val="center"/>
              <w:rPr>
                <w:kern w:val="0"/>
                <w:sz w:val="19"/>
                <w:szCs w:val="19"/>
              </w:rPr>
            </w:pPr>
          </w:p>
        </w:tc>
        <w:tc>
          <w:tcPr>
            <w:tcW w:w="1134" w:type="dxa"/>
            <w:noWrap/>
            <w:vAlign w:val="center"/>
          </w:tcPr>
          <w:p w14:paraId="13537AA8" w14:textId="77777777" w:rsidR="0070113B" w:rsidRDefault="0070113B" w:rsidP="00006794">
            <w:pPr>
              <w:spacing w:before="0" w:after="0" w:line="240" w:lineRule="auto"/>
              <w:jc w:val="center"/>
              <w:rPr>
                <w:kern w:val="0"/>
                <w:sz w:val="19"/>
                <w:szCs w:val="19"/>
              </w:rPr>
            </w:pPr>
          </w:p>
        </w:tc>
        <w:tc>
          <w:tcPr>
            <w:tcW w:w="1134" w:type="dxa"/>
            <w:noWrap/>
            <w:vAlign w:val="center"/>
          </w:tcPr>
          <w:p w14:paraId="049534FC" w14:textId="77777777" w:rsidR="0070113B" w:rsidRPr="0070113B" w:rsidRDefault="0070113B" w:rsidP="00006794">
            <w:pPr>
              <w:spacing w:before="0" w:after="0" w:line="240" w:lineRule="auto"/>
              <w:jc w:val="center"/>
              <w:rPr>
                <w:kern w:val="0"/>
                <w:sz w:val="19"/>
                <w:szCs w:val="19"/>
              </w:rPr>
            </w:pPr>
          </w:p>
        </w:tc>
        <w:tc>
          <w:tcPr>
            <w:tcW w:w="1134" w:type="dxa"/>
            <w:vAlign w:val="center"/>
          </w:tcPr>
          <w:p w14:paraId="6B1E52A1" w14:textId="77777777" w:rsidR="0070113B" w:rsidRPr="0070113B" w:rsidRDefault="0070113B" w:rsidP="00006794">
            <w:pPr>
              <w:spacing w:before="0" w:after="0" w:line="240" w:lineRule="auto"/>
              <w:jc w:val="center"/>
              <w:rPr>
                <w:kern w:val="0"/>
                <w:sz w:val="19"/>
                <w:szCs w:val="19"/>
              </w:rPr>
            </w:pPr>
          </w:p>
        </w:tc>
        <w:tc>
          <w:tcPr>
            <w:tcW w:w="1223" w:type="dxa"/>
            <w:vAlign w:val="center"/>
          </w:tcPr>
          <w:p w14:paraId="0554D557" w14:textId="77777777" w:rsidR="0070113B" w:rsidRDefault="0070113B" w:rsidP="00006794">
            <w:pPr>
              <w:spacing w:before="0" w:after="0" w:line="240" w:lineRule="auto"/>
              <w:jc w:val="center"/>
              <w:rPr>
                <w:kern w:val="0"/>
                <w:sz w:val="19"/>
                <w:szCs w:val="19"/>
              </w:rPr>
            </w:pPr>
          </w:p>
        </w:tc>
      </w:tr>
      <w:tr w:rsidR="0070113B" w14:paraId="75C2C047" w14:textId="77777777" w:rsidTr="00006794">
        <w:trPr>
          <w:trHeight w:val="340"/>
          <w:jc w:val="center"/>
        </w:trPr>
        <w:tc>
          <w:tcPr>
            <w:tcW w:w="1559" w:type="dxa"/>
            <w:vAlign w:val="center"/>
            <w:hideMark/>
          </w:tcPr>
          <w:p w14:paraId="01765BC1" w14:textId="6005BC91" w:rsidR="0070113B" w:rsidRDefault="0070113B" w:rsidP="0070113B">
            <w:pPr>
              <w:spacing w:before="0" w:after="0" w:line="240" w:lineRule="auto"/>
              <w:jc w:val="left"/>
              <w:rPr>
                <w:kern w:val="0"/>
                <w:sz w:val="19"/>
                <w:szCs w:val="19"/>
              </w:rPr>
            </w:pPr>
            <w:r>
              <w:rPr>
                <w:kern w:val="0"/>
                <w:sz w:val="19"/>
                <w:szCs w:val="19"/>
              </w:rPr>
              <w:t>All water</w:t>
            </w:r>
          </w:p>
        </w:tc>
        <w:tc>
          <w:tcPr>
            <w:tcW w:w="1276" w:type="dxa"/>
            <w:noWrap/>
            <w:vAlign w:val="center"/>
            <w:hideMark/>
          </w:tcPr>
          <w:p w14:paraId="34AAA30D" w14:textId="77777777" w:rsidR="0070113B" w:rsidRDefault="0070113B" w:rsidP="00006794">
            <w:pPr>
              <w:spacing w:before="0" w:after="0" w:line="240" w:lineRule="auto"/>
              <w:jc w:val="center"/>
              <w:rPr>
                <w:kern w:val="0"/>
                <w:sz w:val="19"/>
                <w:szCs w:val="19"/>
                <w:highlight w:val="yellow"/>
              </w:rPr>
            </w:pPr>
            <w:r>
              <w:rPr>
                <w:sz w:val="19"/>
                <w:szCs w:val="19"/>
              </w:rPr>
              <w:t>-157,852</w:t>
            </w:r>
          </w:p>
        </w:tc>
        <w:tc>
          <w:tcPr>
            <w:tcW w:w="1276" w:type="dxa"/>
            <w:noWrap/>
            <w:vAlign w:val="center"/>
            <w:hideMark/>
          </w:tcPr>
          <w:p w14:paraId="113DFC73" w14:textId="77777777" w:rsidR="0070113B" w:rsidRDefault="0070113B" w:rsidP="00006794">
            <w:pPr>
              <w:spacing w:before="0" w:after="0" w:line="240" w:lineRule="auto"/>
              <w:jc w:val="center"/>
              <w:rPr>
                <w:kern w:val="0"/>
                <w:sz w:val="19"/>
                <w:szCs w:val="19"/>
                <w:highlight w:val="yellow"/>
              </w:rPr>
            </w:pPr>
            <w:r>
              <w:rPr>
                <w:sz w:val="19"/>
                <w:szCs w:val="19"/>
              </w:rPr>
              <w:t>-1,850,028</w:t>
            </w:r>
          </w:p>
        </w:tc>
        <w:tc>
          <w:tcPr>
            <w:tcW w:w="1134" w:type="dxa"/>
            <w:noWrap/>
            <w:vAlign w:val="center"/>
            <w:hideMark/>
          </w:tcPr>
          <w:p w14:paraId="120A74C6" w14:textId="77777777" w:rsidR="0070113B" w:rsidRDefault="0070113B" w:rsidP="00006794">
            <w:pPr>
              <w:spacing w:before="0" w:after="0" w:line="240" w:lineRule="auto"/>
              <w:jc w:val="center"/>
              <w:rPr>
                <w:kern w:val="0"/>
                <w:sz w:val="19"/>
                <w:szCs w:val="19"/>
                <w:highlight w:val="yellow"/>
              </w:rPr>
            </w:pPr>
            <w:r>
              <w:rPr>
                <w:sz w:val="19"/>
                <w:szCs w:val="19"/>
              </w:rPr>
              <w:t>3,679,277</w:t>
            </w:r>
          </w:p>
        </w:tc>
        <w:tc>
          <w:tcPr>
            <w:tcW w:w="1134" w:type="dxa"/>
            <w:noWrap/>
            <w:vAlign w:val="center"/>
            <w:hideMark/>
          </w:tcPr>
          <w:p w14:paraId="362E9979" w14:textId="4F6FFFF8" w:rsidR="0070113B" w:rsidRPr="0070113B" w:rsidRDefault="0070113B" w:rsidP="00006794">
            <w:pPr>
              <w:spacing w:before="0" w:after="0" w:line="240" w:lineRule="auto"/>
              <w:jc w:val="center"/>
              <w:rPr>
                <w:kern w:val="0"/>
                <w:sz w:val="19"/>
                <w:szCs w:val="19"/>
                <w:highlight w:val="yellow"/>
              </w:rPr>
            </w:pPr>
            <w:r w:rsidRPr="0070113B">
              <w:rPr>
                <w:sz w:val="19"/>
                <w:szCs w:val="19"/>
              </w:rPr>
              <w:t>-497</w:t>
            </w:r>
            <w:r>
              <w:rPr>
                <w:sz w:val="19"/>
                <w:szCs w:val="19"/>
              </w:rPr>
              <w:t>,</w:t>
            </w:r>
            <w:r w:rsidRPr="0070113B">
              <w:rPr>
                <w:sz w:val="19"/>
                <w:szCs w:val="19"/>
              </w:rPr>
              <w:t>342</w:t>
            </w:r>
          </w:p>
        </w:tc>
        <w:tc>
          <w:tcPr>
            <w:tcW w:w="1134" w:type="dxa"/>
            <w:vAlign w:val="center"/>
            <w:hideMark/>
          </w:tcPr>
          <w:p w14:paraId="34C2885E" w14:textId="16BBB4CC" w:rsidR="0070113B" w:rsidRPr="0070113B" w:rsidRDefault="0070113B" w:rsidP="00006794">
            <w:pPr>
              <w:spacing w:before="0" w:after="0" w:line="240" w:lineRule="auto"/>
              <w:jc w:val="center"/>
              <w:rPr>
                <w:kern w:val="0"/>
                <w:sz w:val="19"/>
                <w:szCs w:val="19"/>
                <w:highlight w:val="yellow"/>
              </w:rPr>
            </w:pPr>
            <w:r w:rsidRPr="0070113B">
              <w:rPr>
                <w:sz w:val="19"/>
                <w:szCs w:val="19"/>
              </w:rPr>
              <w:t>-16</w:t>
            </w:r>
            <w:r>
              <w:rPr>
                <w:sz w:val="19"/>
                <w:szCs w:val="19"/>
              </w:rPr>
              <w:t>,</w:t>
            </w:r>
            <w:r w:rsidRPr="0070113B">
              <w:rPr>
                <w:sz w:val="19"/>
                <w:szCs w:val="19"/>
              </w:rPr>
              <w:t>807</w:t>
            </w:r>
          </w:p>
        </w:tc>
        <w:tc>
          <w:tcPr>
            <w:tcW w:w="1223" w:type="dxa"/>
            <w:vAlign w:val="center"/>
            <w:hideMark/>
          </w:tcPr>
          <w:p w14:paraId="25F6525F" w14:textId="77777777" w:rsidR="0070113B" w:rsidRDefault="0070113B" w:rsidP="00006794">
            <w:pPr>
              <w:spacing w:before="0" w:after="0" w:line="240" w:lineRule="auto"/>
              <w:jc w:val="center"/>
              <w:rPr>
                <w:sz w:val="19"/>
                <w:szCs w:val="19"/>
              </w:rPr>
            </w:pPr>
            <w:r>
              <w:rPr>
                <w:sz w:val="19"/>
                <w:szCs w:val="19"/>
              </w:rPr>
              <w:t>-335,926</w:t>
            </w:r>
          </w:p>
        </w:tc>
      </w:tr>
      <w:tr w:rsidR="0070113B" w14:paraId="3784B8C1" w14:textId="77777777" w:rsidTr="00006794">
        <w:trPr>
          <w:trHeight w:val="340"/>
          <w:jc w:val="center"/>
        </w:trPr>
        <w:tc>
          <w:tcPr>
            <w:tcW w:w="1559" w:type="dxa"/>
            <w:vAlign w:val="center"/>
            <w:hideMark/>
          </w:tcPr>
          <w:p w14:paraId="4B5765B8" w14:textId="77777777" w:rsidR="0070113B" w:rsidRDefault="0070113B" w:rsidP="0070113B">
            <w:pPr>
              <w:spacing w:before="0" w:after="0" w:line="240" w:lineRule="auto"/>
              <w:jc w:val="left"/>
              <w:rPr>
                <w:kern w:val="0"/>
                <w:sz w:val="19"/>
                <w:szCs w:val="19"/>
              </w:rPr>
            </w:pPr>
            <w:r>
              <w:rPr>
                <w:kern w:val="0"/>
                <w:sz w:val="19"/>
                <w:szCs w:val="19"/>
              </w:rPr>
              <w:t>No CEW</w:t>
            </w:r>
          </w:p>
        </w:tc>
        <w:tc>
          <w:tcPr>
            <w:tcW w:w="1276" w:type="dxa"/>
            <w:noWrap/>
            <w:vAlign w:val="center"/>
            <w:hideMark/>
          </w:tcPr>
          <w:p w14:paraId="72E61C7B" w14:textId="77777777" w:rsidR="0070113B" w:rsidRDefault="0070113B" w:rsidP="00006794">
            <w:pPr>
              <w:spacing w:before="0" w:after="0" w:line="240" w:lineRule="auto"/>
              <w:jc w:val="center"/>
              <w:rPr>
                <w:kern w:val="0"/>
                <w:sz w:val="19"/>
                <w:szCs w:val="19"/>
                <w:highlight w:val="yellow"/>
              </w:rPr>
            </w:pPr>
            <w:r>
              <w:rPr>
                <w:sz w:val="19"/>
                <w:szCs w:val="19"/>
              </w:rPr>
              <w:t>-3,202,552</w:t>
            </w:r>
          </w:p>
        </w:tc>
        <w:tc>
          <w:tcPr>
            <w:tcW w:w="1276" w:type="dxa"/>
            <w:noWrap/>
            <w:vAlign w:val="center"/>
            <w:hideMark/>
          </w:tcPr>
          <w:p w14:paraId="00DF9652" w14:textId="77777777" w:rsidR="0070113B" w:rsidRDefault="0070113B" w:rsidP="00006794">
            <w:pPr>
              <w:spacing w:before="0" w:after="0" w:line="240" w:lineRule="auto"/>
              <w:jc w:val="center"/>
              <w:rPr>
                <w:kern w:val="0"/>
                <w:sz w:val="19"/>
                <w:szCs w:val="19"/>
                <w:highlight w:val="yellow"/>
              </w:rPr>
            </w:pPr>
            <w:r>
              <w:rPr>
                <w:sz w:val="19"/>
                <w:szCs w:val="19"/>
              </w:rPr>
              <w:t>-6,441,297</w:t>
            </w:r>
          </w:p>
        </w:tc>
        <w:tc>
          <w:tcPr>
            <w:tcW w:w="1134" w:type="dxa"/>
            <w:noWrap/>
            <w:vAlign w:val="center"/>
            <w:hideMark/>
          </w:tcPr>
          <w:p w14:paraId="1C96702E" w14:textId="77777777" w:rsidR="0070113B" w:rsidRDefault="0070113B" w:rsidP="00006794">
            <w:pPr>
              <w:spacing w:before="0" w:after="0" w:line="240" w:lineRule="auto"/>
              <w:jc w:val="center"/>
              <w:rPr>
                <w:kern w:val="0"/>
                <w:sz w:val="19"/>
                <w:szCs w:val="19"/>
                <w:highlight w:val="yellow"/>
              </w:rPr>
            </w:pPr>
            <w:r>
              <w:rPr>
                <w:sz w:val="19"/>
                <w:szCs w:val="19"/>
              </w:rPr>
              <w:t>3,159,985</w:t>
            </w:r>
          </w:p>
        </w:tc>
        <w:tc>
          <w:tcPr>
            <w:tcW w:w="1134" w:type="dxa"/>
            <w:noWrap/>
            <w:vAlign w:val="center"/>
            <w:hideMark/>
          </w:tcPr>
          <w:p w14:paraId="525A4484" w14:textId="7EA85742" w:rsidR="0070113B" w:rsidRPr="0070113B" w:rsidRDefault="0070113B" w:rsidP="00006794">
            <w:pPr>
              <w:spacing w:before="0" w:after="0" w:line="240" w:lineRule="auto"/>
              <w:jc w:val="center"/>
              <w:rPr>
                <w:kern w:val="0"/>
                <w:sz w:val="19"/>
                <w:szCs w:val="19"/>
                <w:highlight w:val="yellow"/>
              </w:rPr>
            </w:pPr>
            <w:r w:rsidRPr="0070113B">
              <w:rPr>
                <w:sz w:val="19"/>
                <w:szCs w:val="19"/>
              </w:rPr>
              <w:t>-2,168,279</w:t>
            </w:r>
          </w:p>
        </w:tc>
        <w:tc>
          <w:tcPr>
            <w:tcW w:w="1134" w:type="dxa"/>
            <w:vAlign w:val="center"/>
            <w:hideMark/>
          </w:tcPr>
          <w:p w14:paraId="6C035CF2" w14:textId="7A424949" w:rsidR="0070113B" w:rsidRPr="0070113B" w:rsidRDefault="0070113B" w:rsidP="00006794">
            <w:pPr>
              <w:spacing w:before="0" w:after="0" w:line="240" w:lineRule="auto"/>
              <w:jc w:val="center"/>
              <w:rPr>
                <w:kern w:val="0"/>
                <w:sz w:val="19"/>
                <w:szCs w:val="19"/>
                <w:highlight w:val="yellow"/>
              </w:rPr>
            </w:pPr>
            <w:r w:rsidRPr="0070113B">
              <w:rPr>
                <w:sz w:val="19"/>
                <w:szCs w:val="19"/>
              </w:rPr>
              <w:t>-1,864,080</w:t>
            </w:r>
          </w:p>
        </w:tc>
        <w:tc>
          <w:tcPr>
            <w:tcW w:w="1223" w:type="dxa"/>
            <w:vAlign w:val="center"/>
            <w:hideMark/>
          </w:tcPr>
          <w:p w14:paraId="5811A21B" w14:textId="77777777" w:rsidR="0070113B" w:rsidRDefault="0070113B" w:rsidP="00006794">
            <w:pPr>
              <w:spacing w:before="0" w:after="0" w:line="240" w:lineRule="auto"/>
              <w:jc w:val="center"/>
              <w:rPr>
                <w:sz w:val="19"/>
                <w:szCs w:val="19"/>
              </w:rPr>
            </w:pPr>
            <w:r>
              <w:rPr>
                <w:sz w:val="19"/>
                <w:szCs w:val="19"/>
              </w:rPr>
              <w:t>-2,332,963</w:t>
            </w:r>
          </w:p>
        </w:tc>
      </w:tr>
      <w:tr w:rsidR="0070113B" w14:paraId="1BF50955" w14:textId="77777777" w:rsidTr="00006794">
        <w:trPr>
          <w:trHeight w:val="340"/>
          <w:jc w:val="center"/>
        </w:trPr>
        <w:tc>
          <w:tcPr>
            <w:tcW w:w="1559" w:type="dxa"/>
            <w:tcBorders>
              <w:top w:val="nil"/>
              <w:left w:val="nil"/>
              <w:bottom w:val="single" w:sz="4" w:space="0" w:color="auto"/>
              <w:right w:val="nil"/>
            </w:tcBorders>
            <w:vAlign w:val="center"/>
            <w:hideMark/>
          </w:tcPr>
          <w:p w14:paraId="79B0A0DF" w14:textId="77777777" w:rsidR="0070113B" w:rsidRDefault="0070113B" w:rsidP="0070113B">
            <w:pPr>
              <w:spacing w:before="0" w:after="0" w:line="240" w:lineRule="auto"/>
              <w:jc w:val="left"/>
              <w:rPr>
                <w:kern w:val="0"/>
                <w:sz w:val="19"/>
                <w:szCs w:val="19"/>
              </w:rPr>
            </w:pPr>
            <w:r>
              <w:rPr>
                <w:kern w:val="0"/>
                <w:sz w:val="19"/>
                <w:szCs w:val="19"/>
              </w:rPr>
              <w:t>No eWater</w:t>
            </w:r>
          </w:p>
        </w:tc>
        <w:tc>
          <w:tcPr>
            <w:tcW w:w="1276" w:type="dxa"/>
            <w:tcBorders>
              <w:top w:val="nil"/>
              <w:left w:val="nil"/>
              <w:bottom w:val="single" w:sz="4" w:space="0" w:color="auto"/>
              <w:right w:val="nil"/>
            </w:tcBorders>
            <w:noWrap/>
            <w:vAlign w:val="center"/>
            <w:hideMark/>
          </w:tcPr>
          <w:p w14:paraId="08188646" w14:textId="77777777" w:rsidR="0070113B" w:rsidRDefault="0070113B" w:rsidP="00006794">
            <w:pPr>
              <w:spacing w:before="0" w:after="0" w:line="240" w:lineRule="auto"/>
              <w:jc w:val="center"/>
              <w:rPr>
                <w:kern w:val="0"/>
                <w:sz w:val="19"/>
                <w:szCs w:val="19"/>
                <w:highlight w:val="yellow"/>
              </w:rPr>
            </w:pPr>
            <w:r>
              <w:rPr>
                <w:sz w:val="19"/>
                <w:szCs w:val="19"/>
              </w:rPr>
              <w:t>-5,048,511</w:t>
            </w:r>
          </w:p>
        </w:tc>
        <w:tc>
          <w:tcPr>
            <w:tcW w:w="1276" w:type="dxa"/>
            <w:tcBorders>
              <w:top w:val="nil"/>
              <w:left w:val="nil"/>
              <w:bottom w:val="single" w:sz="4" w:space="0" w:color="auto"/>
              <w:right w:val="nil"/>
            </w:tcBorders>
            <w:noWrap/>
            <w:vAlign w:val="center"/>
            <w:hideMark/>
          </w:tcPr>
          <w:p w14:paraId="2FE3D744" w14:textId="77777777" w:rsidR="0070113B" w:rsidRDefault="0070113B" w:rsidP="00006794">
            <w:pPr>
              <w:spacing w:before="0" w:after="0" w:line="240" w:lineRule="auto"/>
              <w:jc w:val="center"/>
              <w:rPr>
                <w:kern w:val="0"/>
                <w:sz w:val="19"/>
                <w:szCs w:val="19"/>
                <w:highlight w:val="yellow"/>
              </w:rPr>
            </w:pPr>
            <w:r>
              <w:rPr>
                <w:sz w:val="19"/>
                <w:szCs w:val="19"/>
              </w:rPr>
              <w:t>-6,649,380</w:t>
            </w:r>
          </w:p>
        </w:tc>
        <w:tc>
          <w:tcPr>
            <w:tcW w:w="1134" w:type="dxa"/>
            <w:tcBorders>
              <w:top w:val="nil"/>
              <w:left w:val="nil"/>
              <w:bottom w:val="single" w:sz="4" w:space="0" w:color="auto"/>
              <w:right w:val="nil"/>
            </w:tcBorders>
            <w:noWrap/>
            <w:vAlign w:val="center"/>
            <w:hideMark/>
          </w:tcPr>
          <w:p w14:paraId="52C60925" w14:textId="77777777" w:rsidR="0070113B" w:rsidRDefault="0070113B" w:rsidP="00006794">
            <w:pPr>
              <w:spacing w:before="0" w:after="0" w:line="240" w:lineRule="auto"/>
              <w:jc w:val="center"/>
              <w:rPr>
                <w:kern w:val="0"/>
                <w:sz w:val="19"/>
                <w:szCs w:val="19"/>
                <w:highlight w:val="yellow"/>
              </w:rPr>
            </w:pPr>
            <w:r>
              <w:rPr>
                <w:sz w:val="19"/>
                <w:szCs w:val="19"/>
              </w:rPr>
              <w:t>1,958,989</w:t>
            </w:r>
          </w:p>
        </w:tc>
        <w:tc>
          <w:tcPr>
            <w:tcW w:w="1134" w:type="dxa"/>
            <w:tcBorders>
              <w:top w:val="nil"/>
              <w:left w:val="nil"/>
              <w:bottom w:val="single" w:sz="4" w:space="0" w:color="auto"/>
              <w:right w:val="nil"/>
            </w:tcBorders>
            <w:noWrap/>
            <w:vAlign w:val="center"/>
            <w:hideMark/>
          </w:tcPr>
          <w:p w14:paraId="1259A830" w14:textId="66931EB5" w:rsidR="0070113B" w:rsidRPr="0070113B" w:rsidRDefault="0070113B" w:rsidP="00006794">
            <w:pPr>
              <w:spacing w:before="0" w:after="0" w:line="240" w:lineRule="auto"/>
              <w:jc w:val="center"/>
              <w:rPr>
                <w:kern w:val="0"/>
                <w:sz w:val="19"/>
                <w:szCs w:val="19"/>
                <w:highlight w:val="yellow"/>
              </w:rPr>
            </w:pPr>
            <w:r w:rsidRPr="0070113B">
              <w:rPr>
                <w:sz w:val="19"/>
                <w:szCs w:val="19"/>
              </w:rPr>
              <w:t>-2,168279</w:t>
            </w:r>
          </w:p>
        </w:tc>
        <w:tc>
          <w:tcPr>
            <w:tcW w:w="1134" w:type="dxa"/>
            <w:tcBorders>
              <w:top w:val="nil"/>
              <w:left w:val="nil"/>
              <w:bottom w:val="single" w:sz="4" w:space="0" w:color="auto"/>
              <w:right w:val="nil"/>
            </w:tcBorders>
            <w:vAlign w:val="center"/>
            <w:hideMark/>
          </w:tcPr>
          <w:p w14:paraId="1495E174" w14:textId="71EE28E1" w:rsidR="0070113B" w:rsidRPr="0070113B" w:rsidRDefault="0070113B" w:rsidP="00006794">
            <w:pPr>
              <w:spacing w:before="0" w:after="0" w:line="240" w:lineRule="auto"/>
              <w:jc w:val="center"/>
              <w:rPr>
                <w:kern w:val="0"/>
                <w:sz w:val="19"/>
                <w:szCs w:val="19"/>
                <w:highlight w:val="yellow"/>
              </w:rPr>
            </w:pPr>
            <w:r w:rsidRPr="0070113B">
              <w:rPr>
                <w:sz w:val="19"/>
                <w:szCs w:val="19"/>
              </w:rPr>
              <w:t>-1,864,080</w:t>
            </w:r>
          </w:p>
        </w:tc>
        <w:tc>
          <w:tcPr>
            <w:tcW w:w="1223" w:type="dxa"/>
            <w:tcBorders>
              <w:top w:val="nil"/>
              <w:left w:val="nil"/>
              <w:bottom w:val="single" w:sz="4" w:space="0" w:color="auto"/>
              <w:right w:val="nil"/>
            </w:tcBorders>
            <w:vAlign w:val="center"/>
            <w:hideMark/>
          </w:tcPr>
          <w:p w14:paraId="54F6D277" w14:textId="77777777" w:rsidR="0070113B" w:rsidRDefault="0070113B" w:rsidP="00006794">
            <w:pPr>
              <w:spacing w:before="0" w:after="0" w:line="240" w:lineRule="auto"/>
              <w:jc w:val="center"/>
              <w:rPr>
                <w:sz w:val="19"/>
                <w:szCs w:val="19"/>
              </w:rPr>
            </w:pPr>
            <w:r>
              <w:rPr>
                <w:sz w:val="19"/>
                <w:szCs w:val="19"/>
              </w:rPr>
              <w:t>-2,332,963</w:t>
            </w:r>
          </w:p>
        </w:tc>
      </w:tr>
    </w:tbl>
    <w:p w14:paraId="6F0B43FF" w14:textId="4B0CA86B" w:rsidR="005655A6" w:rsidRPr="00B056F6" w:rsidRDefault="00B056F6" w:rsidP="00B056F6">
      <w:pPr>
        <w:spacing w:before="0" w:after="0" w:line="240" w:lineRule="auto"/>
        <w:rPr>
          <w:color w:val="auto"/>
          <w:kern w:val="0"/>
          <w:sz w:val="18"/>
          <w:szCs w:val="18"/>
          <w:lang w:val="en-US" w:bidi="en-US"/>
        </w:rPr>
      </w:pPr>
      <w:r w:rsidRPr="00315757">
        <w:rPr>
          <w:color w:val="auto"/>
          <w:kern w:val="0"/>
          <w:sz w:val="18"/>
          <w:szCs w:val="18"/>
          <w:lang w:val="en-US" w:bidi="en-US"/>
        </w:rPr>
        <w:t xml:space="preserve">* </w:t>
      </w:r>
      <w:r w:rsidR="00E80E06" w:rsidRPr="00315757">
        <w:rPr>
          <w:color w:val="auto"/>
          <w:kern w:val="0"/>
          <w:sz w:val="18"/>
          <w:szCs w:val="18"/>
          <w:lang w:val="en-US" w:bidi="en-US"/>
        </w:rPr>
        <w:t xml:space="preserve">The salt export and salinity data reported for years 2017-18 to 2019-20 are from the new high-resolution Coorong only model, which </w:t>
      </w:r>
      <w:r w:rsidR="00E80E06">
        <w:rPr>
          <w:color w:val="auto"/>
          <w:kern w:val="0"/>
          <w:sz w:val="18"/>
          <w:szCs w:val="18"/>
          <w:lang w:val="en-US" w:bidi="en-US"/>
        </w:rPr>
        <w:t>is</w:t>
      </w:r>
      <w:r w:rsidR="00E80E06" w:rsidRPr="00315757">
        <w:rPr>
          <w:color w:val="auto"/>
          <w:kern w:val="0"/>
          <w:sz w:val="18"/>
          <w:szCs w:val="18"/>
          <w:lang w:val="en-US" w:bidi="en-US"/>
        </w:rPr>
        <w:t xml:space="preserve"> different from the large domain model previously used </w:t>
      </w:r>
      <w:r w:rsidR="00E80E06">
        <w:rPr>
          <w:color w:val="auto"/>
          <w:kern w:val="0"/>
          <w:sz w:val="18"/>
          <w:szCs w:val="18"/>
          <w:lang w:val="en-US" w:bidi="en-US"/>
        </w:rPr>
        <w:t xml:space="preserve">for </w:t>
      </w:r>
      <w:r w:rsidR="00E80E06" w:rsidRPr="00315757">
        <w:rPr>
          <w:color w:val="auto"/>
          <w:kern w:val="0"/>
          <w:sz w:val="18"/>
          <w:szCs w:val="18"/>
          <w:lang w:val="en-US" w:bidi="en-US"/>
        </w:rPr>
        <w:t>2014-15 to 2016-17</w:t>
      </w:r>
      <w:r w:rsidR="00E80E06">
        <w:rPr>
          <w:color w:val="auto"/>
          <w:kern w:val="0"/>
          <w:sz w:val="18"/>
          <w:szCs w:val="18"/>
          <w:lang w:val="en-US" w:bidi="en-US"/>
        </w:rPr>
        <w:t xml:space="preserve"> and has updated barrage flow specification</w:t>
      </w:r>
      <w:r w:rsidR="00E80E06" w:rsidRPr="00315757">
        <w:rPr>
          <w:color w:val="auto"/>
          <w:kern w:val="0"/>
          <w:sz w:val="18"/>
          <w:szCs w:val="18"/>
          <w:lang w:val="en-US" w:bidi="en-US"/>
        </w:rPr>
        <w:t xml:space="preserve">. </w:t>
      </w:r>
      <w:r w:rsidR="00E80E06">
        <w:rPr>
          <w:color w:val="auto"/>
          <w:kern w:val="0"/>
          <w:sz w:val="18"/>
          <w:szCs w:val="18"/>
          <w:lang w:val="en-US" w:bidi="en-US"/>
        </w:rPr>
        <w:t>T</w:t>
      </w:r>
      <w:r w:rsidR="00E80E06" w:rsidRPr="00315757">
        <w:rPr>
          <w:color w:val="auto"/>
          <w:kern w:val="0"/>
          <w:sz w:val="18"/>
          <w:szCs w:val="18"/>
          <w:lang w:val="en-US" w:bidi="en-US"/>
        </w:rPr>
        <w:t xml:space="preserve">he full domain model </w:t>
      </w:r>
      <w:r w:rsidR="00E80E06">
        <w:rPr>
          <w:color w:val="auto"/>
          <w:kern w:val="0"/>
          <w:sz w:val="18"/>
          <w:szCs w:val="18"/>
          <w:lang w:val="en-US" w:bidi="en-US"/>
        </w:rPr>
        <w:t>is</w:t>
      </w:r>
      <w:r w:rsidR="00E80E06" w:rsidRPr="00315757">
        <w:rPr>
          <w:color w:val="auto"/>
          <w:kern w:val="0"/>
          <w:sz w:val="18"/>
          <w:szCs w:val="18"/>
          <w:lang w:val="en-US" w:bidi="en-US"/>
        </w:rPr>
        <w:t xml:space="preserve"> estimated to underpredict the</w:t>
      </w:r>
      <w:r w:rsidR="00E80E06">
        <w:rPr>
          <w:color w:val="auto"/>
          <w:kern w:val="0"/>
          <w:sz w:val="18"/>
          <w:szCs w:val="18"/>
          <w:lang w:val="en-US" w:bidi="en-US"/>
        </w:rPr>
        <w:t xml:space="preserve"> salinity and</w:t>
      </w:r>
      <w:r w:rsidR="00E80E06" w:rsidRPr="00315757">
        <w:rPr>
          <w:color w:val="auto"/>
          <w:kern w:val="0"/>
          <w:sz w:val="18"/>
          <w:szCs w:val="18"/>
          <w:lang w:val="en-US" w:bidi="en-US"/>
        </w:rPr>
        <w:t xml:space="preserve"> salt flux at the barrages, and hence the 2014-15 to 2016-17 are systematically lower than the other years. The post 2017 predictions </w:t>
      </w:r>
      <w:r w:rsidR="00E80E06">
        <w:rPr>
          <w:color w:val="auto"/>
          <w:kern w:val="0"/>
          <w:sz w:val="18"/>
          <w:szCs w:val="18"/>
          <w:lang w:val="en-US" w:bidi="en-US"/>
        </w:rPr>
        <w:t xml:space="preserve">with the Coorong model </w:t>
      </w:r>
      <w:proofErr w:type="gramStart"/>
      <w:r w:rsidR="00E80E06" w:rsidRPr="00315757">
        <w:rPr>
          <w:color w:val="auto"/>
          <w:kern w:val="0"/>
          <w:sz w:val="18"/>
          <w:szCs w:val="18"/>
          <w:lang w:val="en-US" w:bidi="en-US"/>
        </w:rPr>
        <w:t>are considered to be</w:t>
      </w:r>
      <w:proofErr w:type="gramEnd"/>
      <w:r w:rsidR="00E80E06" w:rsidRPr="00315757">
        <w:rPr>
          <w:color w:val="auto"/>
          <w:kern w:val="0"/>
          <w:sz w:val="18"/>
          <w:szCs w:val="18"/>
          <w:lang w:val="en-US" w:bidi="en-US"/>
        </w:rPr>
        <w:t xml:space="preserve"> </w:t>
      </w:r>
      <w:r w:rsidR="00E80E06">
        <w:rPr>
          <w:color w:val="auto"/>
          <w:kern w:val="0"/>
          <w:sz w:val="18"/>
          <w:szCs w:val="18"/>
          <w:lang w:val="en-US" w:bidi="en-US"/>
        </w:rPr>
        <w:t>more</w:t>
      </w:r>
      <w:r w:rsidR="00E80E06" w:rsidRPr="00315757">
        <w:rPr>
          <w:color w:val="auto"/>
          <w:kern w:val="0"/>
          <w:sz w:val="18"/>
          <w:szCs w:val="18"/>
          <w:lang w:val="en-US" w:bidi="en-US"/>
        </w:rPr>
        <w:t xml:space="preserve"> accurate, based on our recent validation assessment (Appendix D).</w:t>
      </w:r>
    </w:p>
    <w:p w14:paraId="2273BD26" w14:textId="06791AF1" w:rsidR="007117DA" w:rsidRDefault="007117DA" w:rsidP="007117DA">
      <w:pPr>
        <w:rPr>
          <w:i/>
          <w:u w:val="single"/>
        </w:rPr>
      </w:pPr>
      <w:r>
        <w:rPr>
          <w:i/>
          <w:u w:val="single"/>
        </w:rPr>
        <w:t>Salinity dynamics within the Coorong</w:t>
      </w:r>
    </w:p>
    <w:p w14:paraId="4D2C2848" w14:textId="30A57B6B" w:rsidR="007117DA" w:rsidRDefault="007117DA" w:rsidP="007117DA">
      <w:r>
        <w:t>The results of the three Coorong flow scenarios (“All water”, “no eWater” and “no eWater 3yrs"), were compared with the salinity measured continuously at monitoring stations in the Coorong. For the base-case, there was a good fit between sensor data and modelled data at all sites (Figure</w:t>
      </w:r>
      <w:r w:rsidR="00223F88">
        <w:t>s</w:t>
      </w:r>
      <w:r>
        <w:t xml:space="preserve"> D</w:t>
      </w:r>
      <w:r w:rsidR="00223F88">
        <w:t>3 and D4</w:t>
      </w:r>
      <w:r>
        <w:t>, Appendix D). The general trend is seen as the system getting more saline and more seasonal increases in salinity as you move further south (</w:t>
      </w:r>
      <w:r>
        <w:fldChar w:fldCharType="begin"/>
      </w:r>
      <w:r>
        <w:instrText xml:space="preserve"> REF _Ref63263391 \h </w:instrText>
      </w:r>
      <w:r>
        <w:fldChar w:fldCharType="separate"/>
      </w:r>
      <w:r w:rsidR="00CF2251">
        <w:t xml:space="preserve">Figure </w:t>
      </w:r>
      <w:r w:rsidR="00CF2251">
        <w:rPr>
          <w:noProof/>
        </w:rPr>
        <w:t>27</w:t>
      </w:r>
      <w:r>
        <w:fldChar w:fldCharType="end"/>
      </w:r>
      <w:r>
        <w:t xml:space="preserve">; </w:t>
      </w:r>
      <w:r>
        <w:fldChar w:fldCharType="begin"/>
      </w:r>
      <w:r>
        <w:instrText xml:space="preserve"> REF _Ref63680251 \h </w:instrText>
      </w:r>
      <w:r>
        <w:fldChar w:fldCharType="separate"/>
      </w:r>
      <w:r w:rsidR="00CF2251">
        <w:t xml:space="preserve">Figure </w:t>
      </w:r>
      <w:r w:rsidR="00CF2251">
        <w:rPr>
          <w:noProof/>
        </w:rPr>
        <w:t>28</w:t>
      </w:r>
      <w:r>
        <w:fldChar w:fldCharType="end"/>
      </w:r>
      <w:r>
        <w:t xml:space="preserve">). Transition zones between the river and ocean (Murray </w:t>
      </w:r>
      <w:r w:rsidR="005E53ED">
        <w:t>M</w:t>
      </w:r>
      <w:r>
        <w:t xml:space="preserve">outh) and between lagoons show a greater salinity range as there is more exchange of water and salt at these zones. </w:t>
      </w:r>
    </w:p>
    <w:p w14:paraId="7D207376" w14:textId="7A1497A7" w:rsidR="007117DA" w:rsidRDefault="004A7F49" w:rsidP="004A7F49">
      <w:r>
        <w:t>The analysis shows the model can predict the salinity in the Coorong and the relative differences that would have occurred if environmental water was not provided. The dynamic nature of salt flux is further evident in the panels illustrating the salt mass flux between the various Coorong locations (Figure D5, Appendix D) for the base-case scenario, which has environmental water flow over the barrages. Salt flux over the barrages is unidirectional and acts to freshen the Murray Mouth region. Ocean input to the Coorong is variable but net positive over the period July 2017–July 2020 (Figure D5b</w:t>
      </w:r>
      <w:r w:rsidR="005E53ED">
        <w:t>, Appendix D</w:t>
      </w:r>
      <w:r>
        <w:t>). The role of freshwater flowing from the river is to limit this salt influx from the ocean and maintain appropriate salinity in the Coorong. Salt from the Murray Mouth can travel southward as it replenishes water that is evaporating in the Coorong. The dominant direction of salt flux is southward although it can move northward (negative flux in Figure D5c</w:t>
      </w:r>
      <w:r w:rsidR="005E53ED">
        <w:t>, Appendix D</w:t>
      </w:r>
      <w:r>
        <w:t xml:space="preserve">) when river flows over the barrages cease, the head of water </w:t>
      </w:r>
      <w:proofErr w:type="gramStart"/>
      <w:r>
        <w:t>decreased</w:t>
      </w:r>
      <w:proofErr w:type="gramEnd"/>
      <w:r>
        <w:t xml:space="preserve"> and the net flow of water is northwards.</w:t>
      </w:r>
    </w:p>
    <w:p w14:paraId="60FA795D" w14:textId="77777777" w:rsidR="007117DA" w:rsidRDefault="007117DA" w:rsidP="00F8184E">
      <w:pPr>
        <w:pStyle w:val="Captions"/>
      </w:pPr>
      <w:r>
        <w:rPr>
          <w:noProof/>
        </w:rPr>
        <mc:AlternateContent>
          <mc:Choice Requires="wps">
            <w:drawing>
              <wp:anchor distT="0" distB="0" distL="114300" distR="114300" simplePos="0" relativeHeight="251676677" behindDoc="0" locked="0" layoutInCell="1" allowOverlap="1" wp14:anchorId="79F43D7F" wp14:editId="29E81EAF">
                <wp:simplePos x="0" y="0"/>
                <wp:positionH relativeFrom="column">
                  <wp:posOffset>-771886</wp:posOffset>
                </wp:positionH>
                <wp:positionV relativeFrom="paragraph">
                  <wp:posOffset>772212</wp:posOffset>
                </wp:positionV>
                <wp:extent cx="1759058" cy="224725"/>
                <wp:effectExtent l="5397" t="0" r="0" b="0"/>
                <wp:wrapNone/>
                <wp:docPr id="1034" name="Text Box 1034"/>
                <wp:cNvGraphicFramePr/>
                <a:graphic xmlns:a="http://schemas.openxmlformats.org/drawingml/2006/main">
                  <a:graphicData uri="http://schemas.microsoft.com/office/word/2010/wordprocessingShape">
                    <wps:wsp>
                      <wps:cNvSpPr txBox="1"/>
                      <wps:spPr>
                        <a:xfrm rot="16200000">
                          <a:off x="0" y="0"/>
                          <a:ext cx="1759058" cy="224725"/>
                        </a:xfrm>
                        <a:prstGeom prst="rect">
                          <a:avLst/>
                        </a:prstGeom>
                        <a:solidFill>
                          <a:sysClr val="window" lastClr="FFFFFF"/>
                        </a:solidFill>
                        <a:ln w="6350">
                          <a:noFill/>
                        </a:ln>
                      </wps:spPr>
                      <wps:txbx>
                        <w:txbxContent>
                          <w:p w14:paraId="657659F3" w14:textId="77777777" w:rsidR="00A24026" w:rsidRPr="00CE2E59" w:rsidRDefault="00A24026" w:rsidP="007117DA">
                            <w:pPr>
                              <w:spacing w:before="0" w:after="0" w:line="240" w:lineRule="auto"/>
                              <w:rPr>
                                <w:rFonts w:asciiTheme="majorHAnsi" w:hAnsiTheme="majorHAnsi" w:cstheme="majorHAnsi"/>
                                <w:sz w:val="16"/>
                                <w:szCs w:val="15"/>
                              </w:rPr>
                            </w:pPr>
                            <w:r>
                              <w:rPr>
                                <w:rFonts w:asciiTheme="majorHAnsi" w:hAnsiTheme="majorHAnsi" w:cstheme="majorHAnsi"/>
                                <w:sz w:val="16"/>
                                <w:szCs w:val="15"/>
                              </w:rPr>
                              <w:t>Salinity (PSU)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F43D7F" id="_x0000_t202" coordsize="21600,21600" o:spt="202" path="m,l,21600r21600,l21600,xe">
                <v:stroke joinstyle="miter"/>
                <v:path gradientshapeok="t" o:connecttype="rect"/>
              </v:shapetype>
              <v:shape id="Text Box 1034" o:spid="_x0000_s1026" type="#_x0000_t202" style="position:absolute;left:0;text-align:left;margin-left:-60.8pt;margin-top:60.8pt;width:138.5pt;height:17.7pt;rotation:-90;z-index:2516766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bjdUwIAAJ8EAAAOAAAAZHJzL2Uyb0RvYy54bWysVMFuGjEQvVfqP1i+lwUCpEFZIkpEVSlK&#10;IpEqZ+P1hpW8Htc27NKv77N3IWnaU1UOlj3z9s3Mmxmub9pas4NyviKT89FgyJkykorKvOT8+9P6&#10;02fOfBCmEJqMyvlReX6z+PjhurFzNaYd6UI5BhLj543N+S4EO88yL3eqFn5AVhk4S3K1CHi6l6xw&#10;ogF7rbPxcDjLGnKFdSSV97Dedk6+SPxlqWR4KEuvAtM5R24hnS6d23hmi2sxf3HC7irZpyH+IYta&#10;VAZBz1S3Igi2d9UfVHUlHXkqw0BSnVFZVlKlGlDNaPiums1OWJVqgTjenmXy/49W3h8eHasK9G54&#10;MeHMiBpdelJtYF+oZckIjRrr54BuLMChhQf4qF20exhj6W3pauYIEo9maA1+SRHUyACH+Mez4JFe&#10;Ro7L6dVwihGR8I3Hk8vxNLJmHVkktc6Hr4pqFi85d2hoYhWHOx866AkS4Z50VawrrdPj6FfasYNA&#10;7zEyBTWcaeEDjDlfp18f7bfPtGFNzmcX0y5/Q5GvC6UNknutOd5Cu217IbZUHKFPkgDleivXFbK+&#10;Q8hH4TBWMGJVwgOOUhOCUH/jbEfu59/sEY9uw8tZgzHNuf+xF06hkm8Gc3A1mkziXKfHZHo5xsO9&#10;9Wzfesy+XhHUGKXs0jXigz5dS0f1MzZqGaPCJYxE7JyH03UVuuXBRkq1XCYQJtmKcGc2VkbqU9ue&#10;2mfhbN+4gJbf02mgxfxd/zps/NLQch+orFJzo8Cdqr3u2II0Hv3GxjV7+06o1/+VxS8AAAD//wMA&#10;UEsDBBQABgAIAAAAIQC1nkFj2gAAAAUBAAAPAAAAZHJzL2Rvd25yZXYueG1sTM7BTsMwDAbgOxLv&#10;EBmJG0sZaKtK3Wmd4AG6IbhmjddWa5yoSbuypyc7wcWS9Vu/v3wzm15MNPjOMsLzIgFBXFvdcYPw&#10;efh4SkH4oFir3jIh/JCHTXF/l6tM2wtXNO1DI2IJ+0whtCG4TEpft2SUX1hHHLOTHYwKcR0aqQd1&#10;ieWml8skWUmjOo4fWuVo11J93o8Ggd+3h+vOXdNyHr9K911XZTNViI8P8/YNRKA5/B3DjR/pUETT&#10;0Y6svegRbvCAEGcMX15XII4Iy/U6BVnk8r+++AUAAP//AwBQSwECLQAUAAYACAAAACEAtoM4kv4A&#10;AADhAQAAEwAAAAAAAAAAAAAAAAAAAAAAW0NvbnRlbnRfVHlwZXNdLnhtbFBLAQItABQABgAIAAAA&#10;IQA4/SH/1gAAAJQBAAALAAAAAAAAAAAAAAAAAC8BAABfcmVscy8ucmVsc1BLAQItABQABgAIAAAA&#10;IQA5CbjdUwIAAJ8EAAAOAAAAAAAAAAAAAAAAAC4CAABkcnMvZTJvRG9jLnhtbFBLAQItABQABgAI&#10;AAAAIQC1nkFj2gAAAAUBAAAPAAAAAAAAAAAAAAAAAK0EAABkcnMvZG93bnJldi54bWxQSwUGAAAA&#10;AAQABADzAAAAtAUAAAAA&#10;" fillcolor="window" stroked="f" strokeweight=".5pt">
                <v:textbox>
                  <w:txbxContent>
                    <w:p w14:paraId="657659F3" w14:textId="77777777" w:rsidR="00A24026" w:rsidRPr="00CE2E59" w:rsidRDefault="00A24026" w:rsidP="007117DA">
                      <w:pPr>
                        <w:spacing w:before="0" w:after="0" w:line="240" w:lineRule="auto"/>
                        <w:rPr>
                          <w:rFonts w:asciiTheme="majorHAnsi" w:hAnsiTheme="majorHAnsi" w:cstheme="majorHAnsi"/>
                          <w:sz w:val="16"/>
                          <w:szCs w:val="15"/>
                        </w:rPr>
                      </w:pPr>
                      <w:r>
                        <w:rPr>
                          <w:rFonts w:asciiTheme="majorHAnsi" w:hAnsiTheme="majorHAnsi" w:cstheme="majorHAnsi"/>
                          <w:sz w:val="16"/>
                          <w:szCs w:val="15"/>
                        </w:rPr>
                        <w:t>Salinity (PSU)</w:t>
                      </w:r>
                    </w:p>
                  </w:txbxContent>
                </v:textbox>
              </v:shape>
            </w:pict>
          </mc:Fallback>
        </mc:AlternateContent>
      </w:r>
      <w:r>
        <w:rPr>
          <w:noProof/>
        </w:rPr>
        <mc:AlternateContent>
          <mc:Choice Requires="wps">
            <w:drawing>
              <wp:anchor distT="0" distB="0" distL="114300" distR="114300" simplePos="0" relativeHeight="251675653" behindDoc="0" locked="0" layoutInCell="1" allowOverlap="1" wp14:anchorId="48EDE8A1" wp14:editId="6A024625">
                <wp:simplePos x="0" y="0"/>
                <wp:positionH relativeFrom="column">
                  <wp:posOffset>-768666</wp:posOffset>
                </wp:positionH>
                <wp:positionV relativeFrom="paragraph">
                  <wp:posOffset>4003819</wp:posOffset>
                </wp:positionV>
                <wp:extent cx="1759058" cy="224725"/>
                <wp:effectExtent l="5397" t="0" r="0" b="0"/>
                <wp:wrapNone/>
                <wp:docPr id="1033" name="Text Box 1033"/>
                <wp:cNvGraphicFramePr/>
                <a:graphic xmlns:a="http://schemas.openxmlformats.org/drawingml/2006/main">
                  <a:graphicData uri="http://schemas.microsoft.com/office/word/2010/wordprocessingShape">
                    <wps:wsp>
                      <wps:cNvSpPr txBox="1"/>
                      <wps:spPr>
                        <a:xfrm rot="16200000">
                          <a:off x="0" y="0"/>
                          <a:ext cx="1759058" cy="224725"/>
                        </a:xfrm>
                        <a:prstGeom prst="rect">
                          <a:avLst/>
                        </a:prstGeom>
                        <a:solidFill>
                          <a:sysClr val="window" lastClr="FFFFFF"/>
                        </a:solidFill>
                        <a:ln w="6350">
                          <a:noFill/>
                        </a:ln>
                      </wps:spPr>
                      <wps:txbx>
                        <w:txbxContent>
                          <w:p w14:paraId="0865B78A" w14:textId="77777777" w:rsidR="00A24026" w:rsidRPr="00CE2E59" w:rsidRDefault="00A24026" w:rsidP="007117DA">
                            <w:pPr>
                              <w:spacing w:before="0" w:after="0" w:line="240" w:lineRule="auto"/>
                              <w:rPr>
                                <w:rFonts w:asciiTheme="majorHAnsi" w:hAnsiTheme="majorHAnsi" w:cstheme="majorHAnsi"/>
                                <w:sz w:val="16"/>
                                <w:szCs w:val="15"/>
                              </w:rPr>
                            </w:pPr>
                            <w:r>
                              <w:rPr>
                                <w:rFonts w:asciiTheme="majorHAnsi" w:hAnsiTheme="majorHAnsi" w:cstheme="majorHAnsi"/>
                                <w:sz w:val="16"/>
                                <w:szCs w:val="15"/>
                              </w:rPr>
                              <w:t>Salinity (PSU)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EDE8A1" id="Text Box 1033" o:spid="_x0000_s1027" type="#_x0000_t202" style="position:absolute;left:0;text-align:left;margin-left:-60.5pt;margin-top:315.25pt;width:138.5pt;height:17.7pt;rotation:-90;z-index:2516756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NTGVAIAAKYEAAAOAAAAZHJzL2Uyb0RvYy54bWysVE1v2zAMvQ/YfxB0X5zvrkGdImuRYUDQ&#10;FkiHnhVZTgzIoiYpsbNfvyc5Sbtup2E5CBL5/Eg+krm5bWvNDsr5ikzOB70+Z8pIKiqzzfn35+Wn&#10;z5z5IEwhNBmV86Py/Hb+8cNNY2dqSDvShXIMJMbPGpvzXQh2lmVe7lQtfI+sMnCW5GoR8HTbrHCi&#10;AXuts2G/P80acoV1JJX3sN53Tj5P/GWpZHgsS68C0zlHbiGdLp2beGbzGzHbOmF3lTylIf4hi1pU&#10;BkEvVPciCLZ31R9UdSUdeSpDT1KdUVlWUqUaUM2g/66a9U5YlWqBON5eZPL/j1Y+HJ4cqwr0rj8a&#10;cWZEjS49qzawL9SyZIRGjfUzQNcW4NDCA3zULto9jLH0tnQ1cwSJB1O0Br+kCGpkgEP840XwSC8j&#10;x9Xkuj/BiEj4hsPx1XASWbOOLJJa58NXRTWLl5w7NDSxisPKhw56hkS4J10Vy0rr9Dj6O+3YQaD3&#10;GJmCGs608AHGnC/T7xTtt8+0YU3Op6NJl7+hyNeF0gbJvdYcb6HdtJ1+Zz02VBwhU1ICVXsrlxWS&#10;XyHyk3CYLhixMeERR6kJseh042xH7uff7BGPpsPLWYNpzbn/sRdOoaBvBuNwPRiP43inx3hyNcTD&#10;vfVs3nrMvr4jiDJI2aVrxAd9vpaO6hcs1iJGhUsYidg5D+frXeh2CIsp1WKRQBhoK8LKrK2M1Ofu&#10;PbcvwtlT/wI6/0DnuRazd23ssPFLQ4t9oLJKPY46d6qe5McypCk5LW7ctrfvhHr9e5n/AgAA//8D&#10;AFBLAwQUAAYACAAAACEA/mgZ9t0AAAAIAQAADwAAAGRycy9kb3ducmV2LnhtbEyPwU7DMBBE70j8&#10;g7VI3FqHojZpyKZqKviAtAiubrxNIuJ1FDtp6NdjTnCcndHM22w3m05MNLjWMsLTMgJBXFndco3w&#10;fnpbJCCcV6xVZ5kQvsnBLr+/y1Sq7ZVLmo6+FqGEXaoQGu/7VEpXNWSUW9qeOHgXOxjlgxxqqQd1&#10;DeWmk6so2kijWg4Ljerp0FD1dRwNAr/uT7dDf0uKefwo+s+qLOqpRHx8mPcvIDzN/i8Mv/gBHfLA&#10;dLYjayc6hMUqBBHW0TYGEfzndTicEeJkE4PMM/n/gfwHAAD//wMAUEsBAi0AFAAGAAgAAAAhALaD&#10;OJL+AAAA4QEAABMAAAAAAAAAAAAAAAAAAAAAAFtDb250ZW50X1R5cGVzXS54bWxQSwECLQAUAAYA&#10;CAAAACEAOP0h/9YAAACUAQAACwAAAAAAAAAAAAAAAAAvAQAAX3JlbHMvLnJlbHNQSwECLQAUAAYA&#10;CAAAACEAcqzUxlQCAACmBAAADgAAAAAAAAAAAAAAAAAuAgAAZHJzL2Uyb0RvYy54bWxQSwECLQAU&#10;AAYACAAAACEA/mgZ9t0AAAAIAQAADwAAAAAAAAAAAAAAAACuBAAAZHJzL2Rvd25yZXYueG1sUEsF&#10;BgAAAAAEAAQA8wAAALgFAAAAAA==&#10;" fillcolor="window" stroked="f" strokeweight=".5pt">
                <v:textbox>
                  <w:txbxContent>
                    <w:p w14:paraId="0865B78A" w14:textId="77777777" w:rsidR="00A24026" w:rsidRPr="00CE2E59" w:rsidRDefault="00A24026" w:rsidP="007117DA">
                      <w:pPr>
                        <w:spacing w:before="0" w:after="0" w:line="240" w:lineRule="auto"/>
                        <w:rPr>
                          <w:rFonts w:asciiTheme="majorHAnsi" w:hAnsiTheme="majorHAnsi" w:cstheme="majorHAnsi"/>
                          <w:sz w:val="16"/>
                          <w:szCs w:val="15"/>
                        </w:rPr>
                      </w:pPr>
                      <w:r>
                        <w:rPr>
                          <w:rFonts w:asciiTheme="majorHAnsi" w:hAnsiTheme="majorHAnsi" w:cstheme="majorHAnsi"/>
                          <w:sz w:val="16"/>
                          <w:szCs w:val="15"/>
                        </w:rPr>
                        <w:t>Salinity (PSU)</w:t>
                      </w:r>
                    </w:p>
                  </w:txbxContent>
                </v:textbox>
              </v:shape>
            </w:pict>
          </mc:Fallback>
        </mc:AlternateContent>
      </w:r>
      <w:r>
        <w:rPr>
          <w:noProof/>
        </w:rPr>
        <mc:AlternateContent>
          <mc:Choice Requires="wps">
            <w:drawing>
              <wp:anchor distT="0" distB="0" distL="114300" distR="114300" simplePos="0" relativeHeight="251674629" behindDoc="0" locked="0" layoutInCell="1" allowOverlap="1" wp14:anchorId="7449FB97" wp14:editId="5545BD40">
                <wp:simplePos x="0" y="0"/>
                <wp:positionH relativeFrom="column">
                  <wp:posOffset>2363491</wp:posOffset>
                </wp:positionH>
                <wp:positionV relativeFrom="paragraph">
                  <wp:posOffset>5959099</wp:posOffset>
                </wp:positionV>
                <wp:extent cx="1759058" cy="224725"/>
                <wp:effectExtent l="0" t="0" r="6350" b="4445"/>
                <wp:wrapNone/>
                <wp:docPr id="1032" name="Text Box 1032"/>
                <wp:cNvGraphicFramePr/>
                <a:graphic xmlns:a="http://schemas.openxmlformats.org/drawingml/2006/main">
                  <a:graphicData uri="http://schemas.microsoft.com/office/word/2010/wordprocessingShape">
                    <wps:wsp>
                      <wps:cNvSpPr txBox="1"/>
                      <wps:spPr>
                        <a:xfrm>
                          <a:off x="0" y="0"/>
                          <a:ext cx="1759058" cy="224725"/>
                        </a:xfrm>
                        <a:prstGeom prst="rect">
                          <a:avLst/>
                        </a:prstGeom>
                        <a:solidFill>
                          <a:sysClr val="window" lastClr="FFFFFF"/>
                        </a:solidFill>
                        <a:ln w="6350">
                          <a:noFill/>
                        </a:ln>
                      </wps:spPr>
                      <wps:txbx>
                        <w:txbxContent>
                          <w:p w14:paraId="413EF110" w14:textId="77777777" w:rsidR="00A24026" w:rsidRPr="00CE2E59" w:rsidRDefault="00A24026" w:rsidP="007117DA">
                            <w:pPr>
                              <w:spacing w:before="0" w:after="0" w:line="240" w:lineRule="auto"/>
                              <w:rPr>
                                <w:rFonts w:asciiTheme="majorHAnsi" w:hAnsiTheme="majorHAnsi" w:cstheme="majorHAnsi"/>
                                <w:sz w:val="16"/>
                                <w:szCs w:val="15"/>
                              </w:rPr>
                            </w:pPr>
                            <w:r>
                              <w:rPr>
                                <w:rFonts w:asciiTheme="majorHAnsi" w:hAnsiTheme="majorHAnsi" w:cstheme="majorHAnsi"/>
                                <w:sz w:val="16"/>
                                <w:szCs w:val="15"/>
                              </w:rPr>
                              <w:t>Distance from Mouth (km)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49FB97" id="Text Box 1032" o:spid="_x0000_s1028" type="#_x0000_t202" style="position:absolute;left:0;text-align:left;margin-left:186.1pt;margin-top:469.2pt;width:138.5pt;height:17.7pt;z-index:2516746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AhJTwIAAJcEAAAOAAAAZHJzL2Uyb0RvYy54bWysVN9v2jAQfp+0/8Hy+5qQQrsiQsVaMU2q&#10;2kp06rNxHIjk+DzbkLC/fp8daLtuT9N4MPfLd77vu8vsum812yvnGzIlH53lnCkjqWrMpuTfn5af&#10;PnPmgzCV0GRUyQ/K8+v5xw+zzk5VQVvSlXIMSYyfdrbk2xDsNMu83KpW+DOyysBZk2tFgOo2WeVE&#10;h+ytzoo8v8g6cpV1JJX3sN4OTj5P+etayfBQ114FpkuOt4V0unSu45nNZ2K6ccJuG3l8hviHV7Si&#10;MSj6kupWBMF2rvkjVdtIR57qcCapzaiuG6lSD+hmlL/rZrUVVqVeAI63LzD5/5dW3u8fHWsqcJef&#10;F5wZ0YKlJ9UH9oV6lozAqLN+itCVRXDo4UF8xC7aPYyx9b52bfxHUwx+oH14QTjmk/HS5eQqn2Am&#10;JHxFMb4sJjFN9nrbOh++KmpZFEruwGACVuzvfBhCTyGxmCfdVMtG66Qc/I12bC9ANmakoo4zLXyA&#10;seTL9DtW++2aNqwr+cX5JE+VDMV8Qylt8LjXJqMU+nWfACtOAKypOgAXR8N0eSuXDR5/h8qPwmGc&#10;AAVWJDzgqDWhFh0lzrbkfv7NHuPBMrycdRjPkvsfO+EUGvpmwP/VaDyO85yU8eSygOLeetZvPWbX&#10;3hBAGWEZrUxijA/6JNaO2mds0iJWhUsYidolDyfxJgxLg02UarFIQZhgK8KdWVkZU0cGIjVP/bNw&#10;9shfAPP3dBpkMX1H4xAbbxpa7ALVTeI44jygeoQf05+m5Lipcb3e6inq9Xsy/wUAAP//AwBQSwME&#10;FAAGAAgAAAAhAGGtW2HjAAAACwEAAA8AAABkcnMvZG93bnJldi54bWxMj8FOwzAMhu9IvENkJG4s&#10;pZ22rjSdEALBpFWDgsQ1a0xbaJIqydayp8ec4Ojfn35/zteT7tkRne+sEXA9i4Chqa3qTCPg7fXh&#10;KgXmgzRK9taggG/0sC7Oz3KZKTuaFzxWoWFUYnwmBbQhDBnnvm5RSz+zAxrafVinZaDRNVw5OVK5&#10;7nkcRQuuZWfoQisHvGux/qoOWsD7WD263Wbz+Tw8lafdqSq3eF8KcXkx3d4ACziFPxh+9UkdCnLa&#10;24NRnvUCkmUcEypglaRzYEQs5itK9pQskxR4kfP/PxQ/AAAA//8DAFBLAQItABQABgAIAAAAIQC2&#10;gziS/gAAAOEBAAATAAAAAAAAAAAAAAAAAAAAAABbQ29udGVudF9UeXBlc10ueG1sUEsBAi0AFAAG&#10;AAgAAAAhADj9If/WAAAAlAEAAAsAAAAAAAAAAAAAAAAALwEAAF9yZWxzLy5yZWxzUEsBAi0AFAAG&#10;AAgAAAAhAK1ICElPAgAAlwQAAA4AAAAAAAAAAAAAAAAALgIAAGRycy9lMm9Eb2MueG1sUEsBAi0A&#10;FAAGAAgAAAAhAGGtW2HjAAAACwEAAA8AAAAAAAAAAAAAAAAAqQQAAGRycy9kb3ducmV2LnhtbFBL&#10;BQYAAAAABAAEAPMAAAC5BQAAAAA=&#10;" fillcolor="window" stroked="f" strokeweight=".5pt">
                <v:textbox>
                  <w:txbxContent>
                    <w:p w14:paraId="413EF110" w14:textId="77777777" w:rsidR="00A24026" w:rsidRPr="00CE2E59" w:rsidRDefault="00A24026" w:rsidP="007117DA">
                      <w:pPr>
                        <w:spacing w:before="0" w:after="0" w:line="240" w:lineRule="auto"/>
                        <w:rPr>
                          <w:rFonts w:asciiTheme="majorHAnsi" w:hAnsiTheme="majorHAnsi" w:cstheme="majorHAnsi"/>
                          <w:sz w:val="16"/>
                          <w:szCs w:val="15"/>
                        </w:rPr>
                      </w:pPr>
                      <w:r>
                        <w:rPr>
                          <w:rFonts w:asciiTheme="majorHAnsi" w:hAnsiTheme="majorHAnsi" w:cstheme="majorHAnsi"/>
                          <w:sz w:val="16"/>
                          <w:szCs w:val="15"/>
                        </w:rPr>
                        <w:t>Distance from Mouth (km)</w:t>
                      </w:r>
                    </w:p>
                  </w:txbxContent>
                </v:textbox>
              </v:shape>
            </w:pict>
          </mc:Fallback>
        </mc:AlternateContent>
      </w:r>
      <w:r>
        <w:rPr>
          <w:noProof/>
        </w:rPr>
        <mc:AlternateContent>
          <mc:Choice Requires="wps">
            <w:drawing>
              <wp:anchor distT="0" distB="0" distL="114300" distR="114300" simplePos="0" relativeHeight="251673605" behindDoc="0" locked="0" layoutInCell="1" allowOverlap="1" wp14:anchorId="6F7A2194" wp14:editId="3B672918">
                <wp:simplePos x="0" y="0"/>
                <wp:positionH relativeFrom="column">
                  <wp:posOffset>4578985</wp:posOffset>
                </wp:positionH>
                <wp:positionV relativeFrom="paragraph">
                  <wp:posOffset>380236</wp:posOffset>
                </wp:positionV>
                <wp:extent cx="836908" cy="697424"/>
                <wp:effectExtent l="0" t="0" r="1905" b="1270"/>
                <wp:wrapNone/>
                <wp:docPr id="1031" name="Text Box 1031"/>
                <wp:cNvGraphicFramePr/>
                <a:graphic xmlns:a="http://schemas.openxmlformats.org/drawingml/2006/main">
                  <a:graphicData uri="http://schemas.microsoft.com/office/word/2010/wordprocessingShape">
                    <wps:wsp>
                      <wps:cNvSpPr txBox="1"/>
                      <wps:spPr>
                        <a:xfrm>
                          <a:off x="0" y="0"/>
                          <a:ext cx="836908" cy="697424"/>
                        </a:xfrm>
                        <a:prstGeom prst="rect">
                          <a:avLst/>
                        </a:prstGeom>
                        <a:solidFill>
                          <a:sysClr val="window" lastClr="FFFFFF"/>
                        </a:solidFill>
                        <a:ln w="6350">
                          <a:noFill/>
                        </a:ln>
                      </wps:spPr>
                      <wps:txbx>
                        <w:txbxContent>
                          <w:p w14:paraId="3689DB83" w14:textId="77777777" w:rsidR="00A24026" w:rsidRPr="00CE2E59" w:rsidRDefault="00A24026" w:rsidP="007117DA">
                            <w:pPr>
                              <w:spacing w:before="0" w:after="0" w:line="240" w:lineRule="auto"/>
                              <w:rPr>
                                <w:rFonts w:asciiTheme="majorHAnsi" w:hAnsiTheme="majorHAnsi" w:cstheme="majorHAnsi"/>
                                <w:sz w:val="16"/>
                                <w:szCs w:val="15"/>
                              </w:rPr>
                            </w:pPr>
                            <w:r w:rsidRPr="00CE2E59">
                              <w:rPr>
                                <w:rFonts w:asciiTheme="majorHAnsi" w:hAnsiTheme="majorHAnsi" w:cstheme="majorHAnsi"/>
                                <w:sz w:val="16"/>
                                <w:szCs w:val="15"/>
                              </w:rPr>
                              <w:t>All water</w:t>
                            </w:r>
                          </w:p>
                          <w:p w14:paraId="61B6F200" w14:textId="77777777" w:rsidR="00A24026" w:rsidRDefault="00A24026" w:rsidP="007117DA">
                            <w:pPr>
                              <w:spacing w:before="0" w:after="0" w:line="240" w:lineRule="auto"/>
                              <w:rPr>
                                <w:rFonts w:asciiTheme="majorHAnsi" w:hAnsiTheme="majorHAnsi" w:cstheme="majorHAnsi"/>
                                <w:sz w:val="16"/>
                                <w:szCs w:val="15"/>
                              </w:rPr>
                            </w:pPr>
                          </w:p>
                          <w:p w14:paraId="426ED9CB" w14:textId="77777777" w:rsidR="00A24026" w:rsidRPr="00CE2E59" w:rsidRDefault="00A24026" w:rsidP="007117DA">
                            <w:pPr>
                              <w:spacing w:before="0" w:after="0" w:line="240" w:lineRule="auto"/>
                              <w:rPr>
                                <w:rFonts w:asciiTheme="majorHAnsi" w:hAnsiTheme="majorHAnsi" w:cstheme="majorHAnsi"/>
                                <w:sz w:val="16"/>
                                <w:szCs w:val="15"/>
                              </w:rPr>
                            </w:pPr>
                            <w:r w:rsidRPr="00CE2E59">
                              <w:rPr>
                                <w:rFonts w:asciiTheme="majorHAnsi" w:hAnsiTheme="majorHAnsi" w:cstheme="majorHAnsi"/>
                                <w:sz w:val="16"/>
                                <w:szCs w:val="15"/>
                              </w:rPr>
                              <w:t>No eWater 3yrs</w:t>
                            </w:r>
                          </w:p>
                          <w:p w14:paraId="31A61AE3" w14:textId="77777777" w:rsidR="00A24026" w:rsidRDefault="00A24026" w:rsidP="007117DA">
                            <w:pPr>
                              <w:spacing w:before="0" w:after="0" w:line="240" w:lineRule="auto"/>
                              <w:rPr>
                                <w:rFonts w:asciiTheme="majorHAnsi" w:hAnsiTheme="majorHAnsi" w:cstheme="majorHAnsi"/>
                                <w:sz w:val="16"/>
                                <w:szCs w:val="15"/>
                              </w:rPr>
                            </w:pPr>
                          </w:p>
                          <w:p w14:paraId="4C623DA5" w14:textId="77777777" w:rsidR="00A24026" w:rsidRPr="00CE2E59" w:rsidRDefault="00A24026" w:rsidP="007117DA">
                            <w:pPr>
                              <w:spacing w:before="0" w:after="0" w:line="240" w:lineRule="auto"/>
                              <w:rPr>
                                <w:rFonts w:asciiTheme="majorHAnsi" w:hAnsiTheme="majorHAnsi" w:cstheme="majorHAnsi"/>
                                <w:sz w:val="16"/>
                                <w:szCs w:val="15"/>
                              </w:rPr>
                            </w:pPr>
                            <w:r w:rsidRPr="00CE2E59">
                              <w:rPr>
                                <w:rFonts w:asciiTheme="majorHAnsi" w:hAnsiTheme="majorHAnsi" w:cstheme="majorHAnsi"/>
                                <w:sz w:val="16"/>
                                <w:szCs w:val="15"/>
                              </w:rPr>
                              <w:t>No eWater</w:t>
                            </w:r>
                          </w:p>
                          <w:p w14:paraId="6FE3D235" w14:textId="77777777" w:rsidR="00A24026" w:rsidRPr="00CE2E59" w:rsidRDefault="00A24026" w:rsidP="007117DA">
                            <w:pPr>
                              <w:spacing w:before="0" w:after="0" w:line="240" w:lineRule="auto"/>
                              <w:rPr>
                                <w:rFonts w:asciiTheme="majorHAnsi" w:hAnsiTheme="majorHAnsi" w:cstheme="majorHAnsi"/>
                                <w:sz w:val="16"/>
                                <w:szCs w:val="1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7A2194" id="Text Box 1031" o:spid="_x0000_s1029" type="#_x0000_t202" style="position:absolute;left:0;text-align:left;margin-left:360.55pt;margin-top:29.95pt;width:65.9pt;height:54.9pt;z-index:2516736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Ys4TQIAAJYEAAAOAAAAZHJzL2Uyb0RvYy54bWysVMlu2zAQvRfoPxC815KXbIblwHXgokCQ&#10;BEiKnGmKsgVQHJakLblf30fKztaeivpAD2eGs7w3o9l112i2V87XZAo+HOScKSOprM2m4D+eVl8u&#10;OfNBmFJoMqrgB+X59fzzp1lrp2pEW9KlcgxBjJ+2tuDbEOw0y7zcqkb4AVllYKzINSLg6jZZ6USL&#10;6I3ORnl+nrXkSutIKu+hvemNfJ7iV5WS4b6qvApMFxy1hXS6dK7jmc1nYrpxwm5reSxD/EMVjagN&#10;kr6EuhFBsJ2r/wjV1NKRpyoMJDUZVVUtVeoB3QzzD908boVVqReA4+0LTP7/hZV3+wfH6hLc5eMh&#10;Z0Y0YOlJdYF9pY4lJTBqrZ/C9dHCOXSwwD9iF/Ueyth6V7km/qMpBjvQPrwgHONJKC/H51c5RkLC&#10;dH51MRlNYpTs9bF1PnxT1LAoFNyBwISr2N/60LueXGIuT7ouV7XW6XLwS+3YXoBrjEhJLWda+ABl&#10;wVfpd8z27pk2rEU147M8ZTIU4/WptEFxrz1GKXTrLuE1PvW/pvIAWBz1w+WtXNUo/haZH4TDNAEJ&#10;bEi4x1FpQi46Spxtyf36mz76g2RYOWsxnQX3P3fCKTT03YD+q+FkEsc5XSZnFyNc3FvL+q3F7Jol&#10;ARTwi+qSGP2DPomVo+YZi7SIWWESRiJ3wcNJXIZ+Z7CIUi0WyQkDbEW4NY9WxtCRgUjNU/csnD3y&#10;F0D8HZ3mWEw/0Nj7xpeGFrtAVZ04jjj3qB7hx/CnKTkuatyut/fk9fo5mf8GAAD//wMAUEsDBBQA&#10;BgAIAAAAIQDd0Bqj4gAAAAoBAAAPAAAAZHJzL2Rvd25yZXYueG1sTI9NS8QwEIbvgv8hjODNTVvY&#10;j9ami4iiC1tWq+A124xttUlKkt3W/fWOp/U2wzy887z5etI9O6LznTUC4lkEDE1tVWcaAe9vjzcr&#10;YD5Io2RvDQr4QQ/r4vIil5myo3nFYxUaRiHGZ1JAG8KQce7rFrX0MzugodundVoGWl3DlZMjheue&#10;J1G04Fp2hj60csD7Fuvv6qAFfIzVk9ttNl8vw3N52p2qcosPpRDXV9PdLbCAUzjD8KdP6lCQ094e&#10;jPKsF7BM4phQAfM0BUbAap7QsCdykS6BFzn/X6H4BQAA//8DAFBLAQItABQABgAIAAAAIQC2gziS&#10;/gAAAOEBAAATAAAAAAAAAAAAAAAAAAAAAABbQ29udGVudF9UeXBlc10ueG1sUEsBAi0AFAAGAAgA&#10;AAAhADj9If/WAAAAlAEAAAsAAAAAAAAAAAAAAAAALwEAAF9yZWxzLy5yZWxzUEsBAi0AFAAGAAgA&#10;AAAhAOpZizhNAgAAlgQAAA4AAAAAAAAAAAAAAAAALgIAAGRycy9lMm9Eb2MueG1sUEsBAi0AFAAG&#10;AAgAAAAhAN3QGqPiAAAACgEAAA8AAAAAAAAAAAAAAAAApwQAAGRycy9kb3ducmV2LnhtbFBLBQYA&#10;AAAABAAEAPMAAAC2BQAAAAA=&#10;" fillcolor="window" stroked="f" strokeweight=".5pt">
                <v:textbox>
                  <w:txbxContent>
                    <w:p w14:paraId="3689DB83" w14:textId="77777777" w:rsidR="00A24026" w:rsidRPr="00CE2E59" w:rsidRDefault="00A24026" w:rsidP="007117DA">
                      <w:pPr>
                        <w:spacing w:before="0" w:after="0" w:line="240" w:lineRule="auto"/>
                        <w:rPr>
                          <w:rFonts w:asciiTheme="majorHAnsi" w:hAnsiTheme="majorHAnsi" w:cstheme="majorHAnsi"/>
                          <w:sz w:val="16"/>
                          <w:szCs w:val="15"/>
                        </w:rPr>
                      </w:pPr>
                      <w:r w:rsidRPr="00CE2E59">
                        <w:rPr>
                          <w:rFonts w:asciiTheme="majorHAnsi" w:hAnsiTheme="majorHAnsi" w:cstheme="majorHAnsi"/>
                          <w:sz w:val="16"/>
                          <w:szCs w:val="15"/>
                        </w:rPr>
                        <w:t>All water</w:t>
                      </w:r>
                    </w:p>
                    <w:p w14:paraId="61B6F200" w14:textId="77777777" w:rsidR="00A24026" w:rsidRDefault="00A24026" w:rsidP="007117DA">
                      <w:pPr>
                        <w:spacing w:before="0" w:after="0" w:line="240" w:lineRule="auto"/>
                        <w:rPr>
                          <w:rFonts w:asciiTheme="majorHAnsi" w:hAnsiTheme="majorHAnsi" w:cstheme="majorHAnsi"/>
                          <w:sz w:val="16"/>
                          <w:szCs w:val="15"/>
                        </w:rPr>
                      </w:pPr>
                    </w:p>
                    <w:p w14:paraId="426ED9CB" w14:textId="77777777" w:rsidR="00A24026" w:rsidRPr="00CE2E59" w:rsidRDefault="00A24026" w:rsidP="007117DA">
                      <w:pPr>
                        <w:spacing w:before="0" w:after="0" w:line="240" w:lineRule="auto"/>
                        <w:rPr>
                          <w:rFonts w:asciiTheme="majorHAnsi" w:hAnsiTheme="majorHAnsi" w:cstheme="majorHAnsi"/>
                          <w:sz w:val="16"/>
                          <w:szCs w:val="15"/>
                        </w:rPr>
                      </w:pPr>
                      <w:r w:rsidRPr="00CE2E59">
                        <w:rPr>
                          <w:rFonts w:asciiTheme="majorHAnsi" w:hAnsiTheme="majorHAnsi" w:cstheme="majorHAnsi"/>
                          <w:sz w:val="16"/>
                          <w:szCs w:val="15"/>
                        </w:rPr>
                        <w:t>No eWater 3yrs</w:t>
                      </w:r>
                    </w:p>
                    <w:p w14:paraId="31A61AE3" w14:textId="77777777" w:rsidR="00A24026" w:rsidRDefault="00A24026" w:rsidP="007117DA">
                      <w:pPr>
                        <w:spacing w:before="0" w:after="0" w:line="240" w:lineRule="auto"/>
                        <w:rPr>
                          <w:rFonts w:asciiTheme="majorHAnsi" w:hAnsiTheme="majorHAnsi" w:cstheme="majorHAnsi"/>
                          <w:sz w:val="16"/>
                          <w:szCs w:val="15"/>
                        </w:rPr>
                      </w:pPr>
                    </w:p>
                    <w:p w14:paraId="4C623DA5" w14:textId="77777777" w:rsidR="00A24026" w:rsidRPr="00CE2E59" w:rsidRDefault="00A24026" w:rsidP="007117DA">
                      <w:pPr>
                        <w:spacing w:before="0" w:after="0" w:line="240" w:lineRule="auto"/>
                        <w:rPr>
                          <w:rFonts w:asciiTheme="majorHAnsi" w:hAnsiTheme="majorHAnsi" w:cstheme="majorHAnsi"/>
                          <w:sz w:val="16"/>
                          <w:szCs w:val="15"/>
                        </w:rPr>
                      </w:pPr>
                      <w:r w:rsidRPr="00CE2E59">
                        <w:rPr>
                          <w:rFonts w:asciiTheme="majorHAnsi" w:hAnsiTheme="majorHAnsi" w:cstheme="majorHAnsi"/>
                          <w:sz w:val="16"/>
                          <w:szCs w:val="15"/>
                        </w:rPr>
                        <w:t>No eWater</w:t>
                      </w:r>
                    </w:p>
                    <w:p w14:paraId="6FE3D235" w14:textId="77777777" w:rsidR="00A24026" w:rsidRPr="00CE2E59" w:rsidRDefault="00A24026" w:rsidP="007117DA">
                      <w:pPr>
                        <w:spacing w:before="0" w:after="0" w:line="240" w:lineRule="auto"/>
                        <w:rPr>
                          <w:rFonts w:asciiTheme="majorHAnsi" w:hAnsiTheme="majorHAnsi" w:cstheme="majorHAnsi"/>
                          <w:sz w:val="16"/>
                          <w:szCs w:val="15"/>
                        </w:rPr>
                      </w:pPr>
                    </w:p>
                  </w:txbxContent>
                </v:textbox>
              </v:shape>
            </w:pict>
          </mc:Fallback>
        </mc:AlternateContent>
      </w:r>
      <w:r>
        <w:rPr>
          <w:noProof/>
        </w:rPr>
        <mc:AlternateContent>
          <mc:Choice Requires="wps">
            <w:drawing>
              <wp:anchor distT="0" distB="0" distL="114300" distR="114300" simplePos="0" relativeHeight="251672581" behindDoc="0" locked="0" layoutInCell="1" allowOverlap="1" wp14:anchorId="7FA06125" wp14:editId="46BBCA11">
                <wp:simplePos x="0" y="0"/>
                <wp:positionH relativeFrom="column">
                  <wp:posOffset>4579620</wp:posOffset>
                </wp:positionH>
                <wp:positionV relativeFrom="paragraph">
                  <wp:posOffset>3441194</wp:posOffset>
                </wp:positionV>
                <wp:extent cx="836908" cy="697424"/>
                <wp:effectExtent l="0" t="0" r="1905" b="1270"/>
                <wp:wrapNone/>
                <wp:docPr id="1030" name="Text Box 1030"/>
                <wp:cNvGraphicFramePr/>
                <a:graphic xmlns:a="http://schemas.openxmlformats.org/drawingml/2006/main">
                  <a:graphicData uri="http://schemas.microsoft.com/office/word/2010/wordprocessingShape">
                    <wps:wsp>
                      <wps:cNvSpPr txBox="1"/>
                      <wps:spPr>
                        <a:xfrm>
                          <a:off x="0" y="0"/>
                          <a:ext cx="836908" cy="697424"/>
                        </a:xfrm>
                        <a:prstGeom prst="rect">
                          <a:avLst/>
                        </a:prstGeom>
                        <a:solidFill>
                          <a:sysClr val="window" lastClr="FFFFFF"/>
                        </a:solidFill>
                        <a:ln w="6350">
                          <a:noFill/>
                        </a:ln>
                      </wps:spPr>
                      <wps:txbx>
                        <w:txbxContent>
                          <w:p w14:paraId="45E5BAA2" w14:textId="77777777" w:rsidR="00A24026" w:rsidRPr="00CE2E59" w:rsidRDefault="00A24026" w:rsidP="007117DA">
                            <w:pPr>
                              <w:spacing w:before="0" w:after="0" w:line="240" w:lineRule="auto"/>
                              <w:rPr>
                                <w:rFonts w:asciiTheme="majorHAnsi" w:hAnsiTheme="majorHAnsi" w:cstheme="majorHAnsi"/>
                                <w:sz w:val="16"/>
                                <w:szCs w:val="15"/>
                              </w:rPr>
                            </w:pPr>
                            <w:r w:rsidRPr="00CE2E59">
                              <w:rPr>
                                <w:rFonts w:asciiTheme="majorHAnsi" w:hAnsiTheme="majorHAnsi" w:cstheme="majorHAnsi"/>
                                <w:sz w:val="16"/>
                                <w:szCs w:val="15"/>
                              </w:rPr>
                              <w:t>All water</w:t>
                            </w:r>
                          </w:p>
                          <w:p w14:paraId="1935C580" w14:textId="77777777" w:rsidR="00A24026" w:rsidRDefault="00A24026" w:rsidP="007117DA">
                            <w:pPr>
                              <w:spacing w:before="0" w:after="0" w:line="240" w:lineRule="auto"/>
                              <w:rPr>
                                <w:rFonts w:asciiTheme="majorHAnsi" w:hAnsiTheme="majorHAnsi" w:cstheme="majorHAnsi"/>
                                <w:sz w:val="16"/>
                                <w:szCs w:val="15"/>
                              </w:rPr>
                            </w:pPr>
                          </w:p>
                          <w:p w14:paraId="3EE68183" w14:textId="77777777" w:rsidR="00A24026" w:rsidRPr="00CE2E59" w:rsidRDefault="00A24026" w:rsidP="007117DA">
                            <w:pPr>
                              <w:spacing w:before="0" w:after="0" w:line="240" w:lineRule="auto"/>
                              <w:rPr>
                                <w:rFonts w:asciiTheme="majorHAnsi" w:hAnsiTheme="majorHAnsi" w:cstheme="majorHAnsi"/>
                                <w:sz w:val="16"/>
                                <w:szCs w:val="15"/>
                              </w:rPr>
                            </w:pPr>
                            <w:r w:rsidRPr="00CE2E59">
                              <w:rPr>
                                <w:rFonts w:asciiTheme="majorHAnsi" w:hAnsiTheme="majorHAnsi" w:cstheme="majorHAnsi"/>
                                <w:sz w:val="16"/>
                                <w:szCs w:val="15"/>
                              </w:rPr>
                              <w:t>No eWater 3yrs</w:t>
                            </w:r>
                          </w:p>
                          <w:p w14:paraId="2C035968" w14:textId="77777777" w:rsidR="00A24026" w:rsidRDefault="00A24026" w:rsidP="007117DA">
                            <w:pPr>
                              <w:spacing w:before="0" w:after="0" w:line="240" w:lineRule="auto"/>
                              <w:rPr>
                                <w:rFonts w:asciiTheme="majorHAnsi" w:hAnsiTheme="majorHAnsi" w:cstheme="majorHAnsi"/>
                                <w:sz w:val="16"/>
                                <w:szCs w:val="15"/>
                              </w:rPr>
                            </w:pPr>
                          </w:p>
                          <w:p w14:paraId="1789A3F4" w14:textId="77777777" w:rsidR="00A24026" w:rsidRPr="00CE2E59" w:rsidRDefault="00A24026" w:rsidP="007117DA">
                            <w:pPr>
                              <w:spacing w:before="0" w:after="0" w:line="240" w:lineRule="auto"/>
                              <w:rPr>
                                <w:rFonts w:asciiTheme="majorHAnsi" w:hAnsiTheme="majorHAnsi" w:cstheme="majorHAnsi"/>
                                <w:sz w:val="16"/>
                                <w:szCs w:val="15"/>
                              </w:rPr>
                            </w:pPr>
                            <w:r w:rsidRPr="00CE2E59">
                              <w:rPr>
                                <w:rFonts w:asciiTheme="majorHAnsi" w:hAnsiTheme="majorHAnsi" w:cstheme="majorHAnsi"/>
                                <w:sz w:val="16"/>
                                <w:szCs w:val="15"/>
                              </w:rPr>
                              <w:t>No eWater</w:t>
                            </w:r>
                          </w:p>
                          <w:p w14:paraId="166391D3" w14:textId="77777777" w:rsidR="00A24026" w:rsidRPr="00CE2E59" w:rsidRDefault="00A24026" w:rsidP="007117DA">
                            <w:pPr>
                              <w:spacing w:before="0" w:after="0" w:line="240" w:lineRule="auto"/>
                              <w:rPr>
                                <w:rFonts w:asciiTheme="majorHAnsi" w:hAnsiTheme="majorHAnsi" w:cstheme="majorHAnsi"/>
                                <w:sz w:val="16"/>
                                <w:szCs w:val="1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A06125" id="Text Box 1030" o:spid="_x0000_s1030" type="#_x0000_t202" style="position:absolute;left:0;text-align:left;margin-left:360.6pt;margin-top:270.95pt;width:65.9pt;height:54.9pt;z-index:2516725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5lGTQIAAJYEAAAOAAAAZHJzL2Uyb0RvYy54bWysVNtuGjEQfa/Uf7D83uxyyQXEElEiqkpR&#10;Eimp8my8XljJ63Ftwy79+h4bCCTtU1UezHhmPJdzZnZy2zWabZXzNZmC9y5yzpSRVNZmVfAfL4sv&#10;N5z5IEwpNBlV8J3y/Hb6+dOktWPVpzXpUjmGIMaPW1vwdQh2nGVerlUj/AVZZWCsyDUi4OpWWelE&#10;i+iNzvp5fpW15ErrSCrvob3bG/k0xa8qJcNjVXkVmC44agvpdOlcxjObTsR45YRd1/JQhviHKhpR&#10;GyR9C3UngmAbV/8RqqmlI09VuJDUZFRVtVSpB3TTyz9087wWVqVeAI63bzD5/xdWPmyfHKtLcJcP&#10;AJARDVh6UV1gX6ljSQmMWuvHcH22cA4dLPCP2EW9hzK23lWuif9oisGOYLs3hGM8CeXN4GqUYyQk&#10;TFej62F/GKNkp8fW+fBNUcOiUHAHAhOuYnvvw9716BJzedJ1uai1Tpedn2vHtgJcY0RKajnTwgco&#10;C75Iv0O2d8+0YS2qGVzmKZOhGG+fShsUd+oxSqFbdgmvVHnULKncARZH++HyVi5qFH+PzE/CYZqA&#10;BDYkPOKoNCEXHSTO1uR+/U0f/UEyrJy1mM6C+58b4RQa+m5A/6g3HMZxTpfh5XUfF3duWZ5bzKaZ&#10;E0DpYRetTGL0D/ooVo6aVyzSLGaFSRiJ3AUPR3Ee9juDRZRqNktOGGArwr15tjKGjgxEal66V+Hs&#10;gb8A4h/oOMdi/IHGvW98aWi2CVTVieMTqgf4MfxpSg6LGrfr/J68Tp+T6W8AAAD//wMAUEsDBBQA&#10;BgAIAAAAIQCw5z1m5AAAAAsBAAAPAAAAZHJzL2Rvd25yZXYueG1sTI/BTsMwEETvSPyDtUjcqJNA&#10;2hLiVAiBoBJRISBxdeMlCcTryHabtF+POcFxtU8zb/LVpHu2R+s6QwLiWQQMqTaqo0bA+9vDxRKY&#10;85KU7A2hgAM6WBWnJ7nMlBnpFfeVb1gIIZdJAa33Q8a5q1vU0s3MgBR+n8Zq6cNpG66sHEO47nkS&#10;RXOuZUehoZUD3rVYf1c7LeBjrB7tZr3+ehmeyuPmWJXPeF8KcX423d4A8zj5Pxh+9YM6FMFpa3ak&#10;HOsFLJI4CaiA9Cq+BhaIZXoZ1m0FzNN4AbzI+f8NxQ8AAAD//wMAUEsBAi0AFAAGAAgAAAAhALaD&#10;OJL+AAAA4QEAABMAAAAAAAAAAAAAAAAAAAAAAFtDb250ZW50X1R5cGVzXS54bWxQSwECLQAUAAYA&#10;CAAAACEAOP0h/9YAAACUAQAACwAAAAAAAAAAAAAAAAAvAQAAX3JlbHMvLnJlbHNQSwECLQAUAAYA&#10;CAAAACEAZG+ZRk0CAACWBAAADgAAAAAAAAAAAAAAAAAuAgAAZHJzL2Uyb0RvYy54bWxQSwECLQAU&#10;AAYACAAAACEAsOc9ZuQAAAALAQAADwAAAAAAAAAAAAAAAACnBAAAZHJzL2Rvd25yZXYueG1sUEsF&#10;BgAAAAAEAAQA8wAAALgFAAAAAA==&#10;" fillcolor="window" stroked="f" strokeweight=".5pt">
                <v:textbox>
                  <w:txbxContent>
                    <w:p w14:paraId="45E5BAA2" w14:textId="77777777" w:rsidR="00A24026" w:rsidRPr="00CE2E59" w:rsidRDefault="00A24026" w:rsidP="007117DA">
                      <w:pPr>
                        <w:spacing w:before="0" w:after="0" w:line="240" w:lineRule="auto"/>
                        <w:rPr>
                          <w:rFonts w:asciiTheme="majorHAnsi" w:hAnsiTheme="majorHAnsi" w:cstheme="majorHAnsi"/>
                          <w:sz w:val="16"/>
                          <w:szCs w:val="15"/>
                        </w:rPr>
                      </w:pPr>
                      <w:r w:rsidRPr="00CE2E59">
                        <w:rPr>
                          <w:rFonts w:asciiTheme="majorHAnsi" w:hAnsiTheme="majorHAnsi" w:cstheme="majorHAnsi"/>
                          <w:sz w:val="16"/>
                          <w:szCs w:val="15"/>
                        </w:rPr>
                        <w:t>All water</w:t>
                      </w:r>
                    </w:p>
                    <w:p w14:paraId="1935C580" w14:textId="77777777" w:rsidR="00A24026" w:rsidRDefault="00A24026" w:rsidP="007117DA">
                      <w:pPr>
                        <w:spacing w:before="0" w:after="0" w:line="240" w:lineRule="auto"/>
                        <w:rPr>
                          <w:rFonts w:asciiTheme="majorHAnsi" w:hAnsiTheme="majorHAnsi" w:cstheme="majorHAnsi"/>
                          <w:sz w:val="16"/>
                          <w:szCs w:val="15"/>
                        </w:rPr>
                      </w:pPr>
                    </w:p>
                    <w:p w14:paraId="3EE68183" w14:textId="77777777" w:rsidR="00A24026" w:rsidRPr="00CE2E59" w:rsidRDefault="00A24026" w:rsidP="007117DA">
                      <w:pPr>
                        <w:spacing w:before="0" w:after="0" w:line="240" w:lineRule="auto"/>
                        <w:rPr>
                          <w:rFonts w:asciiTheme="majorHAnsi" w:hAnsiTheme="majorHAnsi" w:cstheme="majorHAnsi"/>
                          <w:sz w:val="16"/>
                          <w:szCs w:val="15"/>
                        </w:rPr>
                      </w:pPr>
                      <w:r w:rsidRPr="00CE2E59">
                        <w:rPr>
                          <w:rFonts w:asciiTheme="majorHAnsi" w:hAnsiTheme="majorHAnsi" w:cstheme="majorHAnsi"/>
                          <w:sz w:val="16"/>
                          <w:szCs w:val="15"/>
                        </w:rPr>
                        <w:t>No eWater 3yrs</w:t>
                      </w:r>
                    </w:p>
                    <w:p w14:paraId="2C035968" w14:textId="77777777" w:rsidR="00A24026" w:rsidRDefault="00A24026" w:rsidP="007117DA">
                      <w:pPr>
                        <w:spacing w:before="0" w:after="0" w:line="240" w:lineRule="auto"/>
                        <w:rPr>
                          <w:rFonts w:asciiTheme="majorHAnsi" w:hAnsiTheme="majorHAnsi" w:cstheme="majorHAnsi"/>
                          <w:sz w:val="16"/>
                          <w:szCs w:val="15"/>
                        </w:rPr>
                      </w:pPr>
                    </w:p>
                    <w:p w14:paraId="1789A3F4" w14:textId="77777777" w:rsidR="00A24026" w:rsidRPr="00CE2E59" w:rsidRDefault="00A24026" w:rsidP="007117DA">
                      <w:pPr>
                        <w:spacing w:before="0" w:after="0" w:line="240" w:lineRule="auto"/>
                        <w:rPr>
                          <w:rFonts w:asciiTheme="majorHAnsi" w:hAnsiTheme="majorHAnsi" w:cstheme="majorHAnsi"/>
                          <w:sz w:val="16"/>
                          <w:szCs w:val="15"/>
                        </w:rPr>
                      </w:pPr>
                      <w:r w:rsidRPr="00CE2E59">
                        <w:rPr>
                          <w:rFonts w:asciiTheme="majorHAnsi" w:hAnsiTheme="majorHAnsi" w:cstheme="majorHAnsi"/>
                          <w:sz w:val="16"/>
                          <w:szCs w:val="15"/>
                        </w:rPr>
                        <w:t>No eWater</w:t>
                      </w:r>
                    </w:p>
                    <w:p w14:paraId="166391D3" w14:textId="77777777" w:rsidR="00A24026" w:rsidRPr="00CE2E59" w:rsidRDefault="00A24026" w:rsidP="007117DA">
                      <w:pPr>
                        <w:spacing w:before="0" w:after="0" w:line="240" w:lineRule="auto"/>
                        <w:rPr>
                          <w:rFonts w:asciiTheme="majorHAnsi" w:hAnsiTheme="majorHAnsi" w:cstheme="majorHAnsi"/>
                          <w:sz w:val="16"/>
                          <w:szCs w:val="15"/>
                        </w:rPr>
                      </w:pPr>
                    </w:p>
                  </w:txbxContent>
                </v:textbox>
              </v:shape>
            </w:pict>
          </mc:Fallback>
        </mc:AlternateContent>
      </w:r>
      <w:r>
        <w:rPr>
          <w:noProof/>
        </w:rPr>
        <w:drawing>
          <wp:inline distT="0" distB="0" distL="0" distR="0" wp14:anchorId="2D43D14F" wp14:editId="1DC18317">
            <wp:extent cx="5637600" cy="3064657"/>
            <wp:effectExtent l="0" t="0" r="1270" b="2540"/>
            <wp:docPr id="90" name="Picture 9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hart&#10;&#10;Description automatically generated"/>
                    <pic:cNvPicPr>
                      <a:picLocks noChangeAspect="1" noChangeArrowheads="1"/>
                    </pic:cNvPicPr>
                  </pic:nvPicPr>
                  <pic:blipFill rotWithShape="1">
                    <a:blip r:embed="rId73" cstate="email">
                      <a:extLst>
                        <a:ext uri="{28A0092B-C50C-407E-A947-70E740481C1C}">
                          <a14:useLocalDpi xmlns:a14="http://schemas.microsoft.com/office/drawing/2010/main"/>
                        </a:ext>
                      </a:extLst>
                    </a:blip>
                    <a:srcRect/>
                    <a:stretch/>
                  </pic:blipFill>
                  <pic:spPr bwMode="auto">
                    <a:xfrm>
                      <a:off x="0" y="0"/>
                      <a:ext cx="5637600" cy="3064657"/>
                    </a:xfrm>
                    <a:prstGeom prst="rect">
                      <a:avLst/>
                    </a:prstGeom>
                    <a:no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Pr>
          <w:noProof/>
        </w:rPr>
        <w:drawing>
          <wp:inline distT="0" distB="0" distL="0" distR="0" wp14:anchorId="23CED675" wp14:editId="51061CD2">
            <wp:extent cx="5637600" cy="3064440"/>
            <wp:effectExtent l="0" t="0" r="1270" b="3175"/>
            <wp:docPr id="89" name="Picture 8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hart&#10;&#10;Description automatically generated"/>
                    <pic:cNvPicPr>
                      <a:picLocks noChangeAspect="1" noChangeArrowheads="1"/>
                    </pic:cNvPicPr>
                  </pic:nvPicPr>
                  <pic:blipFill rotWithShape="1">
                    <a:blip r:embed="rId74" cstate="email">
                      <a:extLst>
                        <a:ext uri="{28A0092B-C50C-407E-A947-70E740481C1C}">
                          <a14:useLocalDpi xmlns:a14="http://schemas.microsoft.com/office/drawing/2010/main"/>
                        </a:ext>
                      </a:extLst>
                    </a:blip>
                    <a:srcRect/>
                    <a:stretch/>
                  </pic:blipFill>
                  <pic:spPr bwMode="auto">
                    <a:xfrm>
                      <a:off x="0" y="0"/>
                      <a:ext cx="5637600" cy="3064440"/>
                    </a:xfrm>
                    <a:prstGeom prst="rect">
                      <a:avLst/>
                    </a:prstGeom>
                    <a:no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Pr="00585EB3">
        <w:t xml:space="preserve"> </w:t>
      </w:r>
    </w:p>
    <w:p w14:paraId="040EDC99" w14:textId="728DA229" w:rsidR="007117DA" w:rsidRDefault="007117DA" w:rsidP="007117DA">
      <w:pPr>
        <w:pStyle w:val="Caption"/>
      </w:pPr>
      <w:bookmarkStart w:id="160" w:name="_Ref63263391"/>
      <w:bookmarkStart w:id="161" w:name="_Toc69387691"/>
      <w:r>
        <w:t xml:space="preserve">Figure </w:t>
      </w:r>
      <w:r w:rsidR="006C38E9">
        <w:fldChar w:fldCharType="begin"/>
      </w:r>
      <w:r w:rsidR="006C38E9">
        <w:instrText xml:space="preserve"> SEQ Figure \* ARABIC </w:instrText>
      </w:r>
      <w:r w:rsidR="006C38E9">
        <w:fldChar w:fldCharType="separate"/>
      </w:r>
      <w:r w:rsidR="00996426">
        <w:rPr>
          <w:noProof/>
        </w:rPr>
        <w:t>27</w:t>
      </w:r>
      <w:r w:rsidR="006C38E9">
        <w:rPr>
          <w:noProof/>
        </w:rPr>
        <w:fldChar w:fldCharType="end"/>
      </w:r>
      <w:bookmarkEnd w:id="160"/>
      <w:r>
        <w:t>. Comparison of measured and simulated salinity along the length of the Coorong lagoon (box-whisker), moving from the Murray Mouth into the South Lagoon. Model simulations for the “All water” (base-case observed conditions), and the no environmental water scenarios (“no eWater” and “no eWater 3yrs”) are shown for July (top) and November 2019 (bottom).</w:t>
      </w:r>
      <w:bookmarkEnd w:id="161"/>
    </w:p>
    <w:p w14:paraId="49319E11" w14:textId="77777777" w:rsidR="007117DA" w:rsidRDefault="007117DA" w:rsidP="00F8184E">
      <w:pPr>
        <w:pStyle w:val="Captions"/>
      </w:pPr>
      <w:r w:rsidRPr="003714E8">
        <w:rPr>
          <w:noProof/>
        </w:rPr>
        <mc:AlternateContent>
          <mc:Choice Requires="wps">
            <w:drawing>
              <wp:anchor distT="0" distB="0" distL="114300" distR="114300" simplePos="0" relativeHeight="251679749" behindDoc="0" locked="0" layoutInCell="1" allowOverlap="1" wp14:anchorId="728C87B7" wp14:editId="143F791C">
                <wp:simplePos x="0" y="0"/>
                <wp:positionH relativeFrom="column">
                  <wp:posOffset>-840928</wp:posOffset>
                </wp:positionH>
                <wp:positionV relativeFrom="paragraph">
                  <wp:posOffset>771207</wp:posOffset>
                </wp:positionV>
                <wp:extent cx="1758950" cy="224155"/>
                <wp:effectExtent l="5397" t="0" r="0" b="0"/>
                <wp:wrapNone/>
                <wp:docPr id="1053" name="Text Box 1053"/>
                <wp:cNvGraphicFramePr/>
                <a:graphic xmlns:a="http://schemas.openxmlformats.org/drawingml/2006/main">
                  <a:graphicData uri="http://schemas.microsoft.com/office/word/2010/wordprocessingShape">
                    <wps:wsp>
                      <wps:cNvSpPr txBox="1"/>
                      <wps:spPr>
                        <a:xfrm rot="16200000">
                          <a:off x="0" y="0"/>
                          <a:ext cx="1758950" cy="224155"/>
                        </a:xfrm>
                        <a:prstGeom prst="rect">
                          <a:avLst/>
                        </a:prstGeom>
                        <a:solidFill>
                          <a:sysClr val="window" lastClr="FFFFFF"/>
                        </a:solidFill>
                        <a:ln w="6350">
                          <a:noFill/>
                        </a:ln>
                      </wps:spPr>
                      <wps:txbx>
                        <w:txbxContent>
                          <w:p w14:paraId="528EB24C" w14:textId="77777777" w:rsidR="00A24026" w:rsidRPr="00CE2E59" w:rsidRDefault="00A24026" w:rsidP="007117DA">
                            <w:pPr>
                              <w:spacing w:before="0" w:after="0" w:line="240" w:lineRule="auto"/>
                              <w:rPr>
                                <w:rFonts w:asciiTheme="majorHAnsi" w:hAnsiTheme="majorHAnsi" w:cstheme="majorHAnsi"/>
                                <w:sz w:val="16"/>
                                <w:szCs w:val="15"/>
                              </w:rPr>
                            </w:pPr>
                            <w:r>
                              <w:rPr>
                                <w:rFonts w:asciiTheme="majorHAnsi" w:hAnsiTheme="majorHAnsi" w:cstheme="majorHAnsi"/>
                                <w:sz w:val="16"/>
                                <w:szCs w:val="15"/>
                              </w:rPr>
                              <w:t>Salinity (PSU)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8C87B7" id="Text Box 1053" o:spid="_x0000_s1031" type="#_x0000_t202" style="position:absolute;left:0;text-align:left;margin-left:-66.2pt;margin-top:60.7pt;width:138.5pt;height:17.65pt;rotation:-90;z-index:2516797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01oQUgIAAKYEAAAOAAAAZHJzL2Uyb0RvYy54bWysVE1vGjEQvVfqf7B8bxYIkASxRJSIqhJK&#10;IoUqZ+P1wkpej2sbdumv77MX8tWequ7Bsmceb2bezDC9bWvNDsr5ikzO+xc9zpSRVFRmm/Mf6+WX&#10;a858EKYQmozK+VF5fjv7/Gna2Ika0I50oRwDifGTxuZ8F4KdZJmXO1ULf0FWGThLcrUIeLptVjjR&#10;gL3W2aDXG2cNucI6ksp7WO86J58l/rJUMjyUpVeB6Zwjt5BOl85NPLPZVEy2TthdJU9piH/IohaV&#10;QdAXqjsRBNu76g+qupKOPJXhQlKdUVlWUqUaUE2/96Gap52wKtUCcbx9kcn/P1p5f3h0rCrQu97o&#10;kjMjanRprdrAvlLLkhEaNdZPAH2yAIcWHuCjdtHuYYylt6WrmSNI3B+jNfiSIqiRAQ7xjy+CR3oZ&#10;Oa5G1zcjuCR8g8GwPxpF1qwji6TW+fBNUc3iJecODU2s4rDyoYOeIRHuSVfFstI6PY5+oR07CPQe&#10;I1NQw5kWPsCY82X6TtHe/Uwb1uR8fIm8IouhyNeF0gbJvdYcb6HdtEm/lHm0bKg4QqakBErzVi4r&#10;JL9C5EfhMF0wYmPCA45SE2LR6cbZjtyvv9kjHk2Hl7MG05pz/3MvnEJB3w3G4aY/HII2pMdwdDXA&#10;w731bN56zL5eEETpp+zSNeKDPl9LR/UzFmseo8IljETsnIfzdRG6HcJiSjWfJxAG2oqwMk9WRupz&#10;99bts3D21L+Azt/Tea7F5EMbO2yn+nwfqKxSj19VPcmPZUhTclrcuG1v3wn1+vcy+w0AAP//AwBQ&#10;SwMEFAAGAAgAAAAhAObkg8PbAAAABwEAAA8AAABkcnMvZG93bnJldi54bWxMjsFugzAQRO+V+g/W&#10;VuotMaQSRAQThaj9AJKqvTp4A6h4jbAhNF/f7am9zGo0o9mX7xfbixlH3zlSEK8jEEi1Mx01Ct7P&#10;b6stCB80Gd07QgXf6GFfPD7kOjPuRhXOp9AIHiGfaQVtCEMmpa9btNqv3YDE2dWNVge2YyPNqG88&#10;bnu5iaJEWt0Rf2j1gMcW66/TZBXQ6+F8Pw73bblMH+XwWVdlM1dKPT8thx2IgEv4K8MvPqNDwUwX&#10;N5HxolewiuOEqwpYOd68pCAufNM0AVnk8j9/8QMAAP//AwBQSwECLQAUAAYACAAAACEAtoM4kv4A&#10;AADhAQAAEwAAAAAAAAAAAAAAAAAAAAAAW0NvbnRlbnRfVHlwZXNdLnhtbFBLAQItABQABgAIAAAA&#10;IQA4/SH/1gAAAJQBAAALAAAAAAAAAAAAAAAAAC8BAABfcmVscy8ucmVsc1BLAQItABQABgAIAAAA&#10;IQC301oQUgIAAKYEAAAOAAAAAAAAAAAAAAAAAC4CAABkcnMvZTJvRG9jLnhtbFBLAQItABQABgAI&#10;AAAAIQDm5IPD2wAAAAcBAAAPAAAAAAAAAAAAAAAAAKwEAABkcnMvZG93bnJldi54bWxQSwUGAAAA&#10;AAQABADzAAAAtAUAAAAA&#10;" fillcolor="window" stroked="f" strokeweight=".5pt">
                <v:textbox>
                  <w:txbxContent>
                    <w:p w14:paraId="528EB24C" w14:textId="77777777" w:rsidR="00A24026" w:rsidRPr="00CE2E59" w:rsidRDefault="00A24026" w:rsidP="007117DA">
                      <w:pPr>
                        <w:spacing w:before="0" w:after="0" w:line="240" w:lineRule="auto"/>
                        <w:rPr>
                          <w:rFonts w:asciiTheme="majorHAnsi" w:hAnsiTheme="majorHAnsi" w:cstheme="majorHAnsi"/>
                          <w:sz w:val="16"/>
                          <w:szCs w:val="15"/>
                        </w:rPr>
                      </w:pPr>
                      <w:r>
                        <w:rPr>
                          <w:rFonts w:asciiTheme="majorHAnsi" w:hAnsiTheme="majorHAnsi" w:cstheme="majorHAnsi"/>
                          <w:sz w:val="16"/>
                          <w:szCs w:val="15"/>
                        </w:rPr>
                        <w:t>Salinity (PSU)</w:t>
                      </w:r>
                    </w:p>
                  </w:txbxContent>
                </v:textbox>
              </v:shape>
            </w:pict>
          </mc:Fallback>
        </mc:AlternateContent>
      </w:r>
      <w:r w:rsidRPr="003714E8">
        <w:rPr>
          <w:noProof/>
        </w:rPr>
        <mc:AlternateContent>
          <mc:Choice Requires="wps">
            <w:drawing>
              <wp:anchor distT="0" distB="0" distL="114300" distR="114300" simplePos="0" relativeHeight="251678725" behindDoc="0" locked="0" layoutInCell="1" allowOverlap="1" wp14:anchorId="6215E3F0" wp14:editId="7CD653F0">
                <wp:simplePos x="0" y="0"/>
                <wp:positionH relativeFrom="column">
                  <wp:posOffset>-845820</wp:posOffset>
                </wp:positionH>
                <wp:positionV relativeFrom="paragraph">
                  <wp:posOffset>4003040</wp:posOffset>
                </wp:positionV>
                <wp:extent cx="1758950" cy="224155"/>
                <wp:effectExtent l="5397" t="0" r="0" b="0"/>
                <wp:wrapNone/>
                <wp:docPr id="1052" name="Text Box 1052"/>
                <wp:cNvGraphicFramePr/>
                <a:graphic xmlns:a="http://schemas.openxmlformats.org/drawingml/2006/main">
                  <a:graphicData uri="http://schemas.microsoft.com/office/word/2010/wordprocessingShape">
                    <wps:wsp>
                      <wps:cNvSpPr txBox="1"/>
                      <wps:spPr>
                        <a:xfrm rot="16200000">
                          <a:off x="0" y="0"/>
                          <a:ext cx="1758950" cy="224155"/>
                        </a:xfrm>
                        <a:prstGeom prst="rect">
                          <a:avLst/>
                        </a:prstGeom>
                        <a:solidFill>
                          <a:sysClr val="window" lastClr="FFFFFF"/>
                        </a:solidFill>
                        <a:ln w="6350">
                          <a:noFill/>
                        </a:ln>
                      </wps:spPr>
                      <wps:txbx>
                        <w:txbxContent>
                          <w:p w14:paraId="0933CD00" w14:textId="77777777" w:rsidR="00A24026" w:rsidRPr="00CE2E59" w:rsidRDefault="00A24026" w:rsidP="007117DA">
                            <w:pPr>
                              <w:spacing w:before="0" w:after="0" w:line="240" w:lineRule="auto"/>
                              <w:rPr>
                                <w:rFonts w:asciiTheme="majorHAnsi" w:hAnsiTheme="majorHAnsi" w:cstheme="majorHAnsi"/>
                                <w:sz w:val="16"/>
                                <w:szCs w:val="15"/>
                              </w:rPr>
                            </w:pPr>
                            <w:r>
                              <w:rPr>
                                <w:rFonts w:asciiTheme="majorHAnsi" w:hAnsiTheme="majorHAnsi" w:cstheme="majorHAnsi"/>
                                <w:sz w:val="16"/>
                                <w:szCs w:val="15"/>
                              </w:rPr>
                              <w:t>Salinity (PSU)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15E3F0" id="Text Box 1052" o:spid="_x0000_s1032" type="#_x0000_t202" style="position:absolute;left:0;text-align:left;margin-left:-66.6pt;margin-top:315.2pt;width:138.5pt;height:17.65pt;rotation:-90;z-index:2516787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v6GVAIAAKYEAAAOAAAAZHJzL2Uyb0RvYy54bWysVMFuGjEQvVfqP1i+NwsUSIKyRJSIqlKU&#10;RIIqZ+P1hpW8Htc27NKv77N3SWjaU9U9WPbM483Mmxlubttas4NyviKT8+HFgDNlJBWVecn5983q&#10;0xVnPghTCE1G5fyoPL+df/xw09iZGtGOdKEcA4nxs8bmfBeCnWWZlztVC39BVhk4S3K1CHi6l6xw&#10;ogF7rbPRYDDNGnKFdSSV97DedU4+T/xlqWR4LEuvAtM5R24hnS6d23hm8xsxe3HC7irZpyH+IYta&#10;VAZBX6nuRBBs76o/qOpKOvJUhgtJdUZlWUmVakA1w8G7atY7YVWqBeJ4+yqT/3+08uHw5FhVoHeD&#10;yYgzI2p0aaPawL5Qy5IRGjXWzwBdW4BDCw/wUbto9zDG0tvS1cwRJB5O0Rp8SRHUyACH+MdXwSO9&#10;jByXk6vrCVwSvtFoPJxMImvWkUVS63z4qqhm8ZJzh4YmVnG496GDniAR7klXxarSOj2OfqkdOwj0&#10;HiNTUMOZFj7AmPNV+vpov/1MG9bkfPoZeUUWQ5GvC6UNknurOd5Cu22TftOTHlsqjpApKYHSvJWr&#10;CsnfI/KTcJguGLEx4RFHqQmxqL9xtiP382/2iEfT4eWswbTm3P/YC6dQ0DeDcbgejsegDekxnlyO&#10;8HDnnu25x+zrJUGUYcouXSM+6NO1dFQ/Y7EWMSpcwkjEznk4XZeh2yEsplSLRQJhoK0I92ZtZaQ+&#10;dW/TPgtn+/4FdP6BTnMtZu/a2GE71Rf7QGWVehx17lTt5ccypCnpFzdu2/k7od7+Xua/AAAA//8D&#10;AFBLAwQUAAYACAAAACEA+RiuCd8AAAAKAQAADwAAAGRycy9kb3ducmV2LnhtbEyP0U6DQBBF3038&#10;h82Y+NYuJYoUGZrS6AfQGn3dwghEdnbDLhT79a5P+ji5J/eeyXeLHsRMo+sNI2zWEQji2jQ9twhv&#10;p9dVCsJ5xY0aDBPCNznYFbc3ucoac+GK5qNvRShhlymEznubSenqjrRya2OJQ/ZpRq18OMdWNqO6&#10;hHI9yDiKEqlVz2GhU5YOHdVfx0kj8Mv+dD3Ya1ou03tpP+qqbOcK8f5u2T+D8LT4Pxh+9YM6FMHp&#10;bCZunBgQVpv4IaAIj9E2ARGION6COCM8pUkCssjl/xeKHwAAAP//AwBQSwECLQAUAAYACAAAACEA&#10;toM4kv4AAADhAQAAEwAAAAAAAAAAAAAAAAAAAAAAW0NvbnRlbnRfVHlwZXNdLnhtbFBLAQItABQA&#10;BgAIAAAAIQA4/SH/1gAAAJQBAAALAAAAAAAAAAAAAAAAAC8BAABfcmVscy8ucmVsc1BLAQItABQA&#10;BgAIAAAAIQBrzv6GVAIAAKYEAAAOAAAAAAAAAAAAAAAAAC4CAABkcnMvZTJvRG9jLnhtbFBLAQIt&#10;ABQABgAIAAAAIQD5GK4J3wAAAAoBAAAPAAAAAAAAAAAAAAAAAK4EAABkcnMvZG93bnJldi54bWxQ&#10;SwUGAAAAAAQABADzAAAAugUAAAAA&#10;" fillcolor="window" stroked="f" strokeweight=".5pt">
                <v:textbox>
                  <w:txbxContent>
                    <w:p w14:paraId="0933CD00" w14:textId="77777777" w:rsidR="00A24026" w:rsidRPr="00CE2E59" w:rsidRDefault="00A24026" w:rsidP="007117DA">
                      <w:pPr>
                        <w:spacing w:before="0" w:after="0" w:line="240" w:lineRule="auto"/>
                        <w:rPr>
                          <w:rFonts w:asciiTheme="majorHAnsi" w:hAnsiTheme="majorHAnsi" w:cstheme="majorHAnsi"/>
                          <w:sz w:val="16"/>
                          <w:szCs w:val="15"/>
                        </w:rPr>
                      </w:pPr>
                      <w:r>
                        <w:rPr>
                          <w:rFonts w:asciiTheme="majorHAnsi" w:hAnsiTheme="majorHAnsi" w:cstheme="majorHAnsi"/>
                          <w:sz w:val="16"/>
                          <w:szCs w:val="15"/>
                        </w:rPr>
                        <w:t>Salinity (PSU)</w:t>
                      </w:r>
                    </w:p>
                  </w:txbxContent>
                </v:textbox>
              </v:shape>
            </w:pict>
          </mc:Fallback>
        </mc:AlternateContent>
      </w:r>
      <w:r w:rsidRPr="003714E8">
        <w:rPr>
          <w:noProof/>
        </w:rPr>
        <mc:AlternateContent>
          <mc:Choice Requires="wps">
            <w:drawing>
              <wp:anchor distT="0" distB="0" distL="114300" distR="114300" simplePos="0" relativeHeight="251677701" behindDoc="0" locked="0" layoutInCell="1" allowOverlap="1" wp14:anchorId="455F11A7" wp14:editId="6B350A0F">
                <wp:simplePos x="0" y="0"/>
                <wp:positionH relativeFrom="column">
                  <wp:posOffset>2278380</wp:posOffset>
                </wp:positionH>
                <wp:positionV relativeFrom="paragraph">
                  <wp:posOffset>5958840</wp:posOffset>
                </wp:positionV>
                <wp:extent cx="1758950" cy="224155"/>
                <wp:effectExtent l="0" t="0" r="6350" b="4445"/>
                <wp:wrapNone/>
                <wp:docPr id="1051" name="Text Box 1051"/>
                <wp:cNvGraphicFramePr/>
                <a:graphic xmlns:a="http://schemas.openxmlformats.org/drawingml/2006/main">
                  <a:graphicData uri="http://schemas.microsoft.com/office/word/2010/wordprocessingShape">
                    <wps:wsp>
                      <wps:cNvSpPr txBox="1"/>
                      <wps:spPr>
                        <a:xfrm>
                          <a:off x="0" y="0"/>
                          <a:ext cx="1758950" cy="224155"/>
                        </a:xfrm>
                        <a:prstGeom prst="rect">
                          <a:avLst/>
                        </a:prstGeom>
                        <a:solidFill>
                          <a:sysClr val="window" lastClr="FFFFFF"/>
                        </a:solidFill>
                        <a:ln w="6350">
                          <a:noFill/>
                        </a:ln>
                      </wps:spPr>
                      <wps:txbx>
                        <w:txbxContent>
                          <w:p w14:paraId="3BB7DCFA" w14:textId="77777777" w:rsidR="00A24026" w:rsidRPr="00CE2E59" w:rsidRDefault="00A24026" w:rsidP="007117DA">
                            <w:pPr>
                              <w:spacing w:before="0" w:after="0" w:line="240" w:lineRule="auto"/>
                              <w:rPr>
                                <w:rFonts w:asciiTheme="majorHAnsi" w:hAnsiTheme="majorHAnsi" w:cstheme="majorHAnsi"/>
                                <w:sz w:val="16"/>
                                <w:szCs w:val="15"/>
                              </w:rPr>
                            </w:pPr>
                            <w:r>
                              <w:rPr>
                                <w:rFonts w:asciiTheme="majorHAnsi" w:hAnsiTheme="majorHAnsi" w:cstheme="majorHAnsi"/>
                                <w:sz w:val="16"/>
                                <w:szCs w:val="15"/>
                              </w:rPr>
                              <w:t>Distance from Mouth (km)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5F11A7" id="Text Box 1051" o:spid="_x0000_s1033" type="#_x0000_t202" style="position:absolute;left:0;text-align:left;margin-left:179.4pt;margin-top:469.2pt;width:138.5pt;height:17.65pt;z-index:2516777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PSMTQIAAJcEAAAOAAAAZHJzL2Uyb0RvYy54bWysVE1vGjEQvVfqf7B8bxYohASxRDQRVSWU&#10;RIIqZ+P1wkpej2sbdumv77MXEpr2VJWDGc+M5+O9mZ3etbVmB+V8RSbn/aseZ8pIKiqzzfn39eLT&#10;DWc+CFMITUbl/Kg8v5t9/DBt7EQNaEe6UI4hiPGTxuZ8F4KdZJmXO1ULf0VWGRhLcrUIuLptVjjR&#10;IHqts0Gvd5015ArrSCrvoX3ojHyW4pelkuGpLL0KTOcctYV0unRu4pnNpmKydcLuKnkqQ/xDFbWo&#10;DJK+hnoQQbC9q/4IVVfSkacyXEmqMyrLSqrUA7rp9951s9oJq1IvAMfbV5j8/wsrHw/PjlUFuOuN&#10;+pwZUYOltWoD+0ItS0pg1Fg/gevKwjm0sMA/Yhf1HsrYelu6Ov6jKQY70D6+IhzjyfhoPLq5HcEk&#10;YRsMhv3RKIbJ3l5b58NXRTWLQs4dGEzAisPSh8717BKTedJVsai0Tpejv9eOHQTIxowU1HCmhQ9Q&#10;5nyRfqdsvz3ThjU5v/6MumIUQzFel0obFPfWZJRCu2kTYOMzABsqjsDFUTdd3spFheKXyPwsHMYJ&#10;/WJFwhOOUhNy0UnibEfu59/00R8sw8pZg/HMuf+xF06hoW8G/N/2h8M4z+kyHI0HuLhLy+bSYvb1&#10;PQEUEIzqkhj9gz6LpaP6BZs0j1lhEkYid87DWbwP3dJgE6Waz5MTJtiKsDQrK2PoiF2kZt2+CGdP&#10;/AUw/0jnQRaTdzR2vh3q832gskocR5w7VE/wY/rTlJw2Na7X5T15vX1PZr8AAAD//wMAUEsDBBQA&#10;BgAIAAAAIQDSWBaD4QAAAAsBAAAPAAAAZHJzL2Rvd25yZXYueG1sTI9NT4NAEIbvJv6HzZh4s4ui&#10;LSJLY4xGm0iqaOJ1CyOg7CzZ3RbaX+940uP7kXeeyZaT6cUOne8sKTifRSCQKlt31Ch4f3s4S0D4&#10;oKnWvSVUsEcPy/z4KNNpbUd6xV0ZGsEj5FOtoA1hSKX0VYtG+5kdkDj7tM7owNI1snZ65HHTy4so&#10;mkujO+ILrR7wrsXqu9waBR9j+ejWq9XXy/BUHNaHsnjG+0Kp05Pp9gZEwCn8leEXn9EhZ6aN3VLt&#10;Ra8gvkoYPSi4jpNLENyYswViw84iXoDMM/n/h/wHAAD//wMAUEsBAi0AFAAGAAgAAAAhALaDOJL+&#10;AAAA4QEAABMAAAAAAAAAAAAAAAAAAAAAAFtDb250ZW50X1R5cGVzXS54bWxQSwECLQAUAAYACAAA&#10;ACEAOP0h/9YAAACUAQAACwAAAAAAAAAAAAAAAAAvAQAAX3JlbHMvLnJlbHNQSwECLQAUAAYACAAA&#10;ACEAr7D0jE0CAACXBAAADgAAAAAAAAAAAAAAAAAuAgAAZHJzL2Uyb0RvYy54bWxQSwECLQAUAAYA&#10;CAAAACEA0lgWg+EAAAALAQAADwAAAAAAAAAAAAAAAACnBAAAZHJzL2Rvd25yZXYueG1sUEsFBgAA&#10;AAAEAAQA8wAAALUFAAAAAA==&#10;" fillcolor="window" stroked="f" strokeweight=".5pt">
                <v:textbox>
                  <w:txbxContent>
                    <w:p w14:paraId="3BB7DCFA" w14:textId="77777777" w:rsidR="00A24026" w:rsidRPr="00CE2E59" w:rsidRDefault="00A24026" w:rsidP="007117DA">
                      <w:pPr>
                        <w:spacing w:before="0" w:after="0" w:line="240" w:lineRule="auto"/>
                        <w:rPr>
                          <w:rFonts w:asciiTheme="majorHAnsi" w:hAnsiTheme="majorHAnsi" w:cstheme="majorHAnsi"/>
                          <w:sz w:val="16"/>
                          <w:szCs w:val="15"/>
                        </w:rPr>
                      </w:pPr>
                      <w:r>
                        <w:rPr>
                          <w:rFonts w:asciiTheme="majorHAnsi" w:hAnsiTheme="majorHAnsi" w:cstheme="majorHAnsi"/>
                          <w:sz w:val="16"/>
                          <w:szCs w:val="15"/>
                        </w:rPr>
                        <w:t>Distance from Mouth (km)</w:t>
                      </w:r>
                    </w:p>
                  </w:txbxContent>
                </v:textbox>
              </v:shape>
            </w:pict>
          </mc:Fallback>
        </mc:AlternateContent>
      </w:r>
      <w:r>
        <w:rPr>
          <w:noProof/>
        </w:rPr>
        <mc:AlternateContent>
          <mc:Choice Requires="wps">
            <w:drawing>
              <wp:anchor distT="0" distB="0" distL="114300" distR="114300" simplePos="0" relativeHeight="251671557" behindDoc="0" locked="0" layoutInCell="1" allowOverlap="1" wp14:anchorId="6CCFCBD8" wp14:editId="7ACC1AF8">
                <wp:simplePos x="0" y="0"/>
                <wp:positionH relativeFrom="column">
                  <wp:posOffset>4607560</wp:posOffset>
                </wp:positionH>
                <wp:positionV relativeFrom="paragraph">
                  <wp:posOffset>384046</wp:posOffset>
                </wp:positionV>
                <wp:extent cx="836908" cy="697424"/>
                <wp:effectExtent l="0" t="0" r="1905" b="1270"/>
                <wp:wrapNone/>
                <wp:docPr id="1029" name="Text Box 1029"/>
                <wp:cNvGraphicFramePr/>
                <a:graphic xmlns:a="http://schemas.openxmlformats.org/drawingml/2006/main">
                  <a:graphicData uri="http://schemas.microsoft.com/office/word/2010/wordprocessingShape">
                    <wps:wsp>
                      <wps:cNvSpPr txBox="1"/>
                      <wps:spPr>
                        <a:xfrm>
                          <a:off x="0" y="0"/>
                          <a:ext cx="836908" cy="697424"/>
                        </a:xfrm>
                        <a:prstGeom prst="rect">
                          <a:avLst/>
                        </a:prstGeom>
                        <a:solidFill>
                          <a:sysClr val="window" lastClr="FFFFFF"/>
                        </a:solidFill>
                        <a:ln w="6350">
                          <a:noFill/>
                        </a:ln>
                      </wps:spPr>
                      <wps:txbx>
                        <w:txbxContent>
                          <w:p w14:paraId="37DE7F09" w14:textId="77777777" w:rsidR="00A24026" w:rsidRPr="00CE2E59" w:rsidRDefault="00A24026" w:rsidP="007117DA">
                            <w:pPr>
                              <w:spacing w:before="0" w:after="0" w:line="240" w:lineRule="auto"/>
                              <w:rPr>
                                <w:rFonts w:asciiTheme="majorHAnsi" w:hAnsiTheme="majorHAnsi" w:cstheme="majorHAnsi"/>
                                <w:sz w:val="16"/>
                                <w:szCs w:val="15"/>
                              </w:rPr>
                            </w:pPr>
                            <w:r w:rsidRPr="00CE2E59">
                              <w:rPr>
                                <w:rFonts w:asciiTheme="majorHAnsi" w:hAnsiTheme="majorHAnsi" w:cstheme="majorHAnsi"/>
                                <w:sz w:val="16"/>
                                <w:szCs w:val="15"/>
                              </w:rPr>
                              <w:t>All water</w:t>
                            </w:r>
                          </w:p>
                          <w:p w14:paraId="6DBC465F" w14:textId="77777777" w:rsidR="00A24026" w:rsidRDefault="00A24026" w:rsidP="007117DA">
                            <w:pPr>
                              <w:spacing w:before="0" w:after="0" w:line="240" w:lineRule="auto"/>
                              <w:rPr>
                                <w:rFonts w:asciiTheme="majorHAnsi" w:hAnsiTheme="majorHAnsi" w:cstheme="majorHAnsi"/>
                                <w:sz w:val="16"/>
                                <w:szCs w:val="15"/>
                              </w:rPr>
                            </w:pPr>
                          </w:p>
                          <w:p w14:paraId="6AE49D00" w14:textId="77777777" w:rsidR="00A24026" w:rsidRPr="00CE2E59" w:rsidRDefault="00A24026" w:rsidP="007117DA">
                            <w:pPr>
                              <w:spacing w:before="0" w:after="0" w:line="240" w:lineRule="auto"/>
                              <w:rPr>
                                <w:rFonts w:asciiTheme="majorHAnsi" w:hAnsiTheme="majorHAnsi" w:cstheme="majorHAnsi"/>
                                <w:sz w:val="16"/>
                                <w:szCs w:val="15"/>
                              </w:rPr>
                            </w:pPr>
                            <w:r w:rsidRPr="00CE2E59">
                              <w:rPr>
                                <w:rFonts w:asciiTheme="majorHAnsi" w:hAnsiTheme="majorHAnsi" w:cstheme="majorHAnsi"/>
                                <w:sz w:val="16"/>
                                <w:szCs w:val="15"/>
                              </w:rPr>
                              <w:t>No eWater 3yrs</w:t>
                            </w:r>
                          </w:p>
                          <w:p w14:paraId="5F67F7D1" w14:textId="77777777" w:rsidR="00A24026" w:rsidRDefault="00A24026" w:rsidP="007117DA">
                            <w:pPr>
                              <w:spacing w:before="0" w:after="0" w:line="240" w:lineRule="auto"/>
                              <w:rPr>
                                <w:rFonts w:asciiTheme="majorHAnsi" w:hAnsiTheme="majorHAnsi" w:cstheme="majorHAnsi"/>
                                <w:sz w:val="16"/>
                                <w:szCs w:val="15"/>
                              </w:rPr>
                            </w:pPr>
                          </w:p>
                          <w:p w14:paraId="329AFFA4" w14:textId="77777777" w:rsidR="00A24026" w:rsidRPr="00CE2E59" w:rsidRDefault="00A24026" w:rsidP="007117DA">
                            <w:pPr>
                              <w:spacing w:before="0" w:after="0" w:line="240" w:lineRule="auto"/>
                              <w:rPr>
                                <w:rFonts w:asciiTheme="majorHAnsi" w:hAnsiTheme="majorHAnsi" w:cstheme="majorHAnsi"/>
                                <w:sz w:val="16"/>
                                <w:szCs w:val="15"/>
                              </w:rPr>
                            </w:pPr>
                            <w:r w:rsidRPr="00CE2E59">
                              <w:rPr>
                                <w:rFonts w:asciiTheme="majorHAnsi" w:hAnsiTheme="majorHAnsi" w:cstheme="majorHAnsi"/>
                                <w:sz w:val="16"/>
                                <w:szCs w:val="15"/>
                              </w:rPr>
                              <w:t>No eWater</w:t>
                            </w:r>
                          </w:p>
                          <w:p w14:paraId="7F4E13EF" w14:textId="77777777" w:rsidR="00A24026" w:rsidRPr="00CE2E59" w:rsidRDefault="00A24026" w:rsidP="007117DA">
                            <w:pPr>
                              <w:spacing w:before="0" w:after="0" w:line="240" w:lineRule="auto"/>
                              <w:rPr>
                                <w:rFonts w:asciiTheme="majorHAnsi" w:hAnsiTheme="majorHAnsi" w:cstheme="majorHAnsi"/>
                                <w:sz w:val="16"/>
                                <w:szCs w:val="1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CFCBD8" id="Text Box 1029" o:spid="_x0000_s1034" type="#_x0000_t202" style="position:absolute;left:0;text-align:left;margin-left:362.8pt;margin-top:30.25pt;width:65.9pt;height:54.9pt;z-index:2516715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Qq2TgIAAJYEAAAOAAAAZHJzL2Uyb0RvYy54bWysVNtuGjEQfa/Uf7D8XnYh5AJiiSgRVaUo&#10;iZRUeTZeL6zk9bi2YZd+fY+9kFv7VJUHM54Zz+WcmZ1dd41me+V8Tabgw0HOmTKSytpsCv7jafXl&#10;ijMfhCmFJqMKflCeX88/f5q1dqpGtCVdKscQxPhpawu+DcFOs8zLrWqEH5BVBsaKXCMCrm6TlU60&#10;iN7obJTnF1lLrrSOpPIe2pveyOcpflUpGe6ryqvAdMFRW0inS+c6ntl8JqYbJ+y2lscyxD9U0Yja&#10;IOlLqBsRBNu5+o9QTS0dearCQFKTUVXVUqUe0M0w/9DN41ZYlXoBON6+wOT/X1h5t39wrC7BXT6a&#10;cGZEA5aeVBfYV+pYUgKj1vopXB8tnEMHC/wjdlHvoYytd5Vr4j+aYrAD7cMLwjGehPLq7GKSYyQk&#10;TBeTy/FoHKNkr4+t8+GbooZFoeAOBCZcxf7Wh9715BJzedJ1uaq1TpeDX2rH9gJcY0RKajnTwgco&#10;C75Kv2O2d8+0YS2qOTvPUyZDMV6fShsU99pjlEK37hJeV6f+11QeAIujfri8lasaxd8i84NwmCYg&#10;gQ0J9zgqTchFR4mzLblff9NHf5AMK2ctprPg/udOOIWGvhvQPxmOx3Gc02V8fjnCxb21rN9azK5Z&#10;EkAZYhetTGL0D/okVo6aZyzSImaFSRiJ3AUPJ3EZ+p3BIkq1WCQnDLAV4dY8WhlDRwYiNU/ds3D2&#10;yF8A8Xd0mmMx/UBj7xtfGlrsAlV14jji3KN6hB/Dn6bkuKhxu97ek9fr52T+GwAA//8DAFBLAwQU&#10;AAYACAAAACEABLRgsOIAAAAKAQAADwAAAGRycy9kb3ducmV2LnhtbEyPUUvDMBSF3wX/Q7iCby5x&#10;2nbUpkNE0cHKXCf4mrXXttokJcnWul/v9UkfL+fjnO9my0n37IjOd9ZIuJ4JYGgqW3emkfC2e7pa&#10;APNBmVr11qCEb/SwzM/PMpXWdjRbPJahYVRifKoktCEMKee+alErP7MDGso+rNMq0OkaXjs1Urnu&#10;+VyImGvVGVpo1YAPLVZf5UFLeB/LZ7dZrT5fh5fitDmVxRofCykvL6b7O2ABp/AHw68+qUNOTnt7&#10;MLVnvYRkHsWESohFBIyARZTcAtsTmYgb4HnG/7+Q/wAAAP//AwBQSwECLQAUAAYACAAAACEAtoM4&#10;kv4AAADhAQAAEwAAAAAAAAAAAAAAAAAAAAAAW0NvbnRlbnRfVHlwZXNdLnhtbFBLAQItABQABgAI&#10;AAAAIQA4/SH/1gAAAJQBAAALAAAAAAAAAAAAAAAAAC8BAABfcmVscy8ucmVsc1BLAQItABQABgAI&#10;AAAAIQDZRQq2TgIAAJYEAAAOAAAAAAAAAAAAAAAAAC4CAABkcnMvZTJvRG9jLnhtbFBLAQItABQA&#10;BgAIAAAAIQAEtGCw4gAAAAoBAAAPAAAAAAAAAAAAAAAAAKgEAABkcnMvZG93bnJldi54bWxQSwUG&#10;AAAAAAQABADzAAAAtwUAAAAA&#10;" fillcolor="window" stroked="f" strokeweight=".5pt">
                <v:textbox>
                  <w:txbxContent>
                    <w:p w14:paraId="37DE7F09" w14:textId="77777777" w:rsidR="00A24026" w:rsidRPr="00CE2E59" w:rsidRDefault="00A24026" w:rsidP="007117DA">
                      <w:pPr>
                        <w:spacing w:before="0" w:after="0" w:line="240" w:lineRule="auto"/>
                        <w:rPr>
                          <w:rFonts w:asciiTheme="majorHAnsi" w:hAnsiTheme="majorHAnsi" w:cstheme="majorHAnsi"/>
                          <w:sz w:val="16"/>
                          <w:szCs w:val="15"/>
                        </w:rPr>
                      </w:pPr>
                      <w:r w:rsidRPr="00CE2E59">
                        <w:rPr>
                          <w:rFonts w:asciiTheme="majorHAnsi" w:hAnsiTheme="majorHAnsi" w:cstheme="majorHAnsi"/>
                          <w:sz w:val="16"/>
                          <w:szCs w:val="15"/>
                        </w:rPr>
                        <w:t>All water</w:t>
                      </w:r>
                    </w:p>
                    <w:p w14:paraId="6DBC465F" w14:textId="77777777" w:rsidR="00A24026" w:rsidRDefault="00A24026" w:rsidP="007117DA">
                      <w:pPr>
                        <w:spacing w:before="0" w:after="0" w:line="240" w:lineRule="auto"/>
                        <w:rPr>
                          <w:rFonts w:asciiTheme="majorHAnsi" w:hAnsiTheme="majorHAnsi" w:cstheme="majorHAnsi"/>
                          <w:sz w:val="16"/>
                          <w:szCs w:val="15"/>
                        </w:rPr>
                      </w:pPr>
                    </w:p>
                    <w:p w14:paraId="6AE49D00" w14:textId="77777777" w:rsidR="00A24026" w:rsidRPr="00CE2E59" w:rsidRDefault="00A24026" w:rsidP="007117DA">
                      <w:pPr>
                        <w:spacing w:before="0" w:after="0" w:line="240" w:lineRule="auto"/>
                        <w:rPr>
                          <w:rFonts w:asciiTheme="majorHAnsi" w:hAnsiTheme="majorHAnsi" w:cstheme="majorHAnsi"/>
                          <w:sz w:val="16"/>
                          <w:szCs w:val="15"/>
                        </w:rPr>
                      </w:pPr>
                      <w:r w:rsidRPr="00CE2E59">
                        <w:rPr>
                          <w:rFonts w:asciiTheme="majorHAnsi" w:hAnsiTheme="majorHAnsi" w:cstheme="majorHAnsi"/>
                          <w:sz w:val="16"/>
                          <w:szCs w:val="15"/>
                        </w:rPr>
                        <w:t>No eWater 3yrs</w:t>
                      </w:r>
                    </w:p>
                    <w:p w14:paraId="5F67F7D1" w14:textId="77777777" w:rsidR="00A24026" w:rsidRDefault="00A24026" w:rsidP="007117DA">
                      <w:pPr>
                        <w:spacing w:before="0" w:after="0" w:line="240" w:lineRule="auto"/>
                        <w:rPr>
                          <w:rFonts w:asciiTheme="majorHAnsi" w:hAnsiTheme="majorHAnsi" w:cstheme="majorHAnsi"/>
                          <w:sz w:val="16"/>
                          <w:szCs w:val="15"/>
                        </w:rPr>
                      </w:pPr>
                    </w:p>
                    <w:p w14:paraId="329AFFA4" w14:textId="77777777" w:rsidR="00A24026" w:rsidRPr="00CE2E59" w:rsidRDefault="00A24026" w:rsidP="007117DA">
                      <w:pPr>
                        <w:spacing w:before="0" w:after="0" w:line="240" w:lineRule="auto"/>
                        <w:rPr>
                          <w:rFonts w:asciiTheme="majorHAnsi" w:hAnsiTheme="majorHAnsi" w:cstheme="majorHAnsi"/>
                          <w:sz w:val="16"/>
                          <w:szCs w:val="15"/>
                        </w:rPr>
                      </w:pPr>
                      <w:r w:rsidRPr="00CE2E59">
                        <w:rPr>
                          <w:rFonts w:asciiTheme="majorHAnsi" w:hAnsiTheme="majorHAnsi" w:cstheme="majorHAnsi"/>
                          <w:sz w:val="16"/>
                          <w:szCs w:val="15"/>
                        </w:rPr>
                        <w:t>No eWater</w:t>
                      </w:r>
                    </w:p>
                    <w:p w14:paraId="7F4E13EF" w14:textId="77777777" w:rsidR="00A24026" w:rsidRPr="00CE2E59" w:rsidRDefault="00A24026" w:rsidP="007117DA">
                      <w:pPr>
                        <w:spacing w:before="0" w:after="0" w:line="240" w:lineRule="auto"/>
                        <w:rPr>
                          <w:rFonts w:asciiTheme="majorHAnsi" w:hAnsiTheme="majorHAnsi" w:cstheme="majorHAnsi"/>
                          <w:sz w:val="16"/>
                          <w:szCs w:val="15"/>
                        </w:rPr>
                      </w:pPr>
                    </w:p>
                  </w:txbxContent>
                </v:textbox>
              </v:shape>
            </w:pict>
          </mc:Fallback>
        </mc:AlternateContent>
      </w:r>
      <w:r>
        <w:rPr>
          <w:noProof/>
        </w:rPr>
        <mc:AlternateContent>
          <mc:Choice Requires="wps">
            <w:drawing>
              <wp:anchor distT="0" distB="0" distL="114300" distR="114300" simplePos="0" relativeHeight="251670533" behindDoc="0" locked="0" layoutInCell="1" allowOverlap="1" wp14:anchorId="0333A5E4" wp14:editId="6F6FD0CD">
                <wp:simplePos x="0" y="0"/>
                <wp:positionH relativeFrom="column">
                  <wp:posOffset>4610747</wp:posOffset>
                </wp:positionH>
                <wp:positionV relativeFrom="paragraph">
                  <wp:posOffset>3448373</wp:posOffset>
                </wp:positionV>
                <wp:extent cx="836908" cy="697424"/>
                <wp:effectExtent l="0" t="0" r="1905" b="1270"/>
                <wp:wrapNone/>
                <wp:docPr id="1027" name="Text Box 1027"/>
                <wp:cNvGraphicFramePr/>
                <a:graphic xmlns:a="http://schemas.openxmlformats.org/drawingml/2006/main">
                  <a:graphicData uri="http://schemas.microsoft.com/office/word/2010/wordprocessingShape">
                    <wps:wsp>
                      <wps:cNvSpPr txBox="1"/>
                      <wps:spPr>
                        <a:xfrm>
                          <a:off x="0" y="0"/>
                          <a:ext cx="836908" cy="697424"/>
                        </a:xfrm>
                        <a:prstGeom prst="rect">
                          <a:avLst/>
                        </a:prstGeom>
                        <a:solidFill>
                          <a:sysClr val="window" lastClr="FFFFFF"/>
                        </a:solidFill>
                        <a:ln w="6350">
                          <a:noFill/>
                        </a:ln>
                      </wps:spPr>
                      <wps:txbx>
                        <w:txbxContent>
                          <w:p w14:paraId="0200E0D3" w14:textId="77777777" w:rsidR="00A24026" w:rsidRPr="00CE2E59" w:rsidRDefault="00A24026" w:rsidP="007117DA">
                            <w:pPr>
                              <w:spacing w:before="0" w:after="0" w:line="240" w:lineRule="auto"/>
                              <w:rPr>
                                <w:rFonts w:asciiTheme="majorHAnsi" w:hAnsiTheme="majorHAnsi" w:cstheme="majorHAnsi"/>
                                <w:sz w:val="16"/>
                                <w:szCs w:val="15"/>
                              </w:rPr>
                            </w:pPr>
                            <w:r w:rsidRPr="00CE2E59">
                              <w:rPr>
                                <w:rFonts w:asciiTheme="majorHAnsi" w:hAnsiTheme="majorHAnsi" w:cstheme="majorHAnsi"/>
                                <w:sz w:val="16"/>
                                <w:szCs w:val="15"/>
                              </w:rPr>
                              <w:t>All water</w:t>
                            </w:r>
                          </w:p>
                          <w:p w14:paraId="76BDBF2A" w14:textId="77777777" w:rsidR="00A24026" w:rsidRDefault="00A24026" w:rsidP="007117DA">
                            <w:pPr>
                              <w:spacing w:before="0" w:after="0" w:line="240" w:lineRule="auto"/>
                              <w:rPr>
                                <w:rFonts w:asciiTheme="majorHAnsi" w:hAnsiTheme="majorHAnsi" w:cstheme="majorHAnsi"/>
                                <w:sz w:val="16"/>
                                <w:szCs w:val="15"/>
                              </w:rPr>
                            </w:pPr>
                          </w:p>
                          <w:p w14:paraId="685B9728" w14:textId="77777777" w:rsidR="00A24026" w:rsidRPr="00CE2E59" w:rsidRDefault="00A24026" w:rsidP="007117DA">
                            <w:pPr>
                              <w:spacing w:before="0" w:after="0" w:line="240" w:lineRule="auto"/>
                              <w:rPr>
                                <w:rFonts w:asciiTheme="majorHAnsi" w:hAnsiTheme="majorHAnsi" w:cstheme="majorHAnsi"/>
                                <w:sz w:val="16"/>
                                <w:szCs w:val="15"/>
                              </w:rPr>
                            </w:pPr>
                            <w:r w:rsidRPr="00CE2E59">
                              <w:rPr>
                                <w:rFonts w:asciiTheme="majorHAnsi" w:hAnsiTheme="majorHAnsi" w:cstheme="majorHAnsi"/>
                                <w:sz w:val="16"/>
                                <w:szCs w:val="15"/>
                              </w:rPr>
                              <w:t>No eWater 3yrs</w:t>
                            </w:r>
                          </w:p>
                          <w:p w14:paraId="1CC2D5D7" w14:textId="77777777" w:rsidR="00A24026" w:rsidRDefault="00A24026" w:rsidP="007117DA">
                            <w:pPr>
                              <w:spacing w:before="0" w:after="0" w:line="240" w:lineRule="auto"/>
                              <w:rPr>
                                <w:rFonts w:asciiTheme="majorHAnsi" w:hAnsiTheme="majorHAnsi" w:cstheme="majorHAnsi"/>
                                <w:sz w:val="16"/>
                                <w:szCs w:val="15"/>
                              </w:rPr>
                            </w:pPr>
                          </w:p>
                          <w:p w14:paraId="799259B1" w14:textId="77777777" w:rsidR="00A24026" w:rsidRPr="00CE2E59" w:rsidRDefault="00A24026" w:rsidP="007117DA">
                            <w:pPr>
                              <w:spacing w:before="0" w:after="0" w:line="240" w:lineRule="auto"/>
                              <w:rPr>
                                <w:rFonts w:asciiTheme="majorHAnsi" w:hAnsiTheme="majorHAnsi" w:cstheme="majorHAnsi"/>
                                <w:sz w:val="16"/>
                                <w:szCs w:val="15"/>
                              </w:rPr>
                            </w:pPr>
                            <w:r w:rsidRPr="00CE2E59">
                              <w:rPr>
                                <w:rFonts w:asciiTheme="majorHAnsi" w:hAnsiTheme="majorHAnsi" w:cstheme="majorHAnsi"/>
                                <w:sz w:val="16"/>
                                <w:szCs w:val="15"/>
                              </w:rPr>
                              <w:t>No eWater</w:t>
                            </w:r>
                          </w:p>
                          <w:p w14:paraId="7E87CB2A" w14:textId="77777777" w:rsidR="00A24026" w:rsidRPr="00CE2E59" w:rsidRDefault="00A24026" w:rsidP="007117DA">
                            <w:pPr>
                              <w:spacing w:before="0" w:after="0" w:line="240" w:lineRule="auto"/>
                              <w:rPr>
                                <w:rFonts w:asciiTheme="majorHAnsi" w:hAnsiTheme="majorHAnsi" w:cstheme="majorHAnsi"/>
                                <w:sz w:val="16"/>
                                <w:szCs w:val="1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33A5E4" id="Text Box 1027" o:spid="_x0000_s1035" type="#_x0000_t202" style="position:absolute;left:0;text-align:left;margin-left:363.05pt;margin-top:271.55pt;width:65.9pt;height:54.9pt;z-index:2516705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i/kTgIAAJYEAAAOAAAAZHJzL2Uyb0RvYy54bWysVNtuGjEQfa/Uf7D83uxCyAXEElEiqkpR&#10;EilUeTZeL6zk9bi2YZd+fY+9kFv7VJUHM54Zz+WcmZ3edI1me+V8Tabgg7OcM2UklbXZFPzHavnl&#10;mjMfhCmFJqMKflCe38w+f5q2dqKGtCVdKscQxPhJawu+DcFOsszLrWqEPyOrDIwVuUYEXN0mK51o&#10;Eb3R2TDPL7OWXGkdSeU9tLe9kc9S/KpSMjxUlVeB6YKjtpBOl851PLPZVEw2TthtLY9liH+oohG1&#10;QdKXULciCLZz9R+hmlo68lSFM0lNRlVVS5V6QDeD/EM3T1thVeoF4Hj7ApP/f2Hl/f7RsboEd/nw&#10;ijMjGrC0Ul1gX6ljSQmMWusncH2ycA4dLPCP2EW9hzK23lWuif9oisEOtA8vCMd4Esrr88txjpGQ&#10;MF2Or0bDUYySvT62zodvihoWhYI7EJhwFfs7H3rXk0vM5UnX5bLWOl0OfqEd2wtwjREpqeVMCx+g&#10;LPgy/Y7Z3j3ThrWo5vwiT5kMxXh9Km1Q3GuPUQrdukt4jU/9r6k8ABZH/XB5K5c1ir9D5kfhME1A&#10;AhsSHnBUmpCLjhJnW3K//qaP/iAZVs5aTGfB/c+dcAoNfTegfzwYjeI4p8vo4mqIi3trWb+1mF2z&#10;IIAywC5amcToH/RJrBw1z1ikecwKkzASuQseTuIi9DuDRZRqPk9OGGArwp15sjKGjgxEalbds3D2&#10;yF8A8fd0mmMx+UBj7xtfGprvAlV14jji3KN6hB/Dn6bkuKhxu97ek9fr52T2GwAA//8DAFBLAwQU&#10;AAYACAAAACEA/AEfX+QAAAALAQAADwAAAGRycy9kb3ducmV2LnhtbEyPwU7DMAyG70i8Q2Qkbixd&#10;od1Wmk4IgWAS1aAgcc0a0xaapEqytezpMSe42fKn39+fryfdswM631kjYD6LgKGprepMI+Dt9f5i&#10;CcwHaZTsrUEB3+hhXZye5DJTdjQveKhCwyjE+EwKaEMYMs593aKWfmYHNHT7sE7LQKtruHJypHDd&#10;8ziKUq5lZ+hDKwe8bbH+qvZawPtYPbjtZvP5PDyWx+2xKp/wrhTi/Gy6uQYWcAp/MPzqkzoU5LSz&#10;e6M86wUs4nROqIDk6pIGIpbJYgVsJyBN4hXwIuf/OxQ/AAAA//8DAFBLAQItABQABgAIAAAAIQC2&#10;gziS/gAAAOEBAAATAAAAAAAAAAAAAAAAAAAAAABbQ29udGVudF9UeXBlc10ueG1sUEsBAi0AFAAG&#10;AAgAAAAhADj9If/WAAAAlAEAAAsAAAAAAAAAAAAAAAAALwEAAF9yZWxzLy5yZWxzUEsBAi0AFAAG&#10;AAgAAAAhAMciL+ROAgAAlgQAAA4AAAAAAAAAAAAAAAAALgIAAGRycy9lMm9Eb2MueG1sUEsBAi0A&#10;FAAGAAgAAAAhAPwBH1/kAAAACwEAAA8AAAAAAAAAAAAAAAAAqAQAAGRycy9kb3ducmV2LnhtbFBL&#10;BQYAAAAABAAEAPMAAAC5BQAAAAA=&#10;" fillcolor="window" stroked="f" strokeweight=".5pt">
                <v:textbox>
                  <w:txbxContent>
                    <w:p w14:paraId="0200E0D3" w14:textId="77777777" w:rsidR="00A24026" w:rsidRPr="00CE2E59" w:rsidRDefault="00A24026" w:rsidP="007117DA">
                      <w:pPr>
                        <w:spacing w:before="0" w:after="0" w:line="240" w:lineRule="auto"/>
                        <w:rPr>
                          <w:rFonts w:asciiTheme="majorHAnsi" w:hAnsiTheme="majorHAnsi" w:cstheme="majorHAnsi"/>
                          <w:sz w:val="16"/>
                          <w:szCs w:val="15"/>
                        </w:rPr>
                      </w:pPr>
                      <w:r w:rsidRPr="00CE2E59">
                        <w:rPr>
                          <w:rFonts w:asciiTheme="majorHAnsi" w:hAnsiTheme="majorHAnsi" w:cstheme="majorHAnsi"/>
                          <w:sz w:val="16"/>
                          <w:szCs w:val="15"/>
                        </w:rPr>
                        <w:t>All water</w:t>
                      </w:r>
                    </w:p>
                    <w:p w14:paraId="76BDBF2A" w14:textId="77777777" w:rsidR="00A24026" w:rsidRDefault="00A24026" w:rsidP="007117DA">
                      <w:pPr>
                        <w:spacing w:before="0" w:after="0" w:line="240" w:lineRule="auto"/>
                        <w:rPr>
                          <w:rFonts w:asciiTheme="majorHAnsi" w:hAnsiTheme="majorHAnsi" w:cstheme="majorHAnsi"/>
                          <w:sz w:val="16"/>
                          <w:szCs w:val="15"/>
                        </w:rPr>
                      </w:pPr>
                    </w:p>
                    <w:p w14:paraId="685B9728" w14:textId="77777777" w:rsidR="00A24026" w:rsidRPr="00CE2E59" w:rsidRDefault="00A24026" w:rsidP="007117DA">
                      <w:pPr>
                        <w:spacing w:before="0" w:after="0" w:line="240" w:lineRule="auto"/>
                        <w:rPr>
                          <w:rFonts w:asciiTheme="majorHAnsi" w:hAnsiTheme="majorHAnsi" w:cstheme="majorHAnsi"/>
                          <w:sz w:val="16"/>
                          <w:szCs w:val="15"/>
                        </w:rPr>
                      </w:pPr>
                      <w:r w:rsidRPr="00CE2E59">
                        <w:rPr>
                          <w:rFonts w:asciiTheme="majorHAnsi" w:hAnsiTheme="majorHAnsi" w:cstheme="majorHAnsi"/>
                          <w:sz w:val="16"/>
                          <w:szCs w:val="15"/>
                        </w:rPr>
                        <w:t>No eWater 3yrs</w:t>
                      </w:r>
                    </w:p>
                    <w:p w14:paraId="1CC2D5D7" w14:textId="77777777" w:rsidR="00A24026" w:rsidRDefault="00A24026" w:rsidP="007117DA">
                      <w:pPr>
                        <w:spacing w:before="0" w:after="0" w:line="240" w:lineRule="auto"/>
                        <w:rPr>
                          <w:rFonts w:asciiTheme="majorHAnsi" w:hAnsiTheme="majorHAnsi" w:cstheme="majorHAnsi"/>
                          <w:sz w:val="16"/>
                          <w:szCs w:val="15"/>
                        </w:rPr>
                      </w:pPr>
                    </w:p>
                    <w:p w14:paraId="799259B1" w14:textId="77777777" w:rsidR="00A24026" w:rsidRPr="00CE2E59" w:rsidRDefault="00A24026" w:rsidP="007117DA">
                      <w:pPr>
                        <w:spacing w:before="0" w:after="0" w:line="240" w:lineRule="auto"/>
                        <w:rPr>
                          <w:rFonts w:asciiTheme="majorHAnsi" w:hAnsiTheme="majorHAnsi" w:cstheme="majorHAnsi"/>
                          <w:sz w:val="16"/>
                          <w:szCs w:val="15"/>
                        </w:rPr>
                      </w:pPr>
                      <w:r w:rsidRPr="00CE2E59">
                        <w:rPr>
                          <w:rFonts w:asciiTheme="majorHAnsi" w:hAnsiTheme="majorHAnsi" w:cstheme="majorHAnsi"/>
                          <w:sz w:val="16"/>
                          <w:szCs w:val="15"/>
                        </w:rPr>
                        <w:t>No eWater</w:t>
                      </w:r>
                    </w:p>
                    <w:p w14:paraId="7E87CB2A" w14:textId="77777777" w:rsidR="00A24026" w:rsidRPr="00CE2E59" w:rsidRDefault="00A24026" w:rsidP="007117DA">
                      <w:pPr>
                        <w:spacing w:before="0" w:after="0" w:line="240" w:lineRule="auto"/>
                        <w:rPr>
                          <w:rFonts w:asciiTheme="majorHAnsi" w:hAnsiTheme="majorHAnsi" w:cstheme="majorHAnsi"/>
                          <w:sz w:val="16"/>
                          <w:szCs w:val="15"/>
                        </w:rPr>
                      </w:pPr>
                    </w:p>
                  </w:txbxContent>
                </v:textbox>
              </v:shape>
            </w:pict>
          </mc:Fallback>
        </mc:AlternateContent>
      </w:r>
      <w:r>
        <w:rPr>
          <w:noProof/>
        </w:rPr>
        <w:drawing>
          <wp:inline distT="0" distB="0" distL="0" distR="0" wp14:anchorId="2FAA326D" wp14:editId="2F5D4402">
            <wp:extent cx="5638676" cy="3072809"/>
            <wp:effectExtent l="0" t="0" r="635" b="0"/>
            <wp:docPr id="127" name="Picture 1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iagram&#10;&#10;Description automatically generated"/>
                    <pic:cNvPicPr>
                      <a:picLocks noChangeAspect="1" noChangeArrowheads="1"/>
                    </pic:cNvPicPr>
                  </pic:nvPicPr>
                  <pic:blipFill rotWithShape="1">
                    <a:blip r:embed="rId75" cstate="email">
                      <a:extLst>
                        <a:ext uri="{28A0092B-C50C-407E-A947-70E740481C1C}">
                          <a14:useLocalDpi xmlns:a14="http://schemas.microsoft.com/office/drawing/2010/main"/>
                        </a:ext>
                      </a:extLst>
                    </a:blip>
                    <a:srcRect/>
                    <a:stretch/>
                  </pic:blipFill>
                  <pic:spPr bwMode="auto">
                    <a:xfrm>
                      <a:off x="0" y="0"/>
                      <a:ext cx="5692312" cy="3102038"/>
                    </a:xfrm>
                    <a:prstGeom prst="rect">
                      <a:avLst/>
                    </a:prstGeom>
                    <a:no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Pr>
          <w:noProof/>
        </w:rPr>
        <w:drawing>
          <wp:inline distT="0" distB="0" distL="0" distR="0" wp14:anchorId="2806D459" wp14:editId="290D2915">
            <wp:extent cx="5649511" cy="2977117"/>
            <wp:effectExtent l="0" t="0" r="8890" b="0"/>
            <wp:docPr id="1024" name="Picture 1024"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hart&#10;&#10;Description automatically generated with medium confidence"/>
                    <pic:cNvPicPr>
                      <a:picLocks noChangeAspect="1" noChangeArrowheads="1"/>
                    </pic:cNvPicPr>
                  </pic:nvPicPr>
                  <pic:blipFill rotWithShape="1">
                    <a:blip r:embed="rId76" cstate="email">
                      <a:extLst>
                        <a:ext uri="{28A0092B-C50C-407E-A947-70E740481C1C}">
                          <a14:useLocalDpi xmlns:a14="http://schemas.microsoft.com/office/drawing/2010/main"/>
                        </a:ext>
                      </a:extLst>
                    </a:blip>
                    <a:srcRect/>
                    <a:stretch/>
                  </pic:blipFill>
                  <pic:spPr bwMode="auto">
                    <a:xfrm>
                      <a:off x="0" y="0"/>
                      <a:ext cx="5690313" cy="2998618"/>
                    </a:xfrm>
                    <a:prstGeom prst="rect">
                      <a:avLst/>
                    </a:prstGeom>
                    <a:no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Pr="00585EB3">
        <w:t xml:space="preserve"> </w:t>
      </w:r>
    </w:p>
    <w:p w14:paraId="0F89CCC4" w14:textId="4CEDF4E1" w:rsidR="007117DA" w:rsidRDefault="007117DA" w:rsidP="007117DA">
      <w:pPr>
        <w:pStyle w:val="Caption"/>
      </w:pPr>
      <w:bookmarkStart w:id="162" w:name="_Ref63680251"/>
      <w:bookmarkStart w:id="163" w:name="_Toc69387692"/>
      <w:r>
        <w:t xml:space="preserve">Figure </w:t>
      </w:r>
      <w:r w:rsidR="006C38E9">
        <w:fldChar w:fldCharType="begin"/>
      </w:r>
      <w:r w:rsidR="006C38E9">
        <w:instrText xml:space="preserve"> SEQ Figure \* ARABIC </w:instrText>
      </w:r>
      <w:r w:rsidR="006C38E9">
        <w:fldChar w:fldCharType="separate"/>
      </w:r>
      <w:r w:rsidR="00996426">
        <w:rPr>
          <w:noProof/>
        </w:rPr>
        <w:t>28</w:t>
      </w:r>
      <w:r w:rsidR="006C38E9">
        <w:rPr>
          <w:noProof/>
        </w:rPr>
        <w:fldChar w:fldCharType="end"/>
      </w:r>
      <w:bookmarkEnd w:id="162"/>
      <w:r>
        <w:t xml:space="preserve">. Comparison of measured and simulated salinity along the length of the Coorong lagoon, moving from the Murray Mouth into the South Lagoon. </w:t>
      </w:r>
      <w:r w:rsidR="009A6EC9" w:rsidRPr="009A6EC9">
        <w:t xml:space="preserve">Model simulations for the “All water” (base-case observed conditions), and the no environmental water scenarios (“no eWater” and “no eWater 3yrs”) </w:t>
      </w:r>
      <w:r>
        <w:t>are shown for March (top) and June 2020 (bottom).</w:t>
      </w:r>
      <w:bookmarkEnd w:id="163"/>
    </w:p>
    <w:p w14:paraId="5E60D2EB" w14:textId="59DEC25D" w:rsidR="007117DA" w:rsidRDefault="007117DA" w:rsidP="007117DA">
      <w:r>
        <w:t>Further to the South at Parnka Point there are much higher flux rates as the salt concentrations are higher and so the rate of salt movement is higher (Figure D</w:t>
      </w:r>
      <w:r w:rsidR="00223F88">
        <w:t>5</w:t>
      </w:r>
      <w:r>
        <w:t>d</w:t>
      </w:r>
      <w:r w:rsidR="005E53ED">
        <w:t>, Appendix D</w:t>
      </w:r>
      <w:r>
        <w:t>). This is evident in the cumulative flux of salt at Parnka Point which is considerable higher in both the northward and southward vectors (</w:t>
      </w:r>
      <w:r w:rsidR="00940312">
        <w:fldChar w:fldCharType="begin"/>
      </w:r>
      <w:r w:rsidR="00940312">
        <w:instrText xml:space="preserve"> REF _Ref63345840 \h </w:instrText>
      </w:r>
      <w:r w:rsidR="00940312">
        <w:fldChar w:fldCharType="separate"/>
      </w:r>
      <w:r w:rsidR="00940312">
        <w:t xml:space="preserve">Figure </w:t>
      </w:r>
      <w:r w:rsidR="00940312">
        <w:rPr>
          <w:noProof/>
        </w:rPr>
        <w:t>29</w:t>
      </w:r>
      <w:r w:rsidR="00940312">
        <w:fldChar w:fldCharType="end"/>
      </w:r>
      <w:r>
        <w:t>) than salt flux at Long Point.</w:t>
      </w:r>
    </w:p>
    <w:p w14:paraId="438879B5" w14:textId="040A246B" w:rsidR="007117DA" w:rsidRDefault="007117DA" w:rsidP="007117DA">
      <w:r>
        <w:t>Without environmental water delivered, river flow over the barrages would only have occurred in 2017-18 not in 2018-19 or 2019-20. The flow would have only transported ~40% of salt from the river catchment (Figure D</w:t>
      </w:r>
      <w:r w:rsidR="00223F88">
        <w:t>6</w:t>
      </w:r>
      <w:r>
        <w:t>a, Appendix D) that would be exported with additional Commonwealth environmental water. Due to the low unregulated flow over the barrages in 2017-18 and no flow in subsequent years, there was considerably more salt imported from the ocean into the Murray Mouth region, resulting in greater southward salt flux (Figure D</w:t>
      </w:r>
      <w:r w:rsidR="00223F88">
        <w:t>6</w:t>
      </w:r>
      <w:r w:rsidR="005E53ED">
        <w:t>, Appendix D</w:t>
      </w:r>
      <w:r>
        <w:t>). Without environmental water the cumulative southward salt flux in 2019-20</w:t>
      </w:r>
      <w:r w:rsidR="00CF2251">
        <w:t xml:space="preserve"> (</w:t>
      </w:r>
      <w:r w:rsidR="00CF2251">
        <w:fldChar w:fldCharType="begin"/>
      </w:r>
      <w:r w:rsidR="00CF2251">
        <w:instrText xml:space="preserve"> REF _Ref63345840 \h </w:instrText>
      </w:r>
      <w:r w:rsidR="00CF2251">
        <w:fldChar w:fldCharType="separate"/>
      </w:r>
      <w:r w:rsidR="00CF2251">
        <w:t xml:space="preserve">Figure </w:t>
      </w:r>
      <w:r w:rsidR="00CF2251">
        <w:rPr>
          <w:noProof/>
        </w:rPr>
        <w:t>29</w:t>
      </w:r>
      <w:r w:rsidR="00CF2251">
        <w:fldChar w:fldCharType="end"/>
      </w:r>
      <w:r w:rsidR="00CF2251">
        <w:t>)</w:t>
      </w:r>
      <w:r>
        <w:t xml:space="preserve"> would be three times greater than with environmental water (</w:t>
      </w:r>
      <w:r w:rsidR="00940312">
        <w:fldChar w:fldCharType="begin"/>
      </w:r>
      <w:r w:rsidR="00940312">
        <w:instrText xml:space="preserve"> REF _Ref63345840 \h </w:instrText>
      </w:r>
      <w:r w:rsidR="00940312">
        <w:fldChar w:fldCharType="separate"/>
      </w:r>
      <w:r w:rsidR="00CF2251">
        <w:t xml:space="preserve">Figure </w:t>
      </w:r>
      <w:r w:rsidR="00CF2251">
        <w:rPr>
          <w:noProof/>
        </w:rPr>
        <w:t>29</w:t>
      </w:r>
      <w:r w:rsidR="00940312">
        <w:fldChar w:fldCharType="end"/>
      </w:r>
      <w:r>
        <w:t>). Environmental water reduced the salt load to the South Lagoon, measured as salt flux southward at Parnka Point, by over 3.244 million tonnes over the three-year period between July 2017 and July 2020.</w:t>
      </w:r>
    </w:p>
    <w:p w14:paraId="65B1E3A7" w14:textId="195FC1C2" w:rsidR="007117DA" w:rsidRDefault="007117DA" w:rsidP="007117DA">
      <w:bookmarkStart w:id="164" w:name="_Hlk64577972"/>
      <w:r>
        <w:t xml:space="preserve">Environmental water is required in every year to reduce excess salt accumulation in the Coorong. For </w:t>
      </w:r>
      <w:r w:rsidR="00667AE1">
        <w:t xml:space="preserve">the </w:t>
      </w:r>
      <w:r w:rsidR="005D1D3E">
        <w:t>‘no eWater 3yrs’ s</w:t>
      </w:r>
      <w:r>
        <w:t>cenario when assuming environmental water was delivered in the first two years (2017-18 and 2018-19) but not in 2019-20, salt seems to have accumulated at a slower rate but at the end of the simulation period, the net accumulated flux is still more than twice what would have occurred had environmental flows been delivered in 2019-20 (</w:t>
      </w:r>
      <w:r w:rsidR="00940312">
        <w:fldChar w:fldCharType="begin"/>
      </w:r>
      <w:r w:rsidR="00940312">
        <w:instrText xml:space="preserve"> REF _Ref63345840 \h </w:instrText>
      </w:r>
      <w:r w:rsidR="00940312">
        <w:fldChar w:fldCharType="separate"/>
      </w:r>
      <w:r w:rsidR="00CF2251">
        <w:t xml:space="preserve">Figure </w:t>
      </w:r>
      <w:r w:rsidR="00CF2251">
        <w:rPr>
          <w:noProof/>
        </w:rPr>
        <w:t>29</w:t>
      </w:r>
      <w:r w:rsidR="00940312">
        <w:fldChar w:fldCharType="end"/>
      </w:r>
      <w:r>
        <w:t>).</w:t>
      </w:r>
    </w:p>
    <w:bookmarkEnd w:id="164"/>
    <w:p w14:paraId="747761C5" w14:textId="14EB0022" w:rsidR="007117DA" w:rsidRDefault="007117DA" w:rsidP="007117DA">
      <w:r>
        <w:t>Monthly salt exports with and without environmental water delivery for July 2017–July 2020 show how seasonally dynamic salt export was in the Coorong (Figure D</w:t>
      </w:r>
      <w:r w:rsidR="00223F88">
        <w:t>8</w:t>
      </w:r>
      <w:r>
        <w:t xml:space="preserve">, Appendix D). </w:t>
      </w:r>
      <w:r>
        <w:fldChar w:fldCharType="begin"/>
      </w:r>
      <w:r>
        <w:instrText xml:space="preserve"> REF _Ref63345840 \h </w:instrText>
      </w:r>
      <w:r>
        <w:fldChar w:fldCharType="separate"/>
      </w:r>
      <w:r w:rsidR="00CF2251">
        <w:t xml:space="preserve">Figure </w:t>
      </w:r>
      <w:r w:rsidR="00CF2251">
        <w:rPr>
          <w:noProof/>
        </w:rPr>
        <w:t>29</w:t>
      </w:r>
      <w:r>
        <w:fldChar w:fldCharType="end"/>
      </w:r>
      <w:r>
        <w:t xml:space="preserve"> shows the cumulative net southward amount of salt mass into the North and South lagoons of the Coorong. Environmental water delivery maintained this flux to be close to zero over the period of interest.</w:t>
      </w:r>
    </w:p>
    <w:p w14:paraId="1591B947" w14:textId="77777777" w:rsidR="007117DA" w:rsidRDefault="007117DA" w:rsidP="007117DA">
      <w:pPr>
        <w:jc w:val="center"/>
        <w:rPr>
          <w:i/>
          <w:u w:val="single"/>
        </w:rPr>
      </w:pPr>
      <w:r>
        <w:rPr>
          <w:noProof/>
          <w:lang w:val="en-US"/>
        </w:rPr>
        <mc:AlternateContent>
          <mc:Choice Requires="wps">
            <w:drawing>
              <wp:anchor distT="0" distB="0" distL="114300" distR="114300" simplePos="0" relativeHeight="251668485" behindDoc="0" locked="0" layoutInCell="1" allowOverlap="1" wp14:anchorId="78EDE0CB" wp14:editId="3F764335">
                <wp:simplePos x="0" y="0"/>
                <wp:positionH relativeFrom="column">
                  <wp:posOffset>2987749</wp:posOffset>
                </wp:positionH>
                <wp:positionV relativeFrom="paragraph">
                  <wp:posOffset>289000</wp:posOffset>
                </wp:positionV>
                <wp:extent cx="1084521" cy="487810"/>
                <wp:effectExtent l="0" t="0" r="0" b="7620"/>
                <wp:wrapNone/>
                <wp:docPr id="126" name="Text Box 126"/>
                <wp:cNvGraphicFramePr/>
                <a:graphic xmlns:a="http://schemas.openxmlformats.org/drawingml/2006/main">
                  <a:graphicData uri="http://schemas.microsoft.com/office/word/2010/wordprocessingShape">
                    <wps:wsp>
                      <wps:cNvSpPr txBox="1"/>
                      <wps:spPr>
                        <a:xfrm>
                          <a:off x="0" y="0"/>
                          <a:ext cx="1084521" cy="487810"/>
                        </a:xfrm>
                        <a:prstGeom prst="rect">
                          <a:avLst/>
                        </a:prstGeom>
                        <a:noFill/>
                        <a:ln w="6350">
                          <a:noFill/>
                        </a:ln>
                      </wps:spPr>
                      <wps:txbx>
                        <w:txbxContent>
                          <w:p w14:paraId="5DD9D5F0" w14:textId="77777777" w:rsidR="00A24026" w:rsidRPr="00CE2E59" w:rsidRDefault="00A24026" w:rsidP="007117DA">
                            <w:pPr>
                              <w:spacing w:before="0" w:after="0" w:line="240" w:lineRule="auto"/>
                              <w:rPr>
                                <w:rFonts w:asciiTheme="majorHAnsi" w:hAnsiTheme="majorHAnsi" w:cstheme="majorHAnsi"/>
                                <w:sz w:val="18"/>
                                <w:szCs w:val="16"/>
                              </w:rPr>
                            </w:pPr>
                            <w:r w:rsidRPr="00CE2E59">
                              <w:rPr>
                                <w:rFonts w:asciiTheme="majorHAnsi" w:hAnsiTheme="majorHAnsi" w:cstheme="majorHAnsi"/>
                                <w:sz w:val="18"/>
                                <w:szCs w:val="16"/>
                              </w:rPr>
                              <w:t>All water</w:t>
                            </w:r>
                          </w:p>
                          <w:p w14:paraId="08F14AAE" w14:textId="77777777" w:rsidR="00A24026" w:rsidRDefault="00A24026" w:rsidP="007117DA">
                            <w:pPr>
                              <w:spacing w:before="0" w:after="0" w:line="240" w:lineRule="auto"/>
                              <w:rPr>
                                <w:rFonts w:asciiTheme="majorHAnsi" w:hAnsiTheme="majorHAnsi" w:cstheme="majorHAnsi"/>
                                <w:sz w:val="18"/>
                                <w:szCs w:val="16"/>
                              </w:rPr>
                            </w:pPr>
                            <w:r w:rsidRPr="00CE2E59">
                              <w:rPr>
                                <w:rFonts w:asciiTheme="majorHAnsi" w:hAnsiTheme="majorHAnsi" w:cstheme="majorHAnsi"/>
                                <w:sz w:val="18"/>
                                <w:szCs w:val="16"/>
                              </w:rPr>
                              <w:t>No eWater 3yrs</w:t>
                            </w:r>
                          </w:p>
                          <w:p w14:paraId="2BCABDAB" w14:textId="77777777" w:rsidR="00A24026" w:rsidRPr="00795CB5" w:rsidRDefault="00A24026" w:rsidP="007117DA">
                            <w:pPr>
                              <w:spacing w:before="0" w:after="0" w:line="240" w:lineRule="auto"/>
                              <w:rPr>
                                <w:rFonts w:asciiTheme="majorHAnsi" w:hAnsiTheme="majorHAnsi" w:cstheme="majorHAnsi"/>
                                <w:sz w:val="18"/>
                                <w:szCs w:val="16"/>
                              </w:rPr>
                            </w:pPr>
                            <w:r w:rsidRPr="00795CB5">
                              <w:rPr>
                                <w:rFonts w:asciiTheme="majorHAnsi" w:hAnsiTheme="majorHAnsi" w:cstheme="majorHAnsi"/>
                                <w:sz w:val="18"/>
                                <w:szCs w:val="16"/>
                              </w:rPr>
                              <w:t>No eWater</w:t>
                            </w:r>
                          </w:p>
                          <w:p w14:paraId="1BDB1567" w14:textId="77777777" w:rsidR="00A24026" w:rsidRPr="00CE2E59" w:rsidRDefault="00A24026" w:rsidP="007117DA">
                            <w:pPr>
                              <w:spacing w:before="0" w:after="0" w:line="240" w:lineRule="auto"/>
                              <w:rPr>
                                <w:rFonts w:asciiTheme="majorHAnsi" w:hAnsiTheme="majorHAnsi" w:cstheme="majorHAnsi"/>
                                <w:sz w:val="18"/>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EDE0CB" id="Text Box 126" o:spid="_x0000_s1036" type="#_x0000_t202" style="position:absolute;left:0;text-align:left;margin-left:235.25pt;margin-top:22.75pt;width:85.4pt;height:38.4pt;z-index:2516684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7htLwIAAF0EAAAOAAAAZHJzL2Uyb0RvYy54bWysVEuP2jAQvlfqf7B8LwkUWBoRVnRXVJVW&#10;uytBtWfj2CSS7XFtQ0J/fccOL217qnpxxvOe7xtnft9pRQ7C+QZMSYeDnBJhOFSN2ZX0x2b1aUaJ&#10;D8xUTIERJT0KT+8XHz/MW1uIEdSgKuEIJjG+aG1J6xBskWWe10IzPwArDBolOM0CXt0uqxxrMbtW&#10;2SjPp1kLrrIOuPAetY+9kS5SfikFDy9SehGIKin2FtLp0rmNZ7aYs2LnmK0bfmqD/UMXmjUGi15S&#10;PbLAyN41f6TSDXfgQYYBB52BlA0XaQacZpi/m2ZdMyvSLAiOtxeY/P9Ly58Pr440FXI3mlJimEaS&#10;NqIL5Ct0JOoQodb6Ah3XFl1Dhwb0Pus9KuPgnXQ6fnEkgnbE+njBN6bjMSifjSejISUcbePZ3WyY&#10;CMiu0db58E2AJlEoqUP+Eqzs8OQDdoKuZ5dYzMCqUSpxqAxpSzr9PMlTwMWCEcpgYJyh7zVKodt2&#10;/dSpg6jaQnXE+Rz0O+ItXzXYxBPz4ZU5XAocCRc9vOAhFWAxOEmU1OB+/U0f/ZErtFLS4pKV1P/c&#10;MycoUd8NsvhlOB7HrUyX8eRuhBd3a9neWsxePwDuMQKI3SUx+gd1FqUD/YbvYRmrookZjrVLGs7i&#10;Q+hXH98TF8tlcsI9tCw8mbXlMXWENUK86d6YsyceAjL4DOd1ZMU7OnrfnpDlPoBsEldXVE/44w4n&#10;Ck/vLT6S23vyuv4VFr8BAAD//wMAUEsDBBQABgAIAAAAIQDjMSkJ4QAAAAoBAAAPAAAAZHJzL2Rv&#10;d25yZXYueG1sTI/BbsIwDIbvk/YOkSftNlIKZag0RagSmjRtBxiX3dLWtBWJ0zUBuj39vBM72ZY/&#10;/f6crUdrxAUH3zlSMJ1EIJAqV3fUKDh8bJ+WIHzQVGvjCBV8o4d1fn+X6bR2V9rhZR8awSHkU62g&#10;DaFPpfRVi1b7ieuReHd0g9WBx6GR9aCvHG6NjKNoIa3uiC+0useixeq0P1sFr8X2Xe/K2C5/TPHy&#10;dtz0X4fPRKnHh3GzAhFwDDcY/vRZHXJ2Kt2Zai+MgvlzlDDKTcKVgcV8OgNRMhnHM5B5Jv+/kP8C&#10;AAD//wMAUEsBAi0AFAAGAAgAAAAhALaDOJL+AAAA4QEAABMAAAAAAAAAAAAAAAAAAAAAAFtDb250&#10;ZW50X1R5cGVzXS54bWxQSwECLQAUAAYACAAAACEAOP0h/9YAAACUAQAACwAAAAAAAAAAAAAAAAAv&#10;AQAAX3JlbHMvLnJlbHNQSwECLQAUAAYACAAAACEAQy+4bS8CAABdBAAADgAAAAAAAAAAAAAAAAAu&#10;AgAAZHJzL2Uyb0RvYy54bWxQSwECLQAUAAYACAAAACEA4zEpCeEAAAAKAQAADwAAAAAAAAAAAAAA&#10;AACJBAAAZHJzL2Rvd25yZXYueG1sUEsFBgAAAAAEAAQA8wAAAJcFAAAAAA==&#10;" filled="f" stroked="f" strokeweight=".5pt">
                <v:textbox>
                  <w:txbxContent>
                    <w:p w14:paraId="5DD9D5F0" w14:textId="77777777" w:rsidR="00A24026" w:rsidRPr="00CE2E59" w:rsidRDefault="00A24026" w:rsidP="007117DA">
                      <w:pPr>
                        <w:spacing w:before="0" w:after="0" w:line="240" w:lineRule="auto"/>
                        <w:rPr>
                          <w:rFonts w:asciiTheme="majorHAnsi" w:hAnsiTheme="majorHAnsi" w:cstheme="majorHAnsi"/>
                          <w:sz w:val="18"/>
                          <w:szCs w:val="16"/>
                        </w:rPr>
                      </w:pPr>
                      <w:r w:rsidRPr="00CE2E59">
                        <w:rPr>
                          <w:rFonts w:asciiTheme="majorHAnsi" w:hAnsiTheme="majorHAnsi" w:cstheme="majorHAnsi"/>
                          <w:sz w:val="18"/>
                          <w:szCs w:val="16"/>
                        </w:rPr>
                        <w:t>All water</w:t>
                      </w:r>
                    </w:p>
                    <w:p w14:paraId="08F14AAE" w14:textId="77777777" w:rsidR="00A24026" w:rsidRDefault="00A24026" w:rsidP="007117DA">
                      <w:pPr>
                        <w:spacing w:before="0" w:after="0" w:line="240" w:lineRule="auto"/>
                        <w:rPr>
                          <w:rFonts w:asciiTheme="majorHAnsi" w:hAnsiTheme="majorHAnsi" w:cstheme="majorHAnsi"/>
                          <w:sz w:val="18"/>
                          <w:szCs w:val="16"/>
                        </w:rPr>
                      </w:pPr>
                      <w:r w:rsidRPr="00CE2E59">
                        <w:rPr>
                          <w:rFonts w:asciiTheme="majorHAnsi" w:hAnsiTheme="majorHAnsi" w:cstheme="majorHAnsi"/>
                          <w:sz w:val="18"/>
                          <w:szCs w:val="16"/>
                        </w:rPr>
                        <w:t>No eWater 3yrs</w:t>
                      </w:r>
                    </w:p>
                    <w:p w14:paraId="2BCABDAB" w14:textId="77777777" w:rsidR="00A24026" w:rsidRPr="00795CB5" w:rsidRDefault="00A24026" w:rsidP="007117DA">
                      <w:pPr>
                        <w:spacing w:before="0" w:after="0" w:line="240" w:lineRule="auto"/>
                        <w:rPr>
                          <w:rFonts w:asciiTheme="majorHAnsi" w:hAnsiTheme="majorHAnsi" w:cstheme="majorHAnsi"/>
                          <w:sz w:val="18"/>
                          <w:szCs w:val="16"/>
                        </w:rPr>
                      </w:pPr>
                      <w:r w:rsidRPr="00795CB5">
                        <w:rPr>
                          <w:rFonts w:asciiTheme="majorHAnsi" w:hAnsiTheme="majorHAnsi" w:cstheme="majorHAnsi"/>
                          <w:sz w:val="18"/>
                          <w:szCs w:val="16"/>
                        </w:rPr>
                        <w:t>No eWater</w:t>
                      </w:r>
                    </w:p>
                    <w:p w14:paraId="1BDB1567" w14:textId="77777777" w:rsidR="00A24026" w:rsidRPr="00CE2E59" w:rsidRDefault="00A24026" w:rsidP="007117DA">
                      <w:pPr>
                        <w:spacing w:before="0" w:after="0" w:line="240" w:lineRule="auto"/>
                        <w:rPr>
                          <w:rFonts w:asciiTheme="majorHAnsi" w:hAnsiTheme="majorHAnsi" w:cstheme="majorHAnsi"/>
                          <w:sz w:val="18"/>
                          <w:szCs w:val="16"/>
                        </w:rPr>
                      </w:pPr>
                    </w:p>
                  </w:txbxContent>
                </v:textbox>
              </v:shape>
            </w:pict>
          </mc:Fallback>
        </mc:AlternateContent>
      </w:r>
      <w:r w:rsidRPr="0023685A">
        <w:rPr>
          <w:noProof/>
          <w:lang w:val="en-US"/>
        </w:rPr>
        <w:drawing>
          <wp:inline distT="0" distB="0" distL="0" distR="0" wp14:anchorId="1C574287" wp14:editId="7234B406">
            <wp:extent cx="4455042" cy="3878116"/>
            <wp:effectExtent l="0" t="0" r="3175" b="825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7" cstate="email">
                      <a:extLst>
                        <a:ext uri="{28A0092B-C50C-407E-A947-70E740481C1C}">
                          <a14:useLocalDpi xmlns:a14="http://schemas.microsoft.com/office/drawing/2010/main"/>
                        </a:ext>
                      </a:extLst>
                    </a:blip>
                    <a:srcRect b="3583"/>
                    <a:stretch/>
                  </pic:blipFill>
                  <pic:spPr bwMode="auto">
                    <a:xfrm>
                      <a:off x="0" y="0"/>
                      <a:ext cx="4487640" cy="3906492"/>
                    </a:xfrm>
                    <a:prstGeom prst="rect">
                      <a:avLst/>
                    </a:prstGeom>
                    <a:noFill/>
                    <a:ln>
                      <a:noFill/>
                    </a:ln>
                    <a:extLst>
                      <a:ext uri="{53640926-AAD7-44D8-BBD7-CCE9431645EC}">
                        <a14:shadowObscured xmlns:a14="http://schemas.microsoft.com/office/drawing/2010/main"/>
                      </a:ext>
                    </a:extLst>
                  </pic:spPr>
                </pic:pic>
              </a:graphicData>
            </a:graphic>
          </wp:inline>
        </w:drawing>
      </w:r>
    </w:p>
    <w:p w14:paraId="127D8EBF" w14:textId="2127B613" w:rsidR="007117DA" w:rsidRDefault="007117DA" w:rsidP="007117DA">
      <w:pPr>
        <w:pStyle w:val="Caption"/>
      </w:pPr>
      <w:bookmarkStart w:id="165" w:name="_Ref63345840"/>
      <w:bookmarkStart w:id="166" w:name="_Toc69387693"/>
      <w:r>
        <w:t xml:space="preserve">Figure </w:t>
      </w:r>
      <w:r w:rsidR="006C38E9">
        <w:fldChar w:fldCharType="begin"/>
      </w:r>
      <w:r w:rsidR="006C38E9">
        <w:instrText xml:space="preserve"> SEQ Figure \* ARABIC </w:instrText>
      </w:r>
      <w:r w:rsidR="006C38E9">
        <w:fldChar w:fldCharType="separate"/>
      </w:r>
      <w:r w:rsidR="00996426">
        <w:rPr>
          <w:noProof/>
        </w:rPr>
        <w:t>29</w:t>
      </w:r>
      <w:r w:rsidR="006C38E9">
        <w:rPr>
          <w:noProof/>
        </w:rPr>
        <w:fldChar w:fldCharType="end"/>
      </w:r>
      <w:bookmarkEnd w:id="165"/>
      <w:r>
        <w:t xml:space="preserve">. Cumulative net southward amount of salt mass into the North Lagoon (through Long Point) and South Lagoon (through Parnka Point) in the Coorong from July 2017–June 2020. Scenarios include with “All water”, without environmental water (“no </w:t>
      </w:r>
      <w:proofErr w:type="spellStart"/>
      <w:r>
        <w:t>eWater</w:t>
      </w:r>
      <w:proofErr w:type="spellEnd"/>
      <w:r>
        <w:t xml:space="preserve"> 3 </w:t>
      </w:r>
      <w:proofErr w:type="spellStart"/>
      <w:r>
        <w:t>yrs</w:t>
      </w:r>
      <w:proofErr w:type="spellEnd"/>
      <w:r>
        <w:t>”) and without any environmental water in 2019-20 (“no eWater”). eWater delivery maintained this flux to be close to zero over the period of interest; even one year of no environmental water over the barrages contributes to salt accumulation in the North and South Lagoon. Note that only CEW water contributed to the eWater entering the Coorong (see Appendix D for barrage flow amounts).</w:t>
      </w:r>
      <w:bookmarkEnd w:id="166"/>
    </w:p>
    <w:p w14:paraId="42854671" w14:textId="77777777" w:rsidR="007117DA" w:rsidRDefault="007117DA" w:rsidP="007117DA">
      <w:pPr>
        <w:rPr>
          <w:i/>
          <w:u w:val="single"/>
        </w:rPr>
      </w:pPr>
      <w:r>
        <w:rPr>
          <w:i/>
          <w:u w:val="single"/>
        </w:rPr>
        <w:t>Nutrients</w:t>
      </w:r>
    </w:p>
    <w:p w14:paraId="0DEC37CB" w14:textId="6E0CDF68" w:rsidR="007117DA" w:rsidRDefault="007117DA" w:rsidP="007117DA">
      <w:r>
        <w:t>In 2019-20, the total nitrogen (TN) export was 1,411 tonnes and total phosphorus (TP) export was 139 tonnes (</w:t>
      </w:r>
      <w:r>
        <w:fldChar w:fldCharType="begin"/>
      </w:r>
      <w:r>
        <w:instrText xml:space="preserve"> REF _Ref63949273 \h </w:instrText>
      </w:r>
      <w:r>
        <w:fldChar w:fldCharType="separate"/>
      </w:r>
      <w:r w:rsidR="006045CA">
        <w:t xml:space="preserve">Table </w:t>
      </w:r>
      <w:r w:rsidR="006045CA">
        <w:rPr>
          <w:noProof/>
        </w:rPr>
        <w:t>6</w:t>
      </w:r>
      <w:r>
        <w:fldChar w:fldCharType="end"/>
      </w:r>
      <w:r>
        <w:t xml:space="preserve">). Commonwealth environmental water contributed to 100% of barrage flows during this year, and therefore 100% of the export of particulate organic nutrients. </w:t>
      </w:r>
    </w:p>
    <w:p w14:paraId="3A2518F3" w14:textId="7BB67B9C" w:rsidR="007117DA" w:rsidRDefault="007117DA" w:rsidP="007117DA">
      <w:bookmarkStart w:id="167" w:name="_Hlk64587060"/>
      <w:r>
        <w:t xml:space="preserve">Three-year model runs for three flow </w:t>
      </w:r>
      <w:r w:rsidR="00B739A5">
        <w:t xml:space="preserve">scenarios indicated that </w:t>
      </w:r>
      <w:r>
        <w:t>with</w:t>
      </w:r>
      <w:r w:rsidR="00A90A24">
        <w:t>out any environmental water</w:t>
      </w:r>
      <w:r>
        <w:t xml:space="preserve"> </w:t>
      </w:r>
      <w:r w:rsidR="00A90A24">
        <w:t>(</w:t>
      </w:r>
      <w:r>
        <w:t>no e</w:t>
      </w:r>
      <w:r w:rsidR="00A90A24">
        <w:t>W</w:t>
      </w:r>
      <w:r>
        <w:t>ater</w:t>
      </w:r>
      <w:r w:rsidR="00A90A24">
        <w:t xml:space="preserve"> 3yrs)</w:t>
      </w:r>
      <w:r>
        <w:t xml:space="preserve"> and </w:t>
      </w:r>
      <w:r w:rsidR="00A90A24">
        <w:t>without environmental water only in 2019-20</w:t>
      </w:r>
      <w:r>
        <w:t xml:space="preserve"> (</w:t>
      </w:r>
      <w:r w:rsidR="00A90A24">
        <w:t>no eWater</w:t>
      </w:r>
      <w:r>
        <w:t>)</w:t>
      </w:r>
      <w:r w:rsidR="00A90A24">
        <w:t>,</w:t>
      </w:r>
      <w:r>
        <w:t xml:space="preserve"> there was less nitrogen transported to the Coorong than in the base-case </w:t>
      </w:r>
      <w:r w:rsidR="00A90A24">
        <w:t xml:space="preserve">(All water) </w:t>
      </w:r>
      <w:r>
        <w:t>which had environmental water delivery in each year (</w:t>
      </w:r>
      <w:r>
        <w:fldChar w:fldCharType="begin"/>
      </w:r>
      <w:r>
        <w:instrText xml:space="preserve"> REF _Ref63644202 \h </w:instrText>
      </w:r>
      <w:r>
        <w:fldChar w:fldCharType="separate"/>
      </w:r>
      <w:r w:rsidR="00CF2251">
        <w:t xml:space="preserve">Figure </w:t>
      </w:r>
      <w:r w:rsidR="00CF2251">
        <w:rPr>
          <w:noProof/>
        </w:rPr>
        <w:t>30</w:t>
      </w:r>
      <w:r>
        <w:fldChar w:fldCharType="end"/>
      </w:r>
      <w:r>
        <w:t xml:space="preserve">). However, environmental water showed negligible effect on nitrogen transport to the South Lagoon. </w:t>
      </w:r>
    </w:p>
    <w:p w14:paraId="064CF345" w14:textId="77E295C1" w:rsidR="007117DA" w:rsidRDefault="007117DA" w:rsidP="007117DA">
      <w:pPr>
        <w:spacing w:before="0" w:after="160" w:line="259" w:lineRule="auto"/>
        <w:jc w:val="left"/>
        <w:rPr>
          <w:b/>
          <w:bCs/>
          <w:color w:val="auto"/>
          <w:sz w:val="20"/>
          <w:szCs w:val="18"/>
        </w:rPr>
      </w:pPr>
      <w:bookmarkStart w:id="168" w:name="_Ref63435272"/>
      <w:bookmarkEnd w:id="167"/>
    </w:p>
    <w:p w14:paraId="511D58F6" w14:textId="19362309" w:rsidR="007117DA" w:rsidRDefault="007117DA" w:rsidP="007117DA">
      <w:pPr>
        <w:pStyle w:val="Caption"/>
      </w:pPr>
      <w:bookmarkStart w:id="169" w:name="_Ref63949273"/>
      <w:bookmarkStart w:id="170" w:name="_Toc69387735"/>
      <w:r>
        <w:t xml:space="preserve">Table </w:t>
      </w:r>
      <w:r w:rsidR="006C38E9">
        <w:fldChar w:fldCharType="begin"/>
      </w:r>
      <w:r w:rsidR="006C38E9">
        <w:instrText xml:space="preserve"> SEQ Table \* ARABIC </w:instrText>
      </w:r>
      <w:r w:rsidR="006C38E9">
        <w:fldChar w:fldCharType="separate"/>
      </w:r>
      <w:r w:rsidR="00CE5EF5">
        <w:rPr>
          <w:noProof/>
        </w:rPr>
        <w:t>6</w:t>
      </w:r>
      <w:r w:rsidR="006C38E9">
        <w:rPr>
          <w:noProof/>
        </w:rPr>
        <w:fldChar w:fldCharType="end"/>
      </w:r>
      <w:bookmarkEnd w:id="168"/>
      <w:bookmarkEnd w:id="169"/>
      <w:r w:rsidRPr="008B485D">
        <w:t>. Total</w:t>
      </w:r>
      <w:r>
        <w:t xml:space="preserve"> loads of dissolved and particulate matter (tonnes) in 2019-20.</w:t>
      </w:r>
      <w:bookmarkEnd w:id="170"/>
    </w:p>
    <w:tbl>
      <w:tblPr>
        <w:tblW w:w="9200" w:type="dxa"/>
        <w:tblInd w:w="-180" w:type="dxa"/>
        <w:tblLook w:val="04A0" w:firstRow="1" w:lastRow="0" w:firstColumn="1" w:lastColumn="0" w:noHBand="0" w:noVBand="1"/>
      </w:tblPr>
      <w:tblGrid>
        <w:gridCol w:w="965"/>
        <w:gridCol w:w="898"/>
        <w:gridCol w:w="1119"/>
        <w:gridCol w:w="1033"/>
        <w:gridCol w:w="995"/>
        <w:gridCol w:w="1209"/>
        <w:gridCol w:w="1634"/>
        <w:gridCol w:w="1347"/>
      </w:tblGrid>
      <w:tr w:rsidR="007117DA" w:rsidRPr="00EE2ACF" w14:paraId="2C12C09D" w14:textId="77777777" w:rsidTr="00DC2C7F">
        <w:trPr>
          <w:trHeight w:val="440"/>
        </w:trPr>
        <w:tc>
          <w:tcPr>
            <w:tcW w:w="968" w:type="dxa"/>
            <w:tcBorders>
              <w:top w:val="single" w:sz="4" w:space="0" w:color="auto"/>
              <w:bottom w:val="single" w:sz="4" w:space="0" w:color="auto"/>
            </w:tcBorders>
            <w:shd w:val="clear" w:color="auto" w:fill="auto"/>
            <w:vAlign w:val="center"/>
            <w:hideMark/>
          </w:tcPr>
          <w:p w14:paraId="6DEAA65D" w14:textId="77777777" w:rsidR="007117DA" w:rsidRPr="00EE2ACF" w:rsidRDefault="007117DA" w:rsidP="00A90A24">
            <w:pPr>
              <w:spacing w:before="0" w:after="0" w:line="240" w:lineRule="auto"/>
              <w:rPr>
                <w:b/>
                <w:bCs/>
                <w:color w:val="auto"/>
                <w:kern w:val="0"/>
                <w:sz w:val="16"/>
                <w:szCs w:val="16"/>
              </w:rPr>
            </w:pPr>
            <w:r w:rsidRPr="00EE2ACF">
              <w:rPr>
                <w:b/>
                <w:bCs/>
                <w:color w:val="auto"/>
                <w:kern w:val="0"/>
                <w:sz w:val="16"/>
                <w:szCs w:val="16"/>
              </w:rPr>
              <w:t>Site</w:t>
            </w:r>
          </w:p>
        </w:tc>
        <w:tc>
          <w:tcPr>
            <w:tcW w:w="897" w:type="dxa"/>
            <w:tcBorders>
              <w:top w:val="single" w:sz="4" w:space="0" w:color="auto"/>
              <w:bottom w:val="single" w:sz="4" w:space="0" w:color="auto"/>
            </w:tcBorders>
            <w:shd w:val="clear" w:color="auto" w:fill="auto"/>
            <w:vAlign w:val="center"/>
            <w:hideMark/>
          </w:tcPr>
          <w:p w14:paraId="5DFD252F" w14:textId="77777777" w:rsidR="007117DA" w:rsidRPr="00EE2ACF" w:rsidRDefault="007117DA" w:rsidP="00A90A24">
            <w:pPr>
              <w:spacing w:before="0" w:after="0" w:line="240" w:lineRule="auto"/>
              <w:rPr>
                <w:b/>
                <w:bCs/>
                <w:color w:val="auto"/>
                <w:kern w:val="0"/>
                <w:sz w:val="16"/>
                <w:szCs w:val="16"/>
              </w:rPr>
            </w:pPr>
            <w:r w:rsidRPr="00EE2ACF">
              <w:rPr>
                <w:b/>
                <w:bCs/>
                <w:color w:val="auto"/>
                <w:kern w:val="0"/>
                <w:sz w:val="16"/>
                <w:szCs w:val="16"/>
              </w:rPr>
              <w:t>Scenario</w:t>
            </w:r>
          </w:p>
        </w:tc>
        <w:tc>
          <w:tcPr>
            <w:tcW w:w="1118" w:type="dxa"/>
            <w:tcBorders>
              <w:top w:val="single" w:sz="4" w:space="0" w:color="auto"/>
              <w:bottom w:val="single" w:sz="4" w:space="0" w:color="auto"/>
            </w:tcBorders>
            <w:shd w:val="clear" w:color="auto" w:fill="auto"/>
            <w:vAlign w:val="center"/>
            <w:hideMark/>
          </w:tcPr>
          <w:p w14:paraId="53886F63" w14:textId="77777777" w:rsidR="007117DA" w:rsidRPr="00EE2ACF" w:rsidRDefault="007117DA" w:rsidP="00A90A24">
            <w:pPr>
              <w:spacing w:before="0" w:after="0" w:line="240" w:lineRule="auto"/>
              <w:jc w:val="center"/>
              <w:rPr>
                <w:b/>
                <w:bCs/>
                <w:color w:val="auto"/>
                <w:kern w:val="0"/>
                <w:sz w:val="16"/>
                <w:szCs w:val="16"/>
              </w:rPr>
            </w:pPr>
            <w:r w:rsidRPr="00EE2ACF">
              <w:rPr>
                <w:b/>
                <w:bCs/>
                <w:color w:val="auto"/>
                <w:kern w:val="0"/>
                <w:sz w:val="16"/>
                <w:szCs w:val="16"/>
              </w:rPr>
              <w:t>Ammonium</w:t>
            </w:r>
          </w:p>
        </w:tc>
        <w:tc>
          <w:tcPr>
            <w:tcW w:w="1032" w:type="dxa"/>
            <w:tcBorders>
              <w:top w:val="single" w:sz="4" w:space="0" w:color="auto"/>
              <w:bottom w:val="single" w:sz="4" w:space="0" w:color="auto"/>
            </w:tcBorders>
            <w:shd w:val="clear" w:color="auto" w:fill="auto"/>
            <w:vAlign w:val="center"/>
            <w:hideMark/>
          </w:tcPr>
          <w:p w14:paraId="342617B6" w14:textId="77777777" w:rsidR="007117DA" w:rsidRPr="00EE2ACF" w:rsidRDefault="007117DA" w:rsidP="00A90A24">
            <w:pPr>
              <w:spacing w:before="0" w:after="0" w:line="240" w:lineRule="auto"/>
              <w:jc w:val="center"/>
              <w:rPr>
                <w:b/>
                <w:bCs/>
                <w:color w:val="auto"/>
                <w:kern w:val="0"/>
                <w:sz w:val="16"/>
                <w:szCs w:val="16"/>
              </w:rPr>
            </w:pPr>
            <w:r w:rsidRPr="00EE2ACF">
              <w:rPr>
                <w:b/>
                <w:bCs/>
                <w:color w:val="auto"/>
                <w:kern w:val="0"/>
                <w:sz w:val="16"/>
                <w:szCs w:val="16"/>
              </w:rPr>
              <w:t>Phosphate</w:t>
            </w:r>
          </w:p>
        </w:tc>
        <w:tc>
          <w:tcPr>
            <w:tcW w:w="995" w:type="dxa"/>
            <w:tcBorders>
              <w:top w:val="single" w:sz="4" w:space="0" w:color="auto"/>
              <w:bottom w:val="single" w:sz="4" w:space="0" w:color="auto"/>
            </w:tcBorders>
            <w:shd w:val="clear" w:color="auto" w:fill="auto"/>
            <w:vAlign w:val="center"/>
            <w:hideMark/>
          </w:tcPr>
          <w:p w14:paraId="3468666D" w14:textId="77777777" w:rsidR="007117DA" w:rsidRPr="00EE2ACF" w:rsidRDefault="007117DA" w:rsidP="00A90A24">
            <w:pPr>
              <w:spacing w:before="0" w:after="0" w:line="240" w:lineRule="auto"/>
              <w:jc w:val="center"/>
              <w:rPr>
                <w:b/>
                <w:bCs/>
                <w:color w:val="auto"/>
                <w:kern w:val="0"/>
                <w:sz w:val="16"/>
                <w:szCs w:val="16"/>
              </w:rPr>
            </w:pPr>
            <w:r w:rsidRPr="00EE2ACF">
              <w:rPr>
                <w:b/>
                <w:bCs/>
                <w:color w:val="auto"/>
                <w:kern w:val="0"/>
                <w:sz w:val="16"/>
                <w:szCs w:val="16"/>
              </w:rPr>
              <w:t>Silica</w:t>
            </w:r>
          </w:p>
        </w:tc>
        <w:tc>
          <w:tcPr>
            <w:tcW w:w="1209" w:type="dxa"/>
            <w:tcBorders>
              <w:top w:val="single" w:sz="4" w:space="0" w:color="auto"/>
              <w:bottom w:val="single" w:sz="4" w:space="0" w:color="auto"/>
            </w:tcBorders>
            <w:shd w:val="clear" w:color="auto" w:fill="auto"/>
            <w:vAlign w:val="center"/>
            <w:hideMark/>
          </w:tcPr>
          <w:p w14:paraId="242E3E1D" w14:textId="77777777" w:rsidR="007117DA" w:rsidRPr="00EE2ACF" w:rsidRDefault="007117DA" w:rsidP="00A90A24">
            <w:pPr>
              <w:spacing w:before="0" w:after="0" w:line="240" w:lineRule="auto"/>
              <w:jc w:val="center"/>
              <w:rPr>
                <w:b/>
                <w:bCs/>
                <w:color w:val="auto"/>
                <w:kern w:val="0"/>
                <w:sz w:val="16"/>
                <w:szCs w:val="16"/>
              </w:rPr>
            </w:pPr>
            <w:r>
              <w:rPr>
                <w:b/>
                <w:bCs/>
                <w:color w:val="auto"/>
                <w:kern w:val="0"/>
                <w:sz w:val="16"/>
                <w:szCs w:val="16"/>
              </w:rPr>
              <w:t xml:space="preserve">Total </w:t>
            </w:r>
            <w:r w:rsidRPr="00EE2ACF">
              <w:rPr>
                <w:b/>
                <w:bCs/>
                <w:color w:val="auto"/>
                <w:kern w:val="0"/>
                <w:sz w:val="16"/>
                <w:szCs w:val="16"/>
              </w:rPr>
              <w:t>nitrogen</w:t>
            </w:r>
          </w:p>
        </w:tc>
        <w:tc>
          <w:tcPr>
            <w:tcW w:w="1634" w:type="dxa"/>
            <w:tcBorders>
              <w:top w:val="single" w:sz="4" w:space="0" w:color="auto"/>
              <w:bottom w:val="single" w:sz="4" w:space="0" w:color="auto"/>
            </w:tcBorders>
            <w:shd w:val="clear" w:color="auto" w:fill="auto"/>
            <w:vAlign w:val="center"/>
            <w:hideMark/>
          </w:tcPr>
          <w:p w14:paraId="1D11A233" w14:textId="77777777" w:rsidR="007117DA" w:rsidRPr="00EE2ACF" w:rsidRDefault="007117DA" w:rsidP="00A90A24">
            <w:pPr>
              <w:spacing w:before="0" w:after="0" w:line="240" w:lineRule="auto"/>
              <w:jc w:val="center"/>
              <w:rPr>
                <w:b/>
                <w:bCs/>
                <w:color w:val="auto"/>
                <w:kern w:val="0"/>
                <w:sz w:val="16"/>
                <w:szCs w:val="16"/>
              </w:rPr>
            </w:pPr>
            <w:r>
              <w:rPr>
                <w:b/>
                <w:bCs/>
                <w:color w:val="auto"/>
                <w:kern w:val="0"/>
                <w:sz w:val="16"/>
                <w:szCs w:val="16"/>
              </w:rPr>
              <w:t>Total</w:t>
            </w:r>
            <w:r w:rsidRPr="00EE2ACF">
              <w:rPr>
                <w:b/>
                <w:bCs/>
                <w:color w:val="auto"/>
                <w:kern w:val="0"/>
                <w:sz w:val="16"/>
                <w:szCs w:val="16"/>
              </w:rPr>
              <w:t xml:space="preserve"> phosphorus</w:t>
            </w:r>
          </w:p>
        </w:tc>
        <w:tc>
          <w:tcPr>
            <w:tcW w:w="1347" w:type="dxa"/>
            <w:tcBorders>
              <w:top w:val="single" w:sz="4" w:space="0" w:color="auto"/>
              <w:bottom w:val="single" w:sz="4" w:space="0" w:color="auto"/>
            </w:tcBorders>
            <w:shd w:val="clear" w:color="auto" w:fill="auto"/>
            <w:vAlign w:val="center"/>
            <w:hideMark/>
          </w:tcPr>
          <w:p w14:paraId="488832D4" w14:textId="77777777" w:rsidR="007117DA" w:rsidRPr="00EE2ACF" w:rsidRDefault="007117DA" w:rsidP="00A90A24">
            <w:pPr>
              <w:spacing w:before="0" w:after="0" w:line="240" w:lineRule="auto"/>
              <w:jc w:val="center"/>
              <w:rPr>
                <w:b/>
                <w:bCs/>
                <w:color w:val="auto"/>
                <w:kern w:val="0"/>
                <w:sz w:val="16"/>
                <w:szCs w:val="16"/>
              </w:rPr>
            </w:pPr>
            <w:r w:rsidRPr="00EE2ACF">
              <w:rPr>
                <w:b/>
                <w:bCs/>
                <w:color w:val="auto"/>
                <w:kern w:val="0"/>
                <w:sz w:val="16"/>
                <w:szCs w:val="16"/>
              </w:rPr>
              <w:t xml:space="preserve">Chlorophyll </w:t>
            </w:r>
            <w:r w:rsidRPr="00EE2ACF">
              <w:rPr>
                <w:b/>
                <w:bCs/>
                <w:i/>
                <w:iCs/>
                <w:color w:val="auto"/>
                <w:kern w:val="0"/>
                <w:sz w:val="16"/>
                <w:szCs w:val="16"/>
              </w:rPr>
              <w:t>a</w:t>
            </w:r>
          </w:p>
        </w:tc>
      </w:tr>
      <w:tr w:rsidR="007117DA" w:rsidRPr="00EE2ACF" w14:paraId="6909FD34" w14:textId="77777777" w:rsidTr="00DC2C7F">
        <w:trPr>
          <w:trHeight w:val="440"/>
        </w:trPr>
        <w:tc>
          <w:tcPr>
            <w:tcW w:w="968" w:type="dxa"/>
            <w:vMerge w:val="restart"/>
            <w:tcBorders>
              <w:top w:val="single" w:sz="4" w:space="0" w:color="auto"/>
              <w:bottom w:val="single" w:sz="4" w:space="0" w:color="auto"/>
            </w:tcBorders>
            <w:shd w:val="clear" w:color="auto" w:fill="auto"/>
            <w:vAlign w:val="center"/>
            <w:hideMark/>
          </w:tcPr>
          <w:p w14:paraId="66741974" w14:textId="77777777" w:rsidR="007117DA" w:rsidRPr="00EE2ACF" w:rsidRDefault="007117DA" w:rsidP="00A90A24">
            <w:pPr>
              <w:spacing w:before="0" w:after="0" w:line="240" w:lineRule="auto"/>
              <w:rPr>
                <w:color w:val="auto"/>
                <w:kern w:val="0"/>
                <w:sz w:val="16"/>
                <w:szCs w:val="16"/>
              </w:rPr>
            </w:pPr>
            <w:r w:rsidRPr="00EE2ACF">
              <w:rPr>
                <w:color w:val="auto"/>
                <w:kern w:val="0"/>
                <w:sz w:val="16"/>
                <w:szCs w:val="16"/>
              </w:rPr>
              <w:t>Barrage</w:t>
            </w:r>
          </w:p>
        </w:tc>
        <w:tc>
          <w:tcPr>
            <w:tcW w:w="897" w:type="dxa"/>
            <w:tcBorders>
              <w:top w:val="single" w:sz="4" w:space="0" w:color="auto"/>
            </w:tcBorders>
            <w:shd w:val="clear" w:color="auto" w:fill="auto"/>
            <w:vAlign w:val="center"/>
            <w:hideMark/>
          </w:tcPr>
          <w:p w14:paraId="0F016FDA" w14:textId="4A3D7C44" w:rsidR="007117DA" w:rsidRPr="00EE2ACF" w:rsidRDefault="00D120D3" w:rsidP="00A90A24">
            <w:pPr>
              <w:spacing w:before="0" w:after="0" w:line="240" w:lineRule="auto"/>
              <w:rPr>
                <w:color w:val="auto"/>
                <w:kern w:val="0"/>
                <w:sz w:val="16"/>
                <w:szCs w:val="16"/>
              </w:rPr>
            </w:pPr>
            <w:r>
              <w:rPr>
                <w:color w:val="auto"/>
                <w:kern w:val="0"/>
                <w:sz w:val="16"/>
                <w:szCs w:val="16"/>
              </w:rPr>
              <w:t>A</w:t>
            </w:r>
            <w:r w:rsidR="007117DA" w:rsidRPr="00EE2ACF">
              <w:rPr>
                <w:color w:val="auto"/>
                <w:kern w:val="0"/>
                <w:sz w:val="16"/>
                <w:szCs w:val="16"/>
              </w:rPr>
              <w:t>ll water</w:t>
            </w:r>
          </w:p>
        </w:tc>
        <w:tc>
          <w:tcPr>
            <w:tcW w:w="1118" w:type="dxa"/>
            <w:tcBorders>
              <w:top w:val="single" w:sz="4" w:space="0" w:color="auto"/>
            </w:tcBorders>
            <w:shd w:val="clear" w:color="auto" w:fill="auto"/>
            <w:noWrap/>
            <w:hideMark/>
          </w:tcPr>
          <w:p w14:paraId="452CC993"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11.58</w:t>
            </w:r>
          </w:p>
        </w:tc>
        <w:tc>
          <w:tcPr>
            <w:tcW w:w="1032" w:type="dxa"/>
            <w:tcBorders>
              <w:top w:val="single" w:sz="4" w:space="0" w:color="auto"/>
            </w:tcBorders>
            <w:shd w:val="clear" w:color="auto" w:fill="auto"/>
            <w:noWrap/>
            <w:hideMark/>
          </w:tcPr>
          <w:p w14:paraId="623DDBE6"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0.49</w:t>
            </w:r>
          </w:p>
        </w:tc>
        <w:tc>
          <w:tcPr>
            <w:tcW w:w="995" w:type="dxa"/>
            <w:tcBorders>
              <w:top w:val="single" w:sz="4" w:space="0" w:color="auto"/>
            </w:tcBorders>
            <w:shd w:val="clear" w:color="auto" w:fill="auto"/>
            <w:noWrap/>
            <w:hideMark/>
          </w:tcPr>
          <w:p w14:paraId="7A29FC0A"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12693.26</w:t>
            </w:r>
          </w:p>
        </w:tc>
        <w:tc>
          <w:tcPr>
            <w:tcW w:w="1209" w:type="dxa"/>
            <w:tcBorders>
              <w:top w:val="single" w:sz="4" w:space="0" w:color="auto"/>
            </w:tcBorders>
            <w:shd w:val="clear" w:color="auto" w:fill="auto"/>
            <w:noWrap/>
            <w:hideMark/>
          </w:tcPr>
          <w:p w14:paraId="37B704A5"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1410.71</w:t>
            </w:r>
          </w:p>
        </w:tc>
        <w:tc>
          <w:tcPr>
            <w:tcW w:w="1634" w:type="dxa"/>
            <w:tcBorders>
              <w:top w:val="single" w:sz="4" w:space="0" w:color="auto"/>
            </w:tcBorders>
            <w:shd w:val="clear" w:color="auto" w:fill="auto"/>
            <w:noWrap/>
            <w:hideMark/>
          </w:tcPr>
          <w:p w14:paraId="0339EEE9"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139.44</w:t>
            </w:r>
          </w:p>
        </w:tc>
        <w:tc>
          <w:tcPr>
            <w:tcW w:w="1347" w:type="dxa"/>
            <w:tcBorders>
              <w:top w:val="single" w:sz="4" w:space="0" w:color="auto"/>
            </w:tcBorders>
            <w:shd w:val="clear" w:color="auto" w:fill="auto"/>
            <w:noWrap/>
            <w:hideMark/>
          </w:tcPr>
          <w:p w14:paraId="608F0043"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5.31</w:t>
            </w:r>
          </w:p>
        </w:tc>
      </w:tr>
      <w:tr w:rsidR="007117DA" w:rsidRPr="00EE2ACF" w14:paraId="061469DD" w14:textId="77777777" w:rsidTr="00DC2C7F">
        <w:trPr>
          <w:trHeight w:val="220"/>
        </w:trPr>
        <w:tc>
          <w:tcPr>
            <w:tcW w:w="968" w:type="dxa"/>
            <w:vMerge/>
            <w:tcBorders>
              <w:bottom w:val="single" w:sz="4" w:space="0" w:color="auto"/>
            </w:tcBorders>
            <w:shd w:val="clear" w:color="auto" w:fill="auto"/>
            <w:vAlign w:val="center"/>
            <w:hideMark/>
          </w:tcPr>
          <w:p w14:paraId="3F43B631" w14:textId="77777777" w:rsidR="007117DA" w:rsidRPr="00EE2ACF" w:rsidRDefault="007117DA" w:rsidP="00A90A24">
            <w:pPr>
              <w:spacing w:before="0" w:after="0" w:line="256" w:lineRule="auto"/>
              <w:jc w:val="left"/>
              <w:rPr>
                <w:color w:val="auto"/>
                <w:kern w:val="0"/>
                <w:sz w:val="16"/>
                <w:szCs w:val="16"/>
              </w:rPr>
            </w:pPr>
          </w:p>
        </w:tc>
        <w:tc>
          <w:tcPr>
            <w:tcW w:w="897" w:type="dxa"/>
            <w:shd w:val="clear" w:color="auto" w:fill="auto"/>
            <w:vAlign w:val="center"/>
            <w:hideMark/>
          </w:tcPr>
          <w:p w14:paraId="23B14AC6" w14:textId="77777777" w:rsidR="007117DA" w:rsidRPr="00EE2ACF" w:rsidRDefault="007117DA" w:rsidP="00A90A24">
            <w:pPr>
              <w:spacing w:before="0" w:after="0" w:line="240" w:lineRule="auto"/>
              <w:rPr>
                <w:color w:val="auto"/>
                <w:kern w:val="0"/>
                <w:sz w:val="16"/>
                <w:szCs w:val="16"/>
              </w:rPr>
            </w:pPr>
            <w:r w:rsidRPr="00EE2ACF">
              <w:rPr>
                <w:color w:val="auto"/>
                <w:kern w:val="0"/>
                <w:sz w:val="16"/>
                <w:szCs w:val="16"/>
              </w:rPr>
              <w:t>No CEW</w:t>
            </w:r>
          </w:p>
        </w:tc>
        <w:tc>
          <w:tcPr>
            <w:tcW w:w="1118" w:type="dxa"/>
            <w:shd w:val="clear" w:color="auto" w:fill="auto"/>
            <w:noWrap/>
            <w:hideMark/>
          </w:tcPr>
          <w:p w14:paraId="638E40A8"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0</w:t>
            </w:r>
          </w:p>
        </w:tc>
        <w:tc>
          <w:tcPr>
            <w:tcW w:w="1032" w:type="dxa"/>
            <w:shd w:val="clear" w:color="auto" w:fill="auto"/>
            <w:noWrap/>
            <w:hideMark/>
          </w:tcPr>
          <w:p w14:paraId="635345BF"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0</w:t>
            </w:r>
          </w:p>
        </w:tc>
        <w:tc>
          <w:tcPr>
            <w:tcW w:w="995" w:type="dxa"/>
            <w:shd w:val="clear" w:color="auto" w:fill="auto"/>
            <w:noWrap/>
            <w:hideMark/>
          </w:tcPr>
          <w:p w14:paraId="0CA78CA0"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0</w:t>
            </w:r>
          </w:p>
        </w:tc>
        <w:tc>
          <w:tcPr>
            <w:tcW w:w="1209" w:type="dxa"/>
            <w:shd w:val="clear" w:color="auto" w:fill="auto"/>
            <w:noWrap/>
            <w:hideMark/>
          </w:tcPr>
          <w:p w14:paraId="12CAA09B"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0</w:t>
            </w:r>
          </w:p>
        </w:tc>
        <w:tc>
          <w:tcPr>
            <w:tcW w:w="1634" w:type="dxa"/>
            <w:shd w:val="clear" w:color="auto" w:fill="auto"/>
            <w:noWrap/>
            <w:hideMark/>
          </w:tcPr>
          <w:p w14:paraId="028022EB"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0</w:t>
            </w:r>
          </w:p>
        </w:tc>
        <w:tc>
          <w:tcPr>
            <w:tcW w:w="1347" w:type="dxa"/>
            <w:shd w:val="clear" w:color="auto" w:fill="auto"/>
            <w:noWrap/>
            <w:hideMark/>
          </w:tcPr>
          <w:p w14:paraId="08C8453A"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0</w:t>
            </w:r>
          </w:p>
        </w:tc>
      </w:tr>
      <w:tr w:rsidR="007117DA" w:rsidRPr="00EE2ACF" w14:paraId="36CBBECE" w14:textId="77777777" w:rsidTr="00DC2C7F">
        <w:trPr>
          <w:trHeight w:val="220"/>
        </w:trPr>
        <w:tc>
          <w:tcPr>
            <w:tcW w:w="968" w:type="dxa"/>
            <w:vMerge/>
            <w:tcBorders>
              <w:bottom w:val="single" w:sz="4" w:space="0" w:color="auto"/>
            </w:tcBorders>
            <w:shd w:val="clear" w:color="auto" w:fill="auto"/>
            <w:vAlign w:val="center"/>
            <w:hideMark/>
          </w:tcPr>
          <w:p w14:paraId="582DF8B3" w14:textId="77777777" w:rsidR="007117DA" w:rsidRPr="00EE2ACF" w:rsidRDefault="007117DA" w:rsidP="00A90A24">
            <w:pPr>
              <w:spacing w:before="0" w:after="0" w:line="256" w:lineRule="auto"/>
              <w:jc w:val="left"/>
              <w:rPr>
                <w:color w:val="auto"/>
                <w:kern w:val="0"/>
                <w:sz w:val="16"/>
                <w:szCs w:val="16"/>
              </w:rPr>
            </w:pPr>
          </w:p>
        </w:tc>
        <w:tc>
          <w:tcPr>
            <w:tcW w:w="897" w:type="dxa"/>
            <w:tcBorders>
              <w:bottom w:val="single" w:sz="4" w:space="0" w:color="auto"/>
            </w:tcBorders>
            <w:shd w:val="clear" w:color="auto" w:fill="auto"/>
            <w:vAlign w:val="center"/>
            <w:hideMark/>
          </w:tcPr>
          <w:p w14:paraId="76AAC92A" w14:textId="77777777" w:rsidR="007117DA" w:rsidRPr="00EE2ACF" w:rsidRDefault="007117DA" w:rsidP="00A90A24">
            <w:pPr>
              <w:spacing w:before="0" w:after="0" w:line="240" w:lineRule="auto"/>
              <w:rPr>
                <w:color w:val="auto"/>
                <w:kern w:val="0"/>
                <w:sz w:val="16"/>
                <w:szCs w:val="16"/>
              </w:rPr>
            </w:pPr>
            <w:r w:rsidRPr="00EE2ACF">
              <w:rPr>
                <w:color w:val="auto"/>
                <w:kern w:val="0"/>
                <w:sz w:val="16"/>
                <w:szCs w:val="16"/>
              </w:rPr>
              <w:t>No eWater</w:t>
            </w:r>
          </w:p>
        </w:tc>
        <w:tc>
          <w:tcPr>
            <w:tcW w:w="1118" w:type="dxa"/>
            <w:tcBorders>
              <w:bottom w:val="single" w:sz="4" w:space="0" w:color="auto"/>
            </w:tcBorders>
            <w:shd w:val="clear" w:color="auto" w:fill="auto"/>
            <w:noWrap/>
            <w:hideMark/>
          </w:tcPr>
          <w:p w14:paraId="10F436EA"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0</w:t>
            </w:r>
          </w:p>
        </w:tc>
        <w:tc>
          <w:tcPr>
            <w:tcW w:w="1032" w:type="dxa"/>
            <w:tcBorders>
              <w:bottom w:val="single" w:sz="4" w:space="0" w:color="auto"/>
            </w:tcBorders>
            <w:shd w:val="clear" w:color="auto" w:fill="auto"/>
            <w:noWrap/>
            <w:hideMark/>
          </w:tcPr>
          <w:p w14:paraId="03EB5CCB"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0</w:t>
            </w:r>
          </w:p>
        </w:tc>
        <w:tc>
          <w:tcPr>
            <w:tcW w:w="995" w:type="dxa"/>
            <w:tcBorders>
              <w:bottom w:val="single" w:sz="4" w:space="0" w:color="auto"/>
            </w:tcBorders>
            <w:shd w:val="clear" w:color="auto" w:fill="auto"/>
            <w:noWrap/>
            <w:hideMark/>
          </w:tcPr>
          <w:p w14:paraId="77538A8B"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0</w:t>
            </w:r>
          </w:p>
        </w:tc>
        <w:tc>
          <w:tcPr>
            <w:tcW w:w="1209" w:type="dxa"/>
            <w:tcBorders>
              <w:bottom w:val="single" w:sz="4" w:space="0" w:color="auto"/>
            </w:tcBorders>
            <w:shd w:val="clear" w:color="auto" w:fill="auto"/>
            <w:noWrap/>
            <w:hideMark/>
          </w:tcPr>
          <w:p w14:paraId="5AF6FC8B"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0</w:t>
            </w:r>
          </w:p>
        </w:tc>
        <w:tc>
          <w:tcPr>
            <w:tcW w:w="1634" w:type="dxa"/>
            <w:tcBorders>
              <w:bottom w:val="single" w:sz="4" w:space="0" w:color="auto"/>
            </w:tcBorders>
            <w:shd w:val="clear" w:color="auto" w:fill="auto"/>
            <w:noWrap/>
            <w:hideMark/>
          </w:tcPr>
          <w:p w14:paraId="504338B0"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0</w:t>
            </w:r>
          </w:p>
        </w:tc>
        <w:tc>
          <w:tcPr>
            <w:tcW w:w="1347" w:type="dxa"/>
            <w:tcBorders>
              <w:bottom w:val="single" w:sz="4" w:space="0" w:color="auto"/>
            </w:tcBorders>
            <w:shd w:val="clear" w:color="auto" w:fill="auto"/>
            <w:noWrap/>
            <w:hideMark/>
          </w:tcPr>
          <w:p w14:paraId="3DE289C2"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0</w:t>
            </w:r>
          </w:p>
        </w:tc>
      </w:tr>
      <w:tr w:rsidR="007117DA" w:rsidRPr="00EE2ACF" w14:paraId="3BA2C6CD" w14:textId="77777777" w:rsidTr="00DC2C7F">
        <w:trPr>
          <w:trHeight w:val="440"/>
        </w:trPr>
        <w:tc>
          <w:tcPr>
            <w:tcW w:w="968" w:type="dxa"/>
            <w:vMerge w:val="restart"/>
            <w:tcBorders>
              <w:bottom w:val="single" w:sz="4" w:space="0" w:color="auto"/>
            </w:tcBorders>
            <w:shd w:val="clear" w:color="auto" w:fill="auto"/>
            <w:vAlign w:val="center"/>
            <w:hideMark/>
          </w:tcPr>
          <w:p w14:paraId="4163AAD2" w14:textId="77777777" w:rsidR="007117DA" w:rsidRPr="00EE2ACF" w:rsidRDefault="007117DA" w:rsidP="00A90A24">
            <w:pPr>
              <w:spacing w:before="0" w:after="0" w:line="240" w:lineRule="auto"/>
              <w:rPr>
                <w:color w:val="auto"/>
                <w:kern w:val="0"/>
                <w:sz w:val="16"/>
                <w:szCs w:val="16"/>
              </w:rPr>
            </w:pPr>
            <w:r w:rsidRPr="00EE2ACF">
              <w:rPr>
                <w:color w:val="auto"/>
                <w:kern w:val="0"/>
                <w:sz w:val="16"/>
                <w:szCs w:val="16"/>
              </w:rPr>
              <w:t>Murray Mouth</w:t>
            </w:r>
          </w:p>
        </w:tc>
        <w:tc>
          <w:tcPr>
            <w:tcW w:w="897" w:type="dxa"/>
            <w:tcBorders>
              <w:top w:val="single" w:sz="4" w:space="0" w:color="auto"/>
            </w:tcBorders>
            <w:shd w:val="clear" w:color="auto" w:fill="auto"/>
            <w:vAlign w:val="center"/>
            <w:hideMark/>
          </w:tcPr>
          <w:p w14:paraId="279D06CB" w14:textId="11A07ABB" w:rsidR="007117DA" w:rsidRPr="00EE2ACF" w:rsidRDefault="00D120D3" w:rsidP="00A90A24">
            <w:pPr>
              <w:spacing w:before="0" w:after="0" w:line="240" w:lineRule="auto"/>
              <w:rPr>
                <w:color w:val="auto"/>
                <w:kern w:val="0"/>
                <w:sz w:val="16"/>
                <w:szCs w:val="16"/>
              </w:rPr>
            </w:pPr>
            <w:r>
              <w:rPr>
                <w:color w:val="auto"/>
                <w:kern w:val="0"/>
                <w:sz w:val="16"/>
                <w:szCs w:val="16"/>
              </w:rPr>
              <w:t>A</w:t>
            </w:r>
            <w:r w:rsidR="007117DA" w:rsidRPr="00EE2ACF">
              <w:rPr>
                <w:color w:val="auto"/>
                <w:kern w:val="0"/>
                <w:sz w:val="16"/>
                <w:szCs w:val="16"/>
              </w:rPr>
              <w:t>ll water</w:t>
            </w:r>
          </w:p>
        </w:tc>
        <w:tc>
          <w:tcPr>
            <w:tcW w:w="1118" w:type="dxa"/>
            <w:tcBorders>
              <w:top w:val="single" w:sz="4" w:space="0" w:color="auto"/>
            </w:tcBorders>
            <w:shd w:val="clear" w:color="auto" w:fill="auto"/>
            <w:noWrap/>
            <w:hideMark/>
          </w:tcPr>
          <w:p w14:paraId="4E1A5EAE"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0.94</w:t>
            </w:r>
          </w:p>
        </w:tc>
        <w:tc>
          <w:tcPr>
            <w:tcW w:w="1032" w:type="dxa"/>
            <w:tcBorders>
              <w:top w:val="single" w:sz="4" w:space="0" w:color="auto"/>
            </w:tcBorders>
            <w:shd w:val="clear" w:color="auto" w:fill="auto"/>
            <w:noWrap/>
            <w:hideMark/>
          </w:tcPr>
          <w:p w14:paraId="64AF173E"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1.56</w:t>
            </w:r>
          </w:p>
        </w:tc>
        <w:tc>
          <w:tcPr>
            <w:tcW w:w="995" w:type="dxa"/>
            <w:tcBorders>
              <w:top w:val="single" w:sz="4" w:space="0" w:color="auto"/>
            </w:tcBorders>
            <w:shd w:val="clear" w:color="auto" w:fill="auto"/>
            <w:noWrap/>
            <w:hideMark/>
          </w:tcPr>
          <w:p w14:paraId="2C1BA427"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-12321.45</w:t>
            </w:r>
          </w:p>
        </w:tc>
        <w:tc>
          <w:tcPr>
            <w:tcW w:w="1209" w:type="dxa"/>
            <w:tcBorders>
              <w:top w:val="single" w:sz="4" w:space="0" w:color="auto"/>
            </w:tcBorders>
            <w:shd w:val="clear" w:color="auto" w:fill="auto"/>
            <w:noWrap/>
            <w:hideMark/>
          </w:tcPr>
          <w:p w14:paraId="3B7544F5"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-1224.00</w:t>
            </w:r>
          </w:p>
        </w:tc>
        <w:tc>
          <w:tcPr>
            <w:tcW w:w="1634" w:type="dxa"/>
            <w:tcBorders>
              <w:top w:val="single" w:sz="4" w:space="0" w:color="auto"/>
            </w:tcBorders>
            <w:shd w:val="clear" w:color="auto" w:fill="auto"/>
            <w:noWrap/>
            <w:hideMark/>
          </w:tcPr>
          <w:p w14:paraId="1CE34E36"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-123.38</w:t>
            </w:r>
          </w:p>
        </w:tc>
        <w:tc>
          <w:tcPr>
            <w:tcW w:w="1347" w:type="dxa"/>
            <w:tcBorders>
              <w:top w:val="single" w:sz="4" w:space="0" w:color="auto"/>
            </w:tcBorders>
            <w:shd w:val="clear" w:color="auto" w:fill="auto"/>
            <w:noWrap/>
            <w:hideMark/>
          </w:tcPr>
          <w:p w14:paraId="573C33F9"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-2.10</w:t>
            </w:r>
          </w:p>
        </w:tc>
      </w:tr>
      <w:tr w:rsidR="007117DA" w:rsidRPr="00EE2ACF" w14:paraId="29C3F1F8" w14:textId="77777777" w:rsidTr="00DC2C7F">
        <w:trPr>
          <w:trHeight w:val="220"/>
        </w:trPr>
        <w:tc>
          <w:tcPr>
            <w:tcW w:w="968" w:type="dxa"/>
            <w:vMerge/>
            <w:tcBorders>
              <w:bottom w:val="single" w:sz="4" w:space="0" w:color="auto"/>
            </w:tcBorders>
            <w:shd w:val="clear" w:color="auto" w:fill="auto"/>
            <w:vAlign w:val="center"/>
            <w:hideMark/>
          </w:tcPr>
          <w:p w14:paraId="6EB17D2A" w14:textId="77777777" w:rsidR="007117DA" w:rsidRPr="00EE2ACF" w:rsidRDefault="007117DA" w:rsidP="00A90A24">
            <w:pPr>
              <w:spacing w:before="0" w:after="0" w:line="256" w:lineRule="auto"/>
              <w:jc w:val="left"/>
              <w:rPr>
                <w:color w:val="auto"/>
                <w:kern w:val="0"/>
                <w:sz w:val="16"/>
                <w:szCs w:val="16"/>
              </w:rPr>
            </w:pPr>
          </w:p>
        </w:tc>
        <w:tc>
          <w:tcPr>
            <w:tcW w:w="897" w:type="dxa"/>
            <w:shd w:val="clear" w:color="auto" w:fill="auto"/>
            <w:vAlign w:val="center"/>
            <w:hideMark/>
          </w:tcPr>
          <w:p w14:paraId="2A1B942B" w14:textId="77777777" w:rsidR="007117DA" w:rsidRPr="00EE2ACF" w:rsidRDefault="007117DA" w:rsidP="00A90A24">
            <w:pPr>
              <w:spacing w:before="0" w:after="0" w:line="240" w:lineRule="auto"/>
              <w:rPr>
                <w:color w:val="auto"/>
                <w:kern w:val="0"/>
                <w:sz w:val="16"/>
                <w:szCs w:val="16"/>
              </w:rPr>
            </w:pPr>
            <w:r w:rsidRPr="00EE2ACF">
              <w:rPr>
                <w:color w:val="auto"/>
                <w:kern w:val="0"/>
                <w:sz w:val="16"/>
                <w:szCs w:val="16"/>
              </w:rPr>
              <w:t>No CEW</w:t>
            </w:r>
          </w:p>
        </w:tc>
        <w:tc>
          <w:tcPr>
            <w:tcW w:w="1118" w:type="dxa"/>
            <w:shd w:val="clear" w:color="auto" w:fill="auto"/>
            <w:noWrap/>
            <w:hideMark/>
          </w:tcPr>
          <w:p w14:paraId="7F0FFC46"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9.03</w:t>
            </w:r>
          </w:p>
        </w:tc>
        <w:tc>
          <w:tcPr>
            <w:tcW w:w="1032" w:type="dxa"/>
            <w:shd w:val="clear" w:color="auto" w:fill="auto"/>
            <w:noWrap/>
            <w:hideMark/>
          </w:tcPr>
          <w:p w14:paraId="234E14A6"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3.93</w:t>
            </w:r>
          </w:p>
        </w:tc>
        <w:tc>
          <w:tcPr>
            <w:tcW w:w="995" w:type="dxa"/>
            <w:shd w:val="clear" w:color="auto" w:fill="auto"/>
            <w:noWrap/>
            <w:hideMark/>
          </w:tcPr>
          <w:p w14:paraId="057AEAAB"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-248.34</w:t>
            </w:r>
          </w:p>
        </w:tc>
        <w:tc>
          <w:tcPr>
            <w:tcW w:w="1209" w:type="dxa"/>
            <w:shd w:val="clear" w:color="auto" w:fill="auto"/>
            <w:noWrap/>
            <w:hideMark/>
          </w:tcPr>
          <w:p w14:paraId="578944BD"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182.80</w:t>
            </w:r>
          </w:p>
        </w:tc>
        <w:tc>
          <w:tcPr>
            <w:tcW w:w="1634" w:type="dxa"/>
            <w:shd w:val="clear" w:color="auto" w:fill="auto"/>
            <w:noWrap/>
            <w:hideMark/>
          </w:tcPr>
          <w:p w14:paraId="481EDD5A"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13.07</w:t>
            </w:r>
          </w:p>
        </w:tc>
        <w:tc>
          <w:tcPr>
            <w:tcW w:w="1347" w:type="dxa"/>
            <w:shd w:val="clear" w:color="auto" w:fill="auto"/>
            <w:noWrap/>
            <w:hideMark/>
          </w:tcPr>
          <w:p w14:paraId="631EA59A"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2.54</w:t>
            </w:r>
          </w:p>
        </w:tc>
      </w:tr>
      <w:tr w:rsidR="007117DA" w:rsidRPr="00EE2ACF" w14:paraId="2538EE87" w14:textId="77777777" w:rsidTr="00DC2C7F">
        <w:trPr>
          <w:trHeight w:val="220"/>
        </w:trPr>
        <w:tc>
          <w:tcPr>
            <w:tcW w:w="968" w:type="dxa"/>
            <w:vMerge/>
            <w:tcBorders>
              <w:bottom w:val="single" w:sz="4" w:space="0" w:color="auto"/>
            </w:tcBorders>
            <w:shd w:val="clear" w:color="auto" w:fill="auto"/>
            <w:vAlign w:val="center"/>
            <w:hideMark/>
          </w:tcPr>
          <w:p w14:paraId="5D267595" w14:textId="77777777" w:rsidR="007117DA" w:rsidRPr="00EE2ACF" w:rsidRDefault="007117DA" w:rsidP="00A90A24">
            <w:pPr>
              <w:spacing w:before="0" w:after="0" w:line="256" w:lineRule="auto"/>
              <w:jc w:val="left"/>
              <w:rPr>
                <w:color w:val="auto"/>
                <w:kern w:val="0"/>
                <w:sz w:val="16"/>
                <w:szCs w:val="16"/>
              </w:rPr>
            </w:pPr>
          </w:p>
        </w:tc>
        <w:tc>
          <w:tcPr>
            <w:tcW w:w="897" w:type="dxa"/>
            <w:tcBorders>
              <w:bottom w:val="single" w:sz="4" w:space="0" w:color="auto"/>
            </w:tcBorders>
            <w:shd w:val="clear" w:color="auto" w:fill="auto"/>
            <w:vAlign w:val="center"/>
            <w:hideMark/>
          </w:tcPr>
          <w:p w14:paraId="2779C1B4" w14:textId="77777777" w:rsidR="007117DA" w:rsidRPr="00EE2ACF" w:rsidRDefault="007117DA" w:rsidP="00A90A24">
            <w:pPr>
              <w:spacing w:before="0" w:after="0" w:line="240" w:lineRule="auto"/>
              <w:rPr>
                <w:color w:val="auto"/>
                <w:kern w:val="0"/>
                <w:sz w:val="16"/>
                <w:szCs w:val="16"/>
              </w:rPr>
            </w:pPr>
            <w:r w:rsidRPr="00EE2ACF">
              <w:rPr>
                <w:color w:val="auto"/>
                <w:kern w:val="0"/>
                <w:sz w:val="16"/>
                <w:szCs w:val="16"/>
              </w:rPr>
              <w:t>No eWater</w:t>
            </w:r>
          </w:p>
        </w:tc>
        <w:tc>
          <w:tcPr>
            <w:tcW w:w="1118" w:type="dxa"/>
            <w:tcBorders>
              <w:bottom w:val="single" w:sz="4" w:space="0" w:color="auto"/>
            </w:tcBorders>
            <w:shd w:val="clear" w:color="auto" w:fill="auto"/>
            <w:noWrap/>
            <w:hideMark/>
          </w:tcPr>
          <w:p w14:paraId="0508D170"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9.03</w:t>
            </w:r>
          </w:p>
        </w:tc>
        <w:tc>
          <w:tcPr>
            <w:tcW w:w="1032" w:type="dxa"/>
            <w:tcBorders>
              <w:bottom w:val="single" w:sz="4" w:space="0" w:color="auto"/>
            </w:tcBorders>
            <w:shd w:val="clear" w:color="auto" w:fill="auto"/>
            <w:noWrap/>
            <w:hideMark/>
          </w:tcPr>
          <w:p w14:paraId="3E576E42"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3.93</w:t>
            </w:r>
          </w:p>
        </w:tc>
        <w:tc>
          <w:tcPr>
            <w:tcW w:w="995" w:type="dxa"/>
            <w:tcBorders>
              <w:bottom w:val="single" w:sz="4" w:space="0" w:color="auto"/>
            </w:tcBorders>
            <w:shd w:val="clear" w:color="auto" w:fill="auto"/>
            <w:noWrap/>
            <w:hideMark/>
          </w:tcPr>
          <w:p w14:paraId="3B2DB923"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-248.34</w:t>
            </w:r>
          </w:p>
        </w:tc>
        <w:tc>
          <w:tcPr>
            <w:tcW w:w="1209" w:type="dxa"/>
            <w:tcBorders>
              <w:bottom w:val="single" w:sz="4" w:space="0" w:color="auto"/>
            </w:tcBorders>
            <w:shd w:val="clear" w:color="auto" w:fill="auto"/>
            <w:noWrap/>
            <w:hideMark/>
          </w:tcPr>
          <w:p w14:paraId="6424416A"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182.80</w:t>
            </w:r>
          </w:p>
        </w:tc>
        <w:tc>
          <w:tcPr>
            <w:tcW w:w="1634" w:type="dxa"/>
            <w:tcBorders>
              <w:bottom w:val="single" w:sz="4" w:space="0" w:color="auto"/>
            </w:tcBorders>
            <w:shd w:val="clear" w:color="auto" w:fill="auto"/>
            <w:noWrap/>
            <w:hideMark/>
          </w:tcPr>
          <w:p w14:paraId="5DEE6735"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13.07</w:t>
            </w:r>
          </w:p>
        </w:tc>
        <w:tc>
          <w:tcPr>
            <w:tcW w:w="1347" w:type="dxa"/>
            <w:tcBorders>
              <w:bottom w:val="single" w:sz="4" w:space="0" w:color="auto"/>
            </w:tcBorders>
            <w:shd w:val="clear" w:color="auto" w:fill="auto"/>
            <w:noWrap/>
            <w:hideMark/>
          </w:tcPr>
          <w:p w14:paraId="1DFA4515"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2.54</w:t>
            </w:r>
          </w:p>
        </w:tc>
      </w:tr>
      <w:tr w:rsidR="007117DA" w:rsidRPr="00EE2ACF" w14:paraId="047DFA29" w14:textId="77777777" w:rsidTr="00DC2C7F">
        <w:trPr>
          <w:trHeight w:val="440"/>
        </w:trPr>
        <w:tc>
          <w:tcPr>
            <w:tcW w:w="968" w:type="dxa"/>
            <w:vMerge w:val="restart"/>
            <w:tcBorders>
              <w:bottom w:val="single" w:sz="4" w:space="0" w:color="auto"/>
            </w:tcBorders>
            <w:shd w:val="clear" w:color="auto" w:fill="auto"/>
            <w:vAlign w:val="center"/>
            <w:hideMark/>
          </w:tcPr>
          <w:p w14:paraId="142377DA" w14:textId="77777777" w:rsidR="007117DA" w:rsidRPr="002B7AD6" w:rsidRDefault="007117DA" w:rsidP="00A90A24">
            <w:pPr>
              <w:spacing w:before="0" w:after="0" w:line="240" w:lineRule="auto"/>
              <w:rPr>
                <w:color w:val="auto"/>
                <w:kern w:val="0"/>
                <w:sz w:val="16"/>
                <w:szCs w:val="16"/>
              </w:rPr>
            </w:pPr>
            <w:r w:rsidRPr="002B7AD6">
              <w:rPr>
                <w:color w:val="auto"/>
                <w:kern w:val="0"/>
                <w:sz w:val="16"/>
                <w:szCs w:val="16"/>
              </w:rPr>
              <w:t>South Lagoon (Parnka)</w:t>
            </w:r>
          </w:p>
        </w:tc>
        <w:tc>
          <w:tcPr>
            <w:tcW w:w="897" w:type="dxa"/>
            <w:tcBorders>
              <w:top w:val="single" w:sz="4" w:space="0" w:color="auto"/>
            </w:tcBorders>
            <w:shd w:val="clear" w:color="auto" w:fill="auto"/>
            <w:vAlign w:val="center"/>
            <w:hideMark/>
          </w:tcPr>
          <w:p w14:paraId="2FB9B2A0" w14:textId="5C47231E" w:rsidR="007117DA" w:rsidRPr="00EE2ACF" w:rsidRDefault="00D120D3" w:rsidP="00A90A24">
            <w:pPr>
              <w:spacing w:before="0" w:after="0" w:line="240" w:lineRule="auto"/>
              <w:rPr>
                <w:color w:val="auto"/>
                <w:kern w:val="0"/>
                <w:sz w:val="16"/>
                <w:szCs w:val="16"/>
              </w:rPr>
            </w:pPr>
            <w:r>
              <w:rPr>
                <w:color w:val="auto"/>
                <w:kern w:val="0"/>
                <w:sz w:val="16"/>
                <w:szCs w:val="16"/>
              </w:rPr>
              <w:t>A</w:t>
            </w:r>
            <w:r w:rsidR="007117DA" w:rsidRPr="00EE2ACF">
              <w:rPr>
                <w:color w:val="auto"/>
                <w:kern w:val="0"/>
                <w:sz w:val="16"/>
                <w:szCs w:val="16"/>
              </w:rPr>
              <w:t>ll water</w:t>
            </w:r>
          </w:p>
        </w:tc>
        <w:tc>
          <w:tcPr>
            <w:tcW w:w="1118" w:type="dxa"/>
            <w:tcBorders>
              <w:top w:val="single" w:sz="4" w:space="0" w:color="auto"/>
            </w:tcBorders>
            <w:shd w:val="clear" w:color="auto" w:fill="auto"/>
            <w:noWrap/>
            <w:hideMark/>
          </w:tcPr>
          <w:p w14:paraId="02066218"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0.11</w:t>
            </w:r>
          </w:p>
        </w:tc>
        <w:tc>
          <w:tcPr>
            <w:tcW w:w="1032" w:type="dxa"/>
            <w:tcBorders>
              <w:top w:val="single" w:sz="4" w:space="0" w:color="auto"/>
            </w:tcBorders>
            <w:shd w:val="clear" w:color="auto" w:fill="auto"/>
            <w:noWrap/>
            <w:hideMark/>
          </w:tcPr>
          <w:p w14:paraId="49EDEE83"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-0.16</w:t>
            </w:r>
          </w:p>
        </w:tc>
        <w:tc>
          <w:tcPr>
            <w:tcW w:w="995" w:type="dxa"/>
            <w:tcBorders>
              <w:top w:val="single" w:sz="4" w:space="0" w:color="auto"/>
            </w:tcBorders>
            <w:shd w:val="clear" w:color="auto" w:fill="auto"/>
            <w:noWrap/>
            <w:hideMark/>
          </w:tcPr>
          <w:p w14:paraId="47E3EF7C"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911.05</w:t>
            </w:r>
          </w:p>
        </w:tc>
        <w:tc>
          <w:tcPr>
            <w:tcW w:w="1209" w:type="dxa"/>
            <w:tcBorders>
              <w:top w:val="single" w:sz="4" w:space="0" w:color="auto"/>
            </w:tcBorders>
            <w:shd w:val="clear" w:color="auto" w:fill="auto"/>
            <w:noWrap/>
            <w:hideMark/>
          </w:tcPr>
          <w:p w14:paraId="0E673500"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131.67</w:t>
            </w:r>
          </w:p>
        </w:tc>
        <w:tc>
          <w:tcPr>
            <w:tcW w:w="1634" w:type="dxa"/>
            <w:tcBorders>
              <w:top w:val="single" w:sz="4" w:space="0" w:color="auto"/>
            </w:tcBorders>
            <w:shd w:val="clear" w:color="auto" w:fill="auto"/>
            <w:noWrap/>
            <w:hideMark/>
          </w:tcPr>
          <w:p w14:paraId="28690962"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12.17</w:t>
            </w:r>
          </w:p>
        </w:tc>
        <w:tc>
          <w:tcPr>
            <w:tcW w:w="1347" w:type="dxa"/>
            <w:tcBorders>
              <w:top w:val="single" w:sz="4" w:space="0" w:color="auto"/>
            </w:tcBorders>
            <w:shd w:val="clear" w:color="auto" w:fill="auto"/>
            <w:noWrap/>
            <w:hideMark/>
          </w:tcPr>
          <w:p w14:paraId="6099B9E9"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-0.18</w:t>
            </w:r>
          </w:p>
        </w:tc>
      </w:tr>
      <w:tr w:rsidR="007117DA" w:rsidRPr="00EE2ACF" w14:paraId="55FA76CF" w14:textId="77777777" w:rsidTr="00DC2C7F">
        <w:trPr>
          <w:trHeight w:val="220"/>
        </w:trPr>
        <w:tc>
          <w:tcPr>
            <w:tcW w:w="968" w:type="dxa"/>
            <w:vMerge/>
            <w:tcBorders>
              <w:bottom w:val="single" w:sz="4" w:space="0" w:color="auto"/>
            </w:tcBorders>
            <w:shd w:val="clear" w:color="auto" w:fill="auto"/>
            <w:vAlign w:val="center"/>
            <w:hideMark/>
          </w:tcPr>
          <w:p w14:paraId="6FF2BA8D" w14:textId="77777777" w:rsidR="007117DA" w:rsidRPr="00EE2ACF" w:rsidRDefault="007117DA" w:rsidP="00A90A24">
            <w:pPr>
              <w:spacing w:before="0" w:after="0" w:line="256" w:lineRule="auto"/>
              <w:jc w:val="left"/>
              <w:rPr>
                <w:b/>
                <w:bCs/>
                <w:color w:val="auto"/>
                <w:kern w:val="0"/>
                <w:sz w:val="16"/>
                <w:szCs w:val="16"/>
              </w:rPr>
            </w:pPr>
          </w:p>
        </w:tc>
        <w:tc>
          <w:tcPr>
            <w:tcW w:w="897" w:type="dxa"/>
            <w:shd w:val="clear" w:color="auto" w:fill="auto"/>
            <w:vAlign w:val="center"/>
            <w:hideMark/>
          </w:tcPr>
          <w:p w14:paraId="4DEBB440" w14:textId="77777777" w:rsidR="007117DA" w:rsidRPr="00EE2ACF" w:rsidRDefault="007117DA" w:rsidP="00A90A24">
            <w:pPr>
              <w:spacing w:before="0" w:after="0" w:line="240" w:lineRule="auto"/>
              <w:rPr>
                <w:color w:val="auto"/>
                <w:kern w:val="0"/>
                <w:sz w:val="16"/>
                <w:szCs w:val="16"/>
              </w:rPr>
            </w:pPr>
            <w:r w:rsidRPr="00EE2ACF">
              <w:rPr>
                <w:color w:val="auto"/>
                <w:kern w:val="0"/>
                <w:sz w:val="16"/>
                <w:szCs w:val="16"/>
              </w:rPr>
              <w:t>No CEW</w:t>
            </w:r>
          </w:p>
        </w:tc>
        <w:tc>
          <w:tcPr>
            <w:tcW w:w="1118" w:type="dxa"/>
            <w:shd w:val="clear" w:color="auto" w:fill="auto"/>
            <w:noWrap/>
            <w:hideMark/>
          </w:tcPr>
          <w:p w14:paraId="666ECCFF"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0.40</w:t>
            </w:r>
          </w:p>
        </w:tc>
        <w:tc>
          <w:tcPr>
            <w:tcW w:w="1032" w:type="dxa"/>
            <w:shd w:val="clear" w:color="auto" w:fill="auto"/>
            <w:noWrap/>
            <w:hideMark/>
          </w:tcPr>
          <w:p w14:paraId="43BB32FF"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-0.05</w:t>
            </w:r>
          </w:p>
        </w:tc>
        <w:tc>
          <w:tcPr>
            <w:tcW w:w="995" w:type="dxa"/>
            <w:shd w:val="clear" w:color="auto" w:fill="auto"/>
            <w:noWrap/>
            <w:hideMark/>
          </w:tcPr>
          <w:p w14:paraId="7FA02ABD"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154.48</w:t>
            </w:r>
          </w:p>
        </w:tc>
        <w:tc>
          <w:tcPr>
            <w:tcW w:w="1209" w:type="dxa"/>
            <w:shd w:val="clear" w:color="auto" w:fill="auto"/>
            <w:noWrap/>
            <w:hideMark/>
          </w:tcPr>
          <w:p w14:paraId="3E948727"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66.41</w:t>
            </w:r>
          </w:p>
        </w:tc>
        <w:tc>
          <w:tcPr>
            <w:tcW w:w="1634" w:type="dxa"/>
            <w:shd w:val="clear" w:color="auto" w:fill="auto"/>
            <w:noWrap/>
            <w:hideMark/>
          </w:tcPr>
          <w:p w14:paraId="6311AB9F"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4.76</w:t>
            </w:r>
          </w:p>
        </w:tc>
        <w:tc>
          <w:tcPr>
            <w:tcW w:w="1347" w:type="dxa"/>
            <w:shd w:val="clear" w:color="auto" w:fill="auto"/>
            <w:noWrap/>
            <w:hideMark/>
          </w:tcPr>
          <w:p w14:paraId="37F1E567"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0.74</w:t>
            </w:r>
          </w:p>
        </w:tc>
      </w:tr>
      <w:tr w:rsidR="007117DA" w:rsidRPr="00EE2ACF" w14:paraId="1462DF3B" w14:textId="77777777" w:rsidTr="00DC2C7F">
        <w:trPr>
          <w:trHeight w:val="220"/>
        </w:trPr>
        <w:tc>
          <w:tcPr>
            <w:tcW w:w="968" w:type="dxa"/>
            <w:vMerge/>
            <w:tcBorders>
              <w:bottom w:val="single" w:sz="4" w:space="0" w:color="auto"/>
            </w:tcBorders>
            <w:shd w:val="clear" w:color="auto" w:fill="auto"/>
            <w:vAlign w:val="center"/>
            <w:hideMark/>
          </w:tcPr>
          <w:p w14:paraId="04ACCD9A" w14:textId="77777777" w:rsidR="007117DA" w:rsidRPr="00EE2ACF" w:rsidRDefault="007117DA" w:rsidP="00A90A24">
            <w:pPr>
              <w:spacing w:before="0" w:after="0" w:line="256" w:lineRule="auto"/>
              <w:jc w:val="left"/>
              <w:rPr>
                <w:b/>
                <w:bCs/>
                <w:color w:val="auto"/>
                <w:kern w:val="0"/>
                <w:sz w:val="16"/>
                <w:szCs w:val="16"/>
              </w:rPr>
            </w:pPr>
          </w:p>
        </w:tc>
        <w:tc>
          <w:tcPr>
            <w:tcW w:w="897" w:type="dxa"/>
            <w:tcBorders>
              <w:bottom w:val="single" w:sz="4" w:space="0" w:color="auto"/>
            </w:tcBorders>
            <w:shd w:val="clear" w:color="auto" w:fill="auto"/>
            <w:vAlign w:val="center"/>
            <w:hideMark/>
          </w:tcPr>
          <w:p w14:paraId="74583DB9" w14:textId="77777777" w:rsidR="007117DA" w:rsidRPr="00EE2ACF" w:rsidRDefault="007117DA" w:rsidP="00A90A24">
            <w:pPr>
              <w:spacing w:before="0" w:after="0" w:line="240" w:lineRule="auto"/>
              <w:rPr>
                <w:color w:val="auto"/>
                <w:kern w:val="0"/>
                <w:sz w:val="16"/>
                <w:szCs w:val="16"/>
              </w:rPr>
            </w:pPr>
            <w:r w:rsidRPr="00EE2ACF">
              <w:rPr>
                <w:color w:val="auto"/>
                <w:kern w:val="0"/>
                <w:sz w:val="16"/>
                <w:szCs w:val="16"/>
              </w:rPr>
              <w:t>No eWater</w:t>
            </w:r>
          </w:p>
        </w:tc>
        <w:tc>
          <w:tcPr>
            <w:tcW w:w="1118" w:type="dxa"/>
            <w:tcBorders>
              <w:bottom w:val="single" w:sz="4" w:space="0" w:color="auto"/>
            </w:tcBorders>
            <w:shd w:val="clear" w:color="auto" w:fill="auto"/>
            <w:noWrap/>
            <w:hideMark/>
          </w:tcPr>
          <w:p w14:paraId="7844C58F"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0.40</w:t>
            </w:r>
          </w:p>
        </w:tc>
        <w:tc>
          <w:tcPr>
            <w:tcW w:w="1032" w:type="dxa"/>
            <w:tcBorders>
              <w:bottom w:val="single" w:sz="4" w:space="0" w:color="auto"/>
            </w:tcBorders>
            <w:shd w:val="clear" w:color="auto" w:fill="auto"/>
            <w:noWrap/>
            <w:hideMark/>
          </w:tcPr>
          <w:p w14:paraId="015BF9C3"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-0.05</w:t>
            </w:r>
          </w:p>
        </w:tc>
        <w:tc>
          <w:tcPr>
            <w:tcW w:w="995" w:type="dxa"/>
            <w:tcBorders>
              <w:bottom w:val="single" w:sz="4" w:space="0" w:color="auto"/>
            </w:tcBorders>
            <w:shd w:val="clear" w:color="auto" w:fill="auto"/>
            <w:noWrap/>
            <w:hideMark/>
          </w:tcPr>
          <w:p w14:paraId="4089563A"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154.48</w:t>
            </w:r>
          </w:p>
        </w:tc>
        <w:tc>
          <w:tcPr>
            <w:tcW w:w="1209" w:type="dxa"/>
            <w:tcBorders>
              <w:bottom w:val="single" w:sz="4" w:space="0" w:color="auto"/>
            </w:tcBorders>
            <w:shd w:val="clear" w:color="auto" w:fill="auto"/>
            <w:noWrap/>
            <w:hideMark/>
          </w:tcPr>
          <w:p w14:paraId="6FBDC53D"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66.41</w:t>
            </w:r>
          </w:p>
        </w:tc>
        <w:tc>
          <w:tcPr>
            <w:tcW w:w="1634" w:type="dxa"/>
            <w:tcBorders>
              <w:bottom w:val="single" w:sz="4" w:space="0" w:color="auto"/>
            </w:tcBorders>
            <w:shd w:val="clear" w:color="auto" w:fill="auto"/>
            <w:noWrap/>
            <w:hideMark/>
          </w:tcPr>
          <w:p w14:paraId="5E44961E"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4.76</w:t>
            </w:r>
          </w:p>
        </w:tc>
        <w:tc>
          <w:tcPr>
            <w:tcW w:w="1347" w:type="dxa"/>
            <w:tcBorders>
              <w:bottom w:val="single" w:sz="4" w:space="0" w:color="auto"/>
            </w:tcBorders>
            <w:shd w:val="clear" w:color="auto" w:fill="auto"/>
            <w:noWrap/>
            <w:hideMark/>
          </w:tcPr>
          <w:p w14:paraId="083FD88A" w14:textId="77777777" w:rsidR="007117DA" w:rsidRPr="00C21A6E" w:rsidRDefault="007117DA" w:rsidP="00A90A24">
            <w:pPr>
              <w:spacing w:before="0" w:after="0" w:line="240" w:lineRule="auto"/>
              <w:jc w:val="right"/>
              <w:rPr>
                <w:rFonts w:ascii="Calibri" w:hAnsi="Calibri"/>
                <w:color w:val="auto"/>
                <w:kern w:val="0"/>
                <w:sz w:val="16"/>
                <w:szCs w:val="16"/>
              </w:rPr>
            </w:pPr>
            <w:r w:rsidRPr="00C21A6E">
              <w:rPr>
                <w:sz w:val="16"/>
                <w:szCs w:val="16"/>
              </w:rPr>
              <w:t>0.74</w:t>
            </w:r>
          </w:p>
        </w:tc>
      </w:tr>
    </w:tbl>
    <w:p w14:paraId="301A9DA5" w14:textId="77777777" w:rsidR="007117DA" w:rsidRDefault="007117DA" w:rsidP="007117DA">
      <w:pPr>
        <w:pStyle w:val="Caption"/>
        <w:jc w:val="center"/>
      </w:pPr>
    </w:p>
    <w:p w14:paraId="081E9A29" w14:textId="77777777" w:rsidR="007117DA" w:rsidRDefault="007117DA" w:rsidP="007117DA">
      <w:pPr>
        <w:pStyle w:val="Caption"/>
        <w:jc w:val="center"/>
      </w:pPr>
      <w:r>
        <w:rPr>
          <w:noProof/>
          <w:lang w:val="en-US"/>
        </w:rPr>
        <mc:AlternateContent>
          <mc:Choice Requires="wps">
            <w:drawing>
              <wp:anchor distT="0" distB="0" distL="114300" distR="114300" simplePos="0" relativeHeight="251669509" behindDoc="0" locked="0" layoutInCell="1" allowOverlap="1" wp14:anchorId="45F54D7A" wp14:editId="1192649C">
                <wp:simplePos x="0" y="0"/>
                <wp:positionH relativeFrom="column">
                  <wp:posOffset>2817657</wp:posOffset>
                </wp:positionH>
                <wp:positionV relativeFrom="paragraph">
                  <wp:posOffset>271145</wp:posOffset>
                </wp:positionV>
                <wp:extent cx="955589" cy="551935"/>
                <wp:effectExtent l="0" t="0" r="0" b="635"/>
                <wp:wrapNone/>
                <wp:docPr id="1025" name="Text Box 1025"/>
                <wp:cNvGraphicFramePr/>
                <a:graphic xmlns:a="http://schemas.openxmlformats.org/drawingml/2006/main">
                  <a:graphicData uri="http://schemas.microsoft.com/office/word/2010/wordprocessingShape">
                    <wps:wsp>
                      <wps:cNvSpPr txBox="1"/>
                      <wps:spPr>
                        <a:xfrm>
                          <a:off x="0" y="0"/>
                          <a:ext cx="955589" cy="551935"/>
                        </a:xfrm>
                        <a:prstGeom prst="rect">
                          <a:avLst/>
                        </a:prstGeom>
                        <a:noFill/>
                        <a:ln w="6350">
                          <a:noFill/>
                        </a:ln>
                      </wps:spPr>
                      <wps:txbx>
                        <w:txbxContent>
                          <w:p w14:paraId="6973BFCF" w14:textId="77777777" w:rsidR="00A24026" w:rsidRPr="008E287A" w:rsidRDefault="00A24026" w:rsidP="007117DA">
                            <w:pPr>
                              <w:spacing w:before="0" w:after="0" w:line="240" w:lineRule="auto"/>
                              <w:rPr>
                                <w:rFonts w:asciiTheme="majorHAnsi" w:hAnsiTheme="majorHAnsi" w:cstheme="majorHAnsi"/>
                                <w:sz w:val="18"/>
                                <w:szCs w:val="16"/>
                              </w:rPr>
                            </w:pPr>
                            <w:r w:rsidRPr="008E287A">
                              <w:rPr>
                                <w:rFonts w:asciiTheme="majorHAnsi" w:hAnsiTheme="majorHAnsi" w:cstheme="majorHAnsi"/>
                                <w:sz w:val="18"/>
                                <w:szCs w:val="16"/>
                              </w:rPr>
                              <w:t>All water</w:t>
                            </w:r>
                          </w:p>
                          <w:p w14:paraId="189265B5" w14:textId="77777777" w:rsidR="00A24026" w:rsidRDefault="00A24026" w:rsidP="007117DA">
                            <w:pPr>
                              <w:spacing w:before="0" w:after="0" w:line="240" w:lineRule="auto"/>
                              <w:rPr>
                                <w:rFonts w:asciiTheme="majorHAnsi" w:hAnsiTheme="majorHAnsi" w:cstheme="majorHAnsi"/>
                                <w:sz w:val="18"/>
                                <w:szCs w:val="16"/>
                              </w:rPr>
                            </w:pPr>
                            <w:r w:rsidRPr="008E287A">
                              <w:rPr>
                                <w:rFonts w:asciiTheme="majorHAnsi" w:hAnsiTheme="majorHAnsi" w:cstheme="majorHAnsi"/>
                                <w:sz w:val="18"/>
                                <w:szCs w:val="16"/>
                              </w:rPr>
                              <w:t>No eWater 3yrs</w:t>
                            </w:r>
                          </w:p>
                          <w:p w14:paraId="43548DBF" w14:textId="77777777" w:rsidR="00A24026" w:rsidRPr="008E287A" w:rsidRDefault="00A24026" w:rsidP="007117DA">
                            <w:pPr>
                              <w:spacing w:before="0" w:after="0" w:line="240" w:lineRule="auto"/>
                              <w:rPr>
                                <w:rFonts w:asciiTheme="majorHAnsi" w:hAnsiTheme="majorHAnsi" w:cstheme="majorHAnsi"/>
                                <w:sz w:val="18"/>
                                <w:szCs w:val="16"/>
                              </w:rPr>
                            </w:pPr>
                            <w:r w:rsidRPr="00795CB5">
                              <w:rPr>
                                <w:rFonts w:asciiTheme="majorHAnsi" w:hAnsiTheme="majorHAnsi" w:cstheme="majorHAnsi"/>
                                <w:sz w:val="18"/>
                                <w:szCs w:val="16"/>
                              </w:rPr>
                              <w:t>No eWater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F54D7A" id="Text Box 1025" o:spid="_x0000_s1037" type="#_x0000_t202" style="position:absolute;left:0;text-align:left;margin-left:221.85pt;margin-top:21.35pt;width:75.25pt;height:43.45pt;z-index:2516695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lyQMgIAAF4EAAAOAAAAZHJzL2Uyb0RvYy54bWysVE1v2zAMvQ/YfxB0X+ykcdcYcYqsRYYB&#10;RVsgKXpWZCkxIImapMTOfv0oOV/odhp2USiSJsX3HjO977Qie+F8A6aiw0FOiTAc6sZsKvq2Wny5&#10;o8QHZmqmwIiKHoSn97PPn6atLcUItqBq4QgWMb5sbUW3IdgyyzzfCs38AKwwGJTgNAt4dZusdqzF&#10;6lplozy/zVpwtXXAhffofeyDdJbqSyl4eJHSi0BURfFtIZ0unet4ZrMpKzeO2W3Dj89g//AKzRqD&#10;Tc+lHllgZOeaP0rphjvwIMOAg85AyoaLNANOM8w/TLPcMivSLAiOt2eY/P8ry5/3r440NXKXjwpK&#10;DNPI0kp0gXyDjiQnYtRaX2Lq0mJy6DCC+RG76PfojKN30un4i0MRjCPahzPCsR5H56QoirsJJRxD&#10;RTGc3BSxSnb52DofvgvQJBoVdUhgwpXtn3zoU08psZeBRaMU+lmpDGkrentT5OmDcwSLK4M9Lk+N&#10;VujWXT/2eY411Accz0EvEm/5osFHPDEfXplDVeBEqPTwgodUgM3gaFGyBffrb/6Yj2RhlJIWVVZR&#10;/3PHnKBE/TBI42Q4HkdZpsu4+DrCi7uOrK8jZqcfAIU8xJ2yPJkxP6iTKR3od1yIeeyKIWY49q5o&#10;OJkPodc+LhQX83lKQiFaFp7M0vJYOmIZIV5178zZIw8BCXyGkx5Z+YGOPrcnZL4LIJvEVQS6R/WI&#10;P4o4sX1cuLgl1/eUdflbmP0GAAD//wMAUEsDBBQABgAIAAAAIQADG/W94QAAAAoBAAAPAAAAZHJz&#10;L2Rvd25yZXYueG1sTI/BTsMwDIbvSLxDZCRuLCV0Y+uaTlOlCQmxw8Yuu6VN1lYkTmmyrfD0mBOc&#10;bMuffn/OV6Oz7GKG0HmU8DhJgBmsve6wkXB43zzMgYWoUCvr0Uj4MgFWxe1NrjLtr7gzl31sGIVg&#10;yJSENsY+4zzUrXEqTHxvkHYnPzgVaRwargd1pXBnuUiSGXeqQ7rQqt6Urak/9mcn4bXcbNWuEm7+&#10;bcuXt9O6/zwcp1Le343rJbBoxvgHw68+qUNBTpU/ow7MSkjTp2dCqRFUCZguUgGsIlIsZsCLnP9/&#10;ofgBAAD//wMAUEsBAi0AFAAGAAgAAAAhALaDOJL+AAAA4QEAABMAAAAAAAAAAAAAAAAAAAAAAFtD&#10;b250ZW50X1R5cGVzXS54bWxQSwECLQAUAAYACAAAACEAOP0h/9YAAACUAQAACwAAAAAAAAAAAAAA&#10;AAAvAQAAX3JlbHMvLnJlbHNQSwECLQAUAAYACAAAACEADhJckDICAABeBAAADgAAAAAAAAAAAAAA&#10;AAAuAgAAZHJzL2Uyb0RvYy54bWxQSwECLQAUAAYACAAAACEAAxv1veEAAAAKAQAADwAAAAAAAAAA&#10;AAAAAACMBAAAZHJzL2Rvd25yZXYueG1sUEsFBgAAAAAEAAQA8wAAAJoFAAAAAA==&#10;" filled="f" stroked="f" strokeweight=".5pt">
                <v:textbox>
                  <w:txbxContent>
                    <w:p w14:paraId="6973BFCF" w14:textId="77777777" w:rsidR="00A24026" w:rsidRPr="008E287A" w:rsidRDefault="00A24026" w:rsidP="007117DA">
                      <w:pPr>
                        <w:spacing w:before="0" w:after="0" w:line="240" w:lineRule="auto"/>
                        <w:rPr>
                          <w:rFonts w:asciiTheme="majorHAnsi" w:hAnsiTheme="majorHAnsi" w:cstheme="majorHAnsi"/>
                          <w:sz w:val="18"/>
                          <w:szCs w:val="16"/>
                        </w:rPr>
                      </w:pPr>
                      <w:r w:rsidRPr="008E287A">
                        <w:rPr>
                          <w:rFonts w:asciiTheme="majorHAnsi" w:hAnsiTheme="majorHAnsi" w:cstheme="majorHAnsi"/>
                          <w:sz w:val="18"/>
                          <w:szCs w:val="16"/>
                        </w:rPr>
                        <w:t>All water</w:t>
                      </w:r>
                    </w:p>
                    <w:p w14:paraId="189265B5" w14:textId="77777777" w:rsidR="00A24026" w:rsidRDefault="00A24026" w:rsidP="007117DA">
                      <w:pPr>
                        <w:spacing w:before="0" w:after="0" w:line="240" w:lineRule="auto"/>
                        <w:rPr>
                          <w:rFonts w:asciiTheme="majorHAnsi" w:hAnsiTheme="majorHAnsi" w:cstheme="majorHAnsi"/>
                          <w:sz w:val="18"/>
                          <w:szCs w:val="16"/>
                        </w:rPr>
                      </w:pPr>
                      <w:r w:rsidRPr="008E287A">
                        <w:rPr>
                          <w:rFonts w:asciiTheme="majorHAnsi" w:hAnsiTheme="majorHAnsi" w:cstheme="majorHAnsi"/>
                          <w:sz w:val="18"/>
                          <w:szCs w:val="16"/>
                        </w:rPr>
                        <w:t>No eWater 3yrs</w:t>
                      </w:r>
                    </w:p>
                    <w:p w14:paraId="43548DBF" w14:textId="77777777" w:rsidR="00A24026" w:rsidRPr="008E287A" w:rsidRDefault="00A24026" w:rsidP="007117DA">
                      <w:pPr>
                        <w:spacing w:before="0" w:after="0" w:line="240" w:lineRule="auto"/>
                        <w:rPr>
                          <w:rFonts w:asciiTheme="majorHAnsi" w:hAnsiTheme="majorHAnsi" w:cstheme="majorHAnsi"/>
                          <w:sz w:val="18"/>
                          <w:szCs w:val="16"/>
                        </w:rPr>
                      </w:pPr>
                      <w:r w:rsidRPr="00795CB5">
                        <w:rPr>
                          <w:rFonts w:asciiTheme="majorHAnsi" w:hAnsiTheme="majorHAnsi" w:cstheme="majorHAnsi"/>
                          <w:sz w:val="18"/>
                          <w:szCs w:val="16"/>
                        </w:rPr>
                        <w:t>No eWater</w:t>
                      </w:r>
                    </w:p>
                  </w:txbxContent>
                </v:textbox>
              </v:shape>
            </w:pict>
          </mc:Fallback>
        </mc:AlternateContent>
      </w:r>
      <w:r w:rsidRPr="007A7C66">
        <w:rPr>
          <w:noProof/>
          <w:lang w:val="en-US"/>
        </w:rPr>
        <w:drawing>
          <wp:inline distT="0" distB="0" distL="0" distR="0" wp14:anchorId="0EAFE7C5" wp14:editId="0D5B1D01">
            <wp:extent cx="4260803" cy="3705101"/>
            <wp:effectExtent l="0" t="0" r="6985" b="0"/>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a:ext>
                      </a:extLst>
                    </a:blip>
                    <a:srcRect/>
                    <a:stretch>
                      <a:fillRect/>
                    </a:stretch>
                  </pic:blipFill>
                  <pic:spPr bwMode="auto">
                    <a:xfrm>
                      <a:off x="0" y="0"/>
                      <a:ext cx="4280321" cy="3722073"/>
                    </a:xfrm>
                    <a:prstGeom prst="rect">
                      <a:avLst/>
                    </a:prstGeom>
                    <a:noFill/>
                    <a:ln>
                      <a:noFill/>
                    </a:ln>
                  </pic:spPr>
                </pic:pic>
              </a:graphicData>
            </a:graphic>
          </wp:inline>
        </w:drawing>
      </w:r>
    </w:p>
    <w:p w14:paraId="190CDADB" w14:textId="3C5268C1" w:rsidR="007117DA" w:rsidRDefault="007117DA" w:rsidP="007117DA">
      <w:pPr>
        <w:pStyle w:val="Caption"/>
      </w:pPr>
      <w:bookmarkStart w:id="171" w:name="_Ref63644202"/>
      <w:bookmarkStart w:id="172" w:name="_Toc69387694"/>
      <w:r>
        <w:t xml:space="preserve">Figure </w:t>
      </w:r>
      <w:r w:rsidR="006C38E9">
        <w:fldChar w:fldCharType="begin"/>
      </w:r>
      <w:r w:rsidR="006C38E9">
        <w:instrText xml:space="preserve"> SEQ Figure \* ARABIC </w:instrText>
      </w:r>
      <w:r w:rsidR="006C38E9">
        <w:fldChar w:fldCharType="separate"/>
      </w:r>
      <w:r w:rsidR="00996426">
        <w:rPr>
          <w:noProof/>
        </w:rPr>
        <w:t>30</w:t>
      </w:r>
      <w:r w:rsidR="006C38E9">
        <w:rPr>
          <w:noProof/>
        </w:rPr>
        <w:fldChar w:fldCharType="end"/>
      </w:r>
      <w:bookmarkEnd w:id="171"/>
      <w:r>
        <w:t xml:space="preserve">. Nitrogen flux (cumulative net amount) through the Coorong with and without environmental water delivery for July 2017–June 2020. Scenarios </w:t>
      </w:r>
      <w:r w:rsidR="00B739A5">
        <w:t>included are “</w:t>
      </w:r>
      <w:r>
        <w:t xml:space="preserve">All water”, without </w:t>
      </w:r>
      <w:r w:rsidR="00A90A24">
        <w:t>any</w:t>
      </w:r>
      <w:r>
        <w:t xml:space="preserve"> environmental water (“no </w:t>
      </w:r>
      <w:proofErr w:type="spellStart"/>
      <w:r>
        <w:t>eWater</w:t>
      </w:r>
      <w:proofErr w:type="spellEnd"/>
      <w:r>
        <w:t xml:space="preserve"> 3 </w:t>
      </w:r>
      <w:proofErr w:type="spellStart"/>
      <w:r>
        <w:t>yrs</w:t>
      </w:r>
      <w:proofErr w:type="spellEnd"/>
      <w:r>
        <w:t>”) and without environmental water for 2019-20 (“no eWater”).</w:t>
      </w:r>
      <w:bookmarkEnd w:id="172"/>
      <w:r>
        <w:t xml:space="preserve"> </w:t>
      </w:r>
    </w:p>
    <w:p w14:paraId="4735234F" w14:textId="77777777" w:rsidR="004A7F49" w:rsidRDefault="004A7F49" w:rsidP="007117DA">
      <w:pPr>
        <w:rPr>
          <w:i/>
          <w:u w:val="single"/>
        </w:rPr>
      </w:pPr>
    </w:p>
    <w:p w14:paraId="1D34D3BC" w14:textId="4A98139C" w:rsidR="007117DA" w:rsidRDefault="007117DA" w:rsidP="007117DA">
      <w:pPr>
        <w:rPr>
          <w:i/>
          <w:u w:val="single"/>
        </w:rPr>
      </w:pPr>
      <w:r>
        <w:rPr>
          <w:i/>
          <w:u w:val="single"/>
        </w:rPr>
        <w:t>Chlorophyll a</w:t>
      </w:r>
    </w:p>
    <w:p w14:paraId="0EAB946A" w14:textId="16D1BB19" w:rsidR="007117DA" w:rsidRDefault="007117DA" w:rsidP="007117DA">
      <w:r>
        <w:t xml:space="preserve">In 2019-20, barrage flows resulted in the export of 5.5 tonnes of phytoplankton biomass (measured by chlorophyll </w:t>
      </w:r>
      <w:r w:rsidRPr="002B7AD6">
        <w:rPr>
          <w:i/>
          <w:iCs/>
        </w:rPr>
        <w:t>a</w:t>
      </w:r>
      <w:r>
        <w:t>) (</w:t>
      </w:r>
      <w:r>
        <w:fldChar w:fldCharType="begin"/>
      </w:r>
      <w:r>
        <w:instrText xml:space="preserve"> REF _Ref63949293 \h </w:instrText>
      </w:r>
      <w:r>
        <w:fldChar w:fldCharType="separate"/>
      </w:r>
      <w:r w:rsidR="006045CA">
        <w:t xml:space="preserve">Table </w:t>
      </w:r>
      <w:r w:rsidR="006045CA">
        <w:rPr>
          <w:noProof/>
        </w:rPr>
        <w:t>7</w:t>
      </w:r>
      <w:r>
        <w:fldChar w:fldCharType="end"/>
      </w:r>
      <w:r>
        <w:t>). This was 100% attributable to Commonwealth environmental water.</w:t>
      </w:r>
    </w:p>
    <w:p w14:paraId="67695410" w14:textId="77777777" w:rsidR="007117DA" w:rsidRDefault="007117DA" w:rsidP="007117DA">
      <w:pPr>
        <w:pStyle w:val="Caption"/>
      </w:pPr>
      <w:bookmarkStart w:id="173" w:name="_Ref63683462"/>
      <w:bookmarkStart w:id="174" w:name="_Toc59032079"/>
    </w:p>
    <w:p w14:paraId="4ECAD46F" w14:textId="0C959204" w:rsidR="007117DA" w:rsidRDefault="007117DA" w:rsidP="007117DA">
      <w:pPr>
        <w:pStyle w:val="Caption"/>
      </w:pPr>
      <w:bookmarkStart w:id="175" w:name="_Ref63949293"/>
      <w:bookmarkStart w:id="176" w:name="_Toc69387736"/>
      <w:r>
        <w:t xml:space="preserve">Table </w:t>
      </w:r>
      <w:r w:rsidR="006C38E9">
        <w:fldChar w:fldCharType="begin"/>
      </w:r>
      <w:r w:rsidR="006C38E9">
        <w:instrText xml:space="preserve"> SEQ Table \* ARABIC </w:instrText>
      </w:r>
      <w:r w:rsidR="006C38E9">
        <w:fldChar w:fldCharType="separate"/>
      </w:r>
      <w:r w:rsidR="00CE5EF5">
        <w:rPr>
          <w:noProof/>
        </w:rPr>
        <w:t>7</w:t>
      </w:r>
      <w:r w:rsidR="006C38E9">
        <w:rPr>
          <w:noProof/>
        </w:rPr>
        <w:fldChar w:fldCharType="end"/>
      </w:r>
      <w:bookmarkEnd w:id="173"/>
      <w:bookmarkEnd w:id="175"/>
      <w:r>
        <w:t>. Six</w:t>
      </w:r>
      <w:r w:rsidR="00B739A5">
        <w:t>-</w:t>
      </w:r>
      <w:r>
        <w:t>year record of modelled phytoplankton (chlorophyll) export expressed as carbon, (tonnes) over the barrages to the Murray estuary and Coorong.</w:t>
      </w:r>
      <w:bookmarkEnd w:id="174"/>
      <w:bookmarkEnd w:id="176"/>
    </w:p>
    <w:tbl>
      <w:tblPr>
        <w:tblW w:w="9225" w:type="dxa"/>
        <w:tblInd w:w="5" w:type="dxa"/>
        <w:tblLayout w:type="fixed"/>
        <w:tblLook w:val="04A0" w:firstRow="1" w:lastRow="0" w:firstColumn="1" w:lastColumn="0" w:noHBand="0" w:noVBand="1"/>
      </w:tblPr>
      <w:tblGrid>
        <w:gridCol w:w="1651"/>
        <w:gridCol w:w="1262"/>
        <w:gridCol w:w="1262"/>
        <w:gridCol w:w="1263"/>
        <w:gridCol w:w="1262"/>
        <w:gridCol w:w="1262"/>
        <w:gridCol w:w="1263"/>
      </w:tblGrid>
      <w:tr w:rsidR="007117DA" w14:paraId="1FFFAB0A" w14:textId="77777777" w:rsidTr="00A90A24">
        <w:trPr>
          <w:trHeight w:val="340"/>
        </w:trPr>
        <w:tc>
          <w:tcPr>
            <w:tcW w:w="1651" w:type="dxa"/>
            <w:tcBorders>
              <w:top w:val="single" w:sz="4" w:space="0" w:color="auto"/>
              <w:left w:val="nil"/>
              <w:bottom w:val="single" w:sz="4" w:space="0" w:color="auto"/>
              <w:right w:val="nil"/>
            </w:tcBorders>
            <w:vAlign w:val="center"/>
            <w:hideMark/>
          </w:tcPr>
          <w:p w14:paraId="5644925F" w14:textId="77777777" w:rsidR="007117DA" w:rsidRDefault="007117DA" w:rsidP="00A90A24">
            <w:pPr>
              <w:spacing w:before="0" w:after="0" w:line="240" w:lineRule="auto"/>
              <w:jc w:val="left"/>
              <w:rPr>
                <w:b/>
                <w:kern w:val="0"/>
                <w:sz w:val="19"/>
                <w:szCs w:val="19"/>
              </w:rPr>
            </w:pPr>
            <w:r>
              <w:rPr>
                <w:b/>
                <w:kern w:val="0"/>
                <w:sz w:val="19"/>
                <w:szCs w:val="19"/>
              </w:rPr>
              <w:t>Scenario</w:t>
            </w:r>
          </w:p>
        </w:tc>
        <w:tc>
          <w:tcPr>
            <w:tcW w:w="1263" w:type="dxa"/>
            <w:tcBorders>
              <w:top w:val="single" w:sz="4" w:space="0" w:color="auto"/>
              <w:left w:val="nil"/>
              <w:bottom w:val="single" w:sz="4" w:space="0" w:color="auto"/>
              <w:right w:val="nil"/>
            </w:tcBorders>
            <w:noWrap/>
            <w:vAlign w:val="center"/>
            <w:hideMark/>
          </w:tcPr>
          <w:p w14:paraId="1FB01D81" w14:textId="77777777" w:rsidR="007117DA" w:rsidRDefault="007117DA" w:rsidP="00A90A24">
            <w:pPr>
              <w:spacing w:before="0" w:after="0" w:line="240" w:lineRule="auto"/>
              <w:jc w:val="center"/>
              <w:rPr>
                <w:b/>
                <w:kern w:val="0"/>
                <w:sz w:val="19"/>
                <w:szCs w:val="19"/>
              </w:rPr>
            </w:pPr>
            <w:r>
              <w:rPr>
                <w:b/>
                <w:kern w:val="0"/>
                <w:sz w:val="19"/>
                <w:szCs w:val="19"/>
              </w:rPr>
              <w:t>2014-15</w:t>
            </w:r>
          </w:p>
        </w:tc>
        <w:tc>
          <w:tcPr>
            <w:tcW w:w="1263" w:type="dxa"/>
            <w:tcBorders>
              <w:top w:val="single" w:sz="4" w:space="0" w:color="auto"/>
              <w:left w:val="nil"/>
              <w:bottom w:val="single" w:sz="4" w:space="0" w:color="auto"/>
              <w:right w:val="nil"/>
            </w:tcBorders>
            <w:noWrap/>
            <w:vAlign w:val="center"/>
            <w:hideMark/>
          </w:tcPr>
          <w:p w14:paraId="4268B348" w14:textId="77777777" w:rsidR="007117DA" w:rsidRDefault="007117DA" w:rsidP="00A90A24">
            <w:pPr>
              <w:spacing w:before="0" w:after="0" w:line="240" w:lineRule="auto"/>
              <w:jc w:val="center"/>
              <w:rPr>
                <w:b/>
                <w:kern w:val="0"/>
                <w:sz w:val="19"/>
                <w:szCs w:val="19"/>
              </w:rPr>
            </w:pPr>
            <w:r>
              <w:rPr>
                <w:b/>
                <w:kern w:val="0"/>
                <w:sz w:val="19"/>
                <w:szCs w:val="19"/>
              </w:rPr>
              <w:t>2015-16</w:t>
            </w:r>
          </w:p>
        </w:tc>
        <w:tc>
          <w:tcPr>
            <w:tcW w:w="1264" w:type="dxa"/>
            <w:tcBorders>
              <w:top w:val="single" w:sz="4" w:space="0" w:color="auto"/>
              <w:left w:val="nil"/>
              <w:bottom w:val="single" w:sz="4" w:space="0" w:color="auto"/>
              <w:right w:val="nil"/>
            </w:tcBorders>
            <w:noWrap/>
            <w:vAlign w:val="center"/>
            <w:hideMark/>
          </w:tcPr>
          <w:p w14:paraId="45B2ADB1" w14:textId="77777777" w:rsidR="007117DA" w:rsidRDefault="007117DA" w:rsidP="00A90A24">
            <w:pPr>
              <w:spacing w:before="0" w:after="0" w:line="240" w:lineRule="auto"/>
              <w:jc w:val="center"/>
              <w:rPr>
                <w:b/>
                <w:kern w:val="0"/>
                <w:sz w:val="19"/>
                <w:szCs w:val="19"/>
              </w:rPr>
            </w:pPr>
            <w:r>
              <w:rPr>
                <w:b/>
                <w:kern w:val="0"/>
                <w:sz w:val="19"/>
                <w:szCs w:val="19"/>
              </w:rPr>
              <w:t>2016-17</w:t>
            </w:r>
          </w:p>
        </w:tc>
        <w:tc>
          <w:tcPr>
            <w:tcW w:w="1263" w:type="dxa"/>
            <w:tcBorders>
              <w:top w:val="single" w:sz="4" w:space="0" w:color="auto"/>
              <w:left w:val="nil"/>
              <w:bottom w:val="single" w:sz="4" w:space="0" w:color="auto"/>
              <w:right w:val="nil"/>
            </w:tcBorders>
            <w:noWrap/>
            <w:vAlign w:val="center"/>
            <w:hideMark/>
          </w:tcPr>
          <w:p w14:paraId="72BE45A6" w14:textId="77777777" w:rsidR="007117DA" w:rsidRDefault="007117DA" w:rsidP="00A90A24">
            <w:pPr>
              <w:spacing w:before="0" w:after="0" w:line="240" w:lineRule="auto"/>
              <w:jc w:val="center"/>
              <w:rPr>
                <w:b/>
                <w:kern w:val="0"/>
                <w:sz w:val="19"/>
                <w:szCs w:val="19"/>
              </w:rPr>
            </w:pPr>
            <w:r>
              <w:rPr>
                <w:b/>
                <w:kern w:val="0"/>
                <w:sz w:val="19"/>
                <w:szCs w:val="19"/>
              </w:rPr>
              <w:t>2017-18</w:t>
            </w:r>
          </w:p>
        </w:tc>
        <w:tc>
          <w:tcPr>
            <w:tcW w:w="1263" w:type="dxa"/>
            <w:tcBorders>
              <w:top w:val="single" w:sz="4" w:space="0" w:color="auto"/>
              <w:left w:val="nil"/>
              <w:bottom w:val="single" w:sz="4" w:space="0" w:color="auto"/>
              <w:right w:val="nil"/>
            </w:tcBorders>
            <w:vAlign w:val="center"/>
            <w:hideMark/>
          </w:tcPr>
          <w:p w14:paraId="0882F628" w14:textId="77777777" w:rsidR="007117DA" w:rsidRDefault="007117DA" w:rsidP="00A90A24">
            <w:pPr>
              <w:spacing w:before="0" w:after="0" w:line="240" w:lineRule="auto"/>
              <w:jc w:val="center"/>
              <w:rPr>
                <w:b/>
                <w:kern w:val="0"/>
                <w:sz w:val="19"/>
                <w:szCs w:val="19"/>
              </w:rPr>
            </w:pPr>
            <w:r>
              <w:rPr>
                <w:b/>
                <w:kern w:val="0"/>
                <w:sz w:val="19"/>
                <w:szCs w:val="19"/>
              </w:rPr>
              <w:t>2018-19</w:t>
            </w:r>
          </w:p>
        </w:tc>
        <w:tc>
          <w:tcPr>
            <w:tcW w:w="1264" w:type="dxa"/>
            <w:tcBorders>
              <w:top w:val="single" w:sz="4" w:space="0" w:color="auto"/>
              <w:left w:val="nil"/>
              <w:bottom w:val="single" w:sz="4" w:space="0" w:color="auto"/>
              <w:right w:val="nil"/>
            </w:tcBorders>
            <w:vAlign w:val="center"/>
            <w:hideMark/>
          </w:tcPr>
          <w:p w14:paraId="232A11F5" w14:textId="77777777" w:rsidR="007117DA" w:rsidRDefault="007117DA" w:rsidP="00A90A24">
            <w:pPr>
              <w:spacing w:before="0" w:after="0" w:line="240" w:lineRule="auto"/>
              <w:jc w:val="center"/>
              <w:rPr>
                <w:b/>
                <w:kern w:val="0"/>
                <w:sz w:val="19"/>
                <w:szCs w:val="19"/>
              </w:rPr>
            </w:pPr>
            <w:r>
              <w:rPr>
                <w:b/>
                <w:kern w:val="0"/>
                <w:sz w:val="19"/>
                <w:szCs w:val="19"/>
              </w:rPr>
              <w:t>2019-2020</w:t>
            </w:r>
          </w:p>
        </w:tc>
      </w:tr>
      <w:tr w:rsidR="007117DA" w14:paraId="0F964844" w14:textId="77777777" w:rsidTr="00A90A24">
        <w:trPr>
          <w:trHeight w:val="340"/>
        </w:trPr>
        <w:tc>
          <w:tcPr>
            <w:tcW w:w="1651" w:type="dxa"/>
            <w:tcBorders>
              <w:top w:val="single" w:sz="4" w:space="0" w:color="auto"/>
              <w:left w:val="nil"/>
              <w:bottom w:val="nil"/>
              <w:right w:val="nil"/>
            </w:tcBorders>
            <w:vAlign w:val="center"/>
            <w:hideMark/>
          </w:tcPr>
          <w:p w14:paraId="2E51599A" w14:textId="18D2FBDC" w:rsidR="007117DA" w:rsidRDefault="00D120D3" w:rsidP="00A90A24">
            <w:pPr>
              <w:spacing w:before="0" w:after="0" w:line="240" w:lineRule="auto"/>
              <w:jc w:val="left"/>
              <w:rPr>
                <w:kern w:val="0"/>
                <w:sz w:val="19"/>
                <w:szCs w:val="19"/>
              </w:rPr>
            </w:pPr>
            <w:r>
              <w:rPr>
                <w:kern w:val="0"/>
                <w:sz w:val="19"/>
                <w:szCs w:val="19"/>
              </w:rPr>
              <w:t>A</w:t>
            </w:r>
            <w:r w:rsidR="007117DA">
              <w:rPr>
                <w:kern w:val="0"/>
                <w:sz w:val="19"/>
                <w:szCs w:val="19"/>
              </w:rPr>
              <w:t>ll water</w:t>
            </w:r>
          </w:p>
        </w:tc>
        <w:tc>
          <w:tcPr>
            <w:tcW w:w="1263" w:type="dxa"/>
            <w:tcBorders>
              <w:top w:val="single" w:sz="4" w:space="0" w:color="auto"/>
              <w:left w:val="nil"/>
              <w:bottom w:val="nil"/>
              <w:right w:val="nil"/>
            </w:tcBorders>
            <w:noWrap/>
            <w:vAlign w:val="center"/>
            <w:hideMark/>
          </w:tcPr>
          <w:p w14:paraId="01E740EA" w14:textId="77777777" w:rsidR="007117DA" w:rsidRDefault="007117DA" w:rsidP="00A90A24">
            <w:pPr>
              <w:spacing w:before="0" w:after="0" w:line="240" w:lineRule="auto"/>
              <w:jc w:val="center"/>
              <w:rPr>
                <w:kern w:val="0"/>
                <w:sz w:val="19"/>
                <w:szCs w:val="19"/>
              </w:rPr>
            </w:pPr>
            <w:r>
              <w:rPr>
                <w:sz w:val="19"/>
                <w:szCs w:val="19"/>
              </w:rPr>
              <w:t>27</w:t>
            </w:r>
          </w:p>
        </w:tc>
        <w:tc>
          <w:tcPr>
            <w:tcW w:w="1263" w:type="dxa"/>
            <w:tcBorders>
              <w:top w:val="single" w:sz="4" w:space="0" w:color="auto"/>
              <w:left w:val="nil"/>
              <w:bottom w:val="nil"/>
              <w:right w:val="nil"/>
            </w:tcBorders>
            <w:noWrap/>
            <w:vAlign w:val="center"/>
            <w:hideMark/>
          </w:tcPr>
          <w:p w14:paraId="1FB20DED" w14:textId="77777777" w:rsidR="007117DA" w:rsidRDefault="007117DA" w:rsidP="00A90A24">
            <w:pPr>
              <w:spacing w:before="0" w:after="0" w:line="240" w:lineRule="auto"/>
              <w:jc w:val="center"/>
              <w:rPr>
                <w:kern w:val="0"/>
                <w:sz w:val="19"/>
                <w:szCs w:val="19"/>
              </w:rPr>
            </w:pPr>
            <w:r>
              <w:rPr>
                <w:sz w:val="19"/>
                <w:szCs w:val="19"/>
              </w:rPr>
              <w:t>23.5</w:t>
            </w:r>
          </w:p>
        </w:tc>
        <w:tc>
          <w:tcPr>
            <w:tcW w:w="1264" w:type="dxa"/>
            <w:tcBorders>
              <w:top w:val="single" w:sz="4" w:space="0" w:color="auto"/>
              <w:left w:val="nil"/>
              <w:bottom w:val="nil"/>
              <w:right w:val="nil"/>
            </w:tcBorders>
            <w:noWrap/>
            <w:vAlign w:val="center"/>
            <w:hideMark/>
          </w:tcPr>
          <w:p w14:paraId="0CCD0A6E" w14:textId="77777777" w:rsidR="007117DA" w:rsidRDefault="007117DA" w:rsidP="00A90A24">
            <w:pPr>
              <w:spacing w:before="0" w:after="0" w:line="240" w:lineRule="auto"/>
              <w:jc w:val="center"/>
              <w:rPr>
                <w:kern w:val="0"/>
                <w:sz w:val="19"/>
                <w:szCs w:val="19"/>
              </w:rPr>
            </w:pPr>
            <w:r>
              <w:rPr>
                <w:sz w:val="19"/>
                <w:szCs w:val="19"/>
              </w:rPr>
              <w:t>2,939</w:t>
            </w:r>
          </w:p>
        </w:tc>
        <w:tc>
          <w:tcPr>
            <w:tcW w:w="1263" w:type="dxa"/>
            <w:tcBorders>
              <w:top w:val="single" w:sz="4" w:space="0" w:color="auto"/>
              <w:left w:val="nil"/>
              <w:bottom w:val="nil"/>
              <w:right w:val="nil"/>
            </w:tcBorders>
            <w:noWrap/>
            <w:vAlign w:val="center"/>
            <w:hideMark/>
          </w:tcPr>
          <w:p w14:paraId="3115D376" w14:textId="77777777" w:rsidR="007117DA" w:rsidRDefault="007117DA" w:rsidP="00A90A24">
            <w:pPr>
              <w:spacing w:before="0" w:after="0" w:line="240" w:lineRule="auto"/>
              <w:jc w:val="center"/>
              <w:rPr>
                <w:kern w:val="0"/>
                <w:sz w:val="19"/>
                <w:szCs w:val="19"/>
              </w:rPr>
            </w:pPr>
            <w:r>
              <w:rPr>
                <w:sz w:val="19"/>
                <w:szCs w:val="19"/>
              </w:rPr>
              <w:t>221.5</w:t>
            </w:r>
          </w:p>
        </w:tc>
        <w:tc>
          <w:tcPr>
            <w:tcW w:w="1263" w:type="dxa"/>
            <w:tcBorders>
              <w:top w:val="single" w:sz="4" w:space="0" w:color="auto"/>
              <w:left w:val="nil"/>
              <w:bottom w:val="nil"/>
              <w:right w:val="nil"/>
            </w:tcBorders>
            <w:vAlign w:val="center"/>
            <w:hideMark/>
          </w:tcPr>
          <w:p w14:paraId="2D5E23DE" w14:textId="77777777" w:rsidR="007117DA" w:rsidRDefault="007117DA" w:rsidP="00A90A24">
            <w:pPr>
              <w:spacing w:before="0" w:after="0" w:line="240" w:lineRule="auto"/>
              <w:jc w:val="center"/>
              <w:rPr>
                <w:kern w:val="0"/>
                <w:sz w:val="19"/>
                <w:szCs w:val="19"/>
              </w:rPr>
            </w:pPr>
            <w:r>
              <w:rPr>
                <w:sz w:val="19"/>
                <w:szCs w:val="19"/>
              </w:rPr>
              <w:t>5.8</w:t>
            </w:r>
          </w:p>
        </w:tc>
        <w:tc>
          <w:tcPr>
            <w:tcW w:w="1264" w:type="dxa"/>
            <w:tcBorders>
              <w:top w:val="single" w:sz="4" w:space="0" w:color="auto"/>
              <w:left w:val="nil"/>
              <w:bottom w:val="nil"/>
              <w:right w:val="nil"/>
            </w:tcBorders>
            <w:vAlign w:val="center"/>
            <w:hideMark/>
          </w:tcPr>
          <w:p w14:paraId="0F92D8DD" w14:textId="77777777" w:rsidR="007117DA" w:rsidRDefault="007117DA" w:rsidP="00A90A24">
            <w:pPr>
              <w:spacing w:before="0" w:after="0" w:line="240" w:lineRule="auto"/>
              <w:jc w:val="center"/>
              <w:rPr>
                <w:sz w:val="19"/>
                <w:szCs w:val="19"/>
              </w:rPr>
            </w:pPr>
            <w:r>
              <w:rPr>
                <w:sz w:val="19"/>
                <w:szCs w:val="19"/>
              </w:rPr>
              <w:t>5.5</w:t>
            </w:r>
          </w:p>
        </w:tc>
      </w:tr>
      <w:tr w:rsidR="007117DA" w14:paraId="6454BC1A" w14:textId="77777777" w:rsidTr="00A90A24">
        <w:trPr>
          <w:trHeight w:val="340"/>
        </w:trPr>
        <w:tc>
          <w:tcPr>
            <w:tcW w:w="1651" w:type="dxa"/>
            <w:vAlign w:val="center"/>
            <w:hideMark/>
          </w:tcPr>
          <w:p w14:paraId="135F121A" w14:textId="77777777" w:rsidR="007117DA" w:rsidRDefault="007117DA" w:rsidP="00A90A24">
            <w:pPr>
              <w:spacing w:before="0" w:after="0" w:line="240" w:lineRule="auto"/>
              <w:jc w:val="left"/>
              <w:rPr>
                <w:kern w:val="0"/>
                <w:sz w:val="19"/>
                <w:szCs w:val="19"/>
              </w:rPr>
            </w:pPr>
            <w:r>
              <w:rPr>
                <w:kern w:val="0"/>
                <w:sz w:val="19"/>
                <w:szCs w:val="19"/>
              </w:rPr>
              <w:t>No CEW</w:t>
            </w:r>
          </w:p>
        </w:tc>
        <w:tc>
          <w:tcPr>
            <w:tcW w:w="1263" w:type="dxa"/>
            <w:noWrap/>
            <w:vAlign w:val="center"/>
            <w:hideMark/>
          </w:tcPr>
          <w:p w14:paraId="4146282B" w14:textId="77777777" w:rsidR="007117DA" w:rsidRDefault="007117DA" w:rsidP="00A90A24">
            <w:pPr>
              <w:spacing w:before="0" w:after="0" w:line="240" w:lineRule="auto"/>
              <w:jc w:val="center"/>
              <w:rPr>
                <w:kern w:val="0"/>
                <w:sz w:val="19"/>
                <w:szCs w:val="19"/>
              </w:rPr>
            </w:pPr>
            <w:r>
              <w:rPr>
                <w:sz w:val="19"/>
                <w:szCs w:val="19"/>
              </w:rPr>
              <w:t>21</w:t>
            </w:r>
          </w:p>
        </w:tc>
        <w:tc>
          <w:tcPr>
            <w:tcW w:w="1263" w:type="dxa"/>
            <w:noWrap/>
            <w:vAlign w:val="center"/>
            <w:hideMark/>
          </w:tcPr>
          <w:p w14:paraId="3B7FC05B" w14:textId="77777777" w:rsidR="007117DA" w:rsidRDefault="007117DA" w:rsidP="00A90A24">
            <w:pPr>
              <w:spacing w:before="0" w:after="0" w:line="240" w:lineRule="auto"/>
              <w:jc w:val="center"/>
              <w:rPr>
                <w:kern w:val="0"/>
                <w:sz w:val="19"/>
                <w:szCs w:val="19"/>
              </w:rPr>
            </w:pPr>
            <w:r>
              <w:rPr>
                <w:sz w:val="19"/>
                <w:szCs w:val="19"/>
              </w:rPr>
              <w:t>1.9</w:t>
            </w:r>
          </w:p>
        </w:tc>
        <w:tc>
          <w:tcPr>
            <w:tcW w:w="1264" w:type="dxa"/>
            <w:noWrap/>
            <w:vAlign w:val="center"/>
            <w:hideMark/>
          </w:tcPr>
          <w:p w14:paraId="2F032885" w14:textId="77777777" w:rsidR="007117DA" w:rsidRDefault="007117DA" w:rsidP="00A90A24">
            <w:pPr>
              <w:spacing w:before="0" w:after="0" w:line="240" w:lineRule="auto"/>
              <w:jc w:val="center"/>
              <w:rPr>
                <w:kern w:val="0"/>
                <w:sz w:val="19"/>
                <w:szCs w:val="19"/>
              </w:rPr>
            </w:pPr>
            <w:r>
              <w:rPr>
                <w:sz w:val="19"/>
                <w:szCs w:val="19"/>
              </w:rPr>
              <w:t>2,748</w:t>
            </w:r>
          </w:p>
        </w:tc>
        <w:tc>
          <w:tcPr>
            <w:tcW w:w="1263" w:type="dxa"/>
            <w:noWrap/>
            <w:vAlign w:val="center"/>
            <w:hideMark/>
          </w:tcPr>
          <w:p w14:paraId="27363868" w14:textId="77777777" w:rsidR="007117DA" w:rsidRDefault="007117DA" w:rsidP="00A90A24">
            <w:pPr>
              <w:spacing w:before="0" w:after="0" w:line="240" w:lineRule="auto"/>
              <w:jc w:val="center"/>
              <w:rPr>
                <w:kern w:val="0"/>
                <w:sz w:val="19"/>
                <w:szCs w:val="19"/>
              </w:rPr>
            </w:pPr>
            <w:r>
              <w:rPr>
                <w:sz w:val="19"/>
                <w:szCs w:val="19"/>
              </w:rPr>
              <w:t>63.9</w:t>
            </w:r>
          </w:p>
        </w:tc>
        <w:tc>
          <w:tcPr>
            <w:tcW w:w="1263" w:type="dxa"/>
            <w:vAlign w:val="center"/>
            <w:hideMark/>
          </w:tcPr>
          <w:p w14:paraId="661EA933" w14:textId="77777777" w:rsidR="007117DA" w:rsidRDefault="007117DA" w:rsidP="00A90A24">
            <w:pPr>
              <w:spacing w:before="0" w:after="0" w:line="240" w:lineRule="auto"/>
              <w:jc w:val="center"/>
              <w:rPr>
                <w:kern w:val="0"/>
                <w:sz w:val="19"/>
                <w:szCs w:val="19"/>
              </w:rPr>
            </w:pPr>
            <w:r>
              <w:rPr>
                <w:sz w:val="19"/>
                <w:szCs w:val="19"/>
              </w:rPr>
              <w:t>1.6</w:t>
            </w:r>
          </w:p>
        </w:tc>
        <w:tc>
          <w:tcPr>
            <w:tcW w:w="1264" w:type="dxa"/>
            <w:vAlign w:val="center"/>
            <w:hideMark/>
          </w:tcPr>
          <w:p w14:paraId="414DE4F1" w14:textId="77777777" w:rsidR="007117DA" w:rsidRDefault="007117DA" w:rsidP="00A90A24">
            <w:pPr>
              <w:spacing w:before="0" w:after="0" w:line="240" w:lineRule="auto"/>
              <w:jc w:val="center"/>
              <w:rPr>
                <w:sz w:val="19"/>
                <w:szCs w:val="19"/>
              </w:rPr>
            </w:pPr>
            <w:r>
              <w:rPr>
                <w:sz w:val="19"/>
                <w:szCs w:val="19"/>
              </w:rPr>
              <w:t>0</w:t>
            </w:r>
          </w:p>
        </w:tc>
      </w:tr>
      <w:tr w:rsidR="007117DA" w14:paraId="7ABACF6D" w14:textId="77777777" w:rsidTr="00A90A24">
        <w:trPr>
          <w:trHeight w:val="340"/>
        </w:trPr>
        <w:tc>
          <w:tcPr>
            <w:tcW w:w="1651" w:type="dxa"/>
            <w:tcBorders>
              <w:top w:val="nil"/>
              <w:left w:val="nil"/>
              <w:bottom w:val="single" w:sz="4" w:space="0" w:color="auto"/>
              <w:right w:val="nil"/>
            </w:tcBorders>
            <w:vAlign w:val="center"/>
            <w:hideMark/>
          </w:tcPr>
          <w:p w14:paraId="21C12762" w14:textId="77777777" w:rsidR="007117DA" w:rsidRDefault="007117DA" w:rsidP="00A90A24">
            <w:pPr>
              <w:spacing w:before="0" w:after="0" w:line="240" w:lineRule="auto"/>
              <w:jc w:val="left"/>
              <w:rPr>
                <w:kern w:val="0"/>
                <w:sz w:val="19"/>
                <w:szCs w:val="19"/>
              </w:rPr>
            </w:pPr>
            <w:r>
              <w:rPr>
                <w:kern w:val="0"/>
                <w:sz w:val="19"/>
                <w:szCs w:val="19"/>
              </w:rPr>
              <w:t>No eWater</w:t>
            </w:r>
          </w:p>
        </w:tc>
        <w:tc>
          <w:tcPr>
            <w:tcW w:w="1263" w:type="dxa"/>
            <w:tcBorders>
              <w:top w:val="nil"/>
              <w:left w:val="nil"/>
              <w:bottom w:val="single" w:sz="4" w:space="0" w:color="auto"/>
              <w:right w:val="nil"/>
            </w:tcBorders>
            <w:noWrap/>
            <w:vAlign w:val="center"/>
            <w:hideMark/>
          </w:tcPr>
          <w:p w14:paraId="0A10B0B3" w14:textId="77777777" w:rsidR="007117DA" w:rsidRDefault="007117DA" w:rsidP="00A90A24">
            <w:pPr>
              <w:spacing w:before="0" w:after="0" w:line="240" w:lineRule="auto"/>
              <w:jc w:val="center"/>
              <w:rPr>
                <w:kern w:val="0"/>
                <w:sz w:val="19"/>
                <w:szCs w:val="19"/>
              </w:rPr>
            </w:pPr>
            <w:r>
              <w:rPr>
                <w:sz w:val="19"/>
                <w:szCs w:val="19"/>
              </w:rPr>
              <w:t>19</w:t>
            </w:r>
          </w:p>
        </w:tc>
        <w:tc>
          <w:tcPr>
            <w:tcW w:w="1263" w:type="dxa"/>
            <w:tcBorders>
              <w:top w:val="nil"/>
              <w:left w:val="nil"/>
              <w:bottom w:val="single" w:sz="4" w:space="0" w:color="auto"/>
              <w:right w:val="nil"/>
            </w:tcBorders>
            <w:noWrap/>
            <w:vAlign w:val="center"/>
            <w:hideMark/>
          </w:tcPr>
          <w:p w14:paraId="3D576B30" w14:textId="77777777" w:rsidR="007117DA" w:rsidRDefault="007117DA" w:rsidP="00A90A24">
            <w:pPr>
              <w:spacing w:before="0" w:after="0" w:line="240" w:lineRule="auto"/>
              <w:jc w:val="center"/>
              <w:rPr>
                <w:kern w:val="0"/>
                <w:sz w:val="19"/>
                <w:szCs w:val="19"/>
              </w:rPr>
            </w:pPr>
            <w:r>
              <w:rPr>
                <w:sz w:val="19"/>
                <w:szCs w:val="19"/>
              </w:rPr>
              <w:t>1.5</w:t>
            </w:r>
          </w:p>
        </w:tc>
        <w:tc>
          <w:tcPr>
            <w:tcW w:w="1264" w:type="dxa"/>
            <w:tcBorders>
              <w:top w:val="nil"/>
              <w:left w:val="nil"/>
              <w:bottom w:val="single" w:sz="4" w:space="0" w:color="auto"/>
              <w:right w:val="nil"/>
            </w:tcBorders>
            <w:noWrap/>
            <w:vAlign w:val="center"/>
            <w:hideMark/>
          </w:tcPr>
          <w:p w14:paraId="5DB7F810" w14:textId="77777777" w:rsidR="007117DA" w:rsidRDefault="007117DA" w:rsidP="00A90A24">
            <w:pPr>
              <w:spacing w:before="0" w:after="0" w:line="240" w:lineRule="auto"/>
              <w:jc w:val="center"/>
              <w:rPr>
                <w:kern w:val="0"/>
                <w:sz w:val="19"/>
                <w:szCs w:val="19"/>
              </w:rPr>
            </w:pPr>
            <w:r>
              <w:rPr>
                <w:sz w:val="19"/>
                <w:szCs w:val="19"/>
              </w:rPr>
              <w:t>2,629</w:t>
            </w:r>
          </w:p>
        </w:tc>
        <w:tc>
          <w:tcPr>
            <w:tcW w:w="1263" w:type="dxa"/>
            <w:tcBorders>
              <w:top w:val="nil"/>
              <w:left w:val="nil"/>
              <w:bottom w:val="single" w:sz="4" w:space="0" w:color="auto"/>
              <w:right w:val="nil"/>
            </w:tcBorders>
            <w:noWrap/>
            <w:vAlign w:val="center"/>
            <w:hideMark/>
          </w:tcPr>
          <w:p w14:paraId="75B45FAA" w14:textId="77777777" w:rsidR="007117DA" w:rsidRDefault="007117DA" w:rsidP="00A90A24">
            <w:pPr>
              <w:spacing w:before="0" w:after="0" w:line="240" w:lineRule="auto"/>
              <w:jc w:val="center"/>
              <w:rPr>
                <w:kern w:val="0"/>
                <w:sz w:val="19"/>
                <w:szCs w:val="19"/>
              </w:rPr>
            </w:pPr>
            <w:r>
              <w:rPr>
                <w:sz w:val="19"/>
                <w:szCs w:val="19"/>
              </w:rPr>
              <w:t>25.7</w:t>
            </w:r>
          </w:p>
        </w:tc>
        <w:tc>
          <w:tcPr>
            <w:tcW w:w="1263" w:type="dxa"/>
            <w:tcBorders>
              <w:top w:val="nil"/>
              <w:left w:val="nil"/>
              <w:bottom w:val="single" w:sz="4" w:space="0" w:color="auto"/>
              <w:right w:val="nil"/>
            </w:tcBorders>
            <w:vAlign w:val="center"/>
            <w:hideMark/>
          </w:tcPr>
          <w:p w14:paraId="23C70581" w14:textId="77777777" w:rsidR="007117DA" w:rsidRDefault="007117DA" w:rsidP="00A90A24">
            <w:pPr>
              <w:spacing w:before="0" w:after="0" w:line="240" w:lineRule="auto"/>
              <w:jc w:val="center"/>
              <w:rPr>
                <w:kern w:val="0"/>
                <w:sz w:val="19"/>
                <w:szCs w:val="19"/>
              </w:rPr>
            </w:pPr>
            <w:r>
              <w:rPr>
                <w:sz w:val="19"/>
                <w:szCs w:val="19"/>
              </w:rPr>
              <w:t>0</w:t>
            </w:r>
          </w:p>
        </w:tc>
        <w:tc>
          <w:tcPr>
            <w:tcW w:w="1264" w:type="dxa"/>
            <w:tcBorders>
              <w:top w:val="nil"/>
              <w:left w:val="nil"/>
              <w:bottom w:val="single" w:sz="4" w:space="0" w:color="auto"/>
              <w:right w:val="nil"/>
            </w:tcBorders>
            <w:vAlign w:val="center"/>
            <w:hideMark/>
          </w:tcPr>
          <w:p w14:paraId="252AEC5F" w14:textId="77777777" w:rsidR="007117DA" w:rsidRDefault="007117DA" w:rsidP="00A90A24">
            <w:pPr>
              <w:spacing w:before="0" w:after="0" w:line="240" w:lineRule="auto"/>
              <w:jc w:val="center"/>
              <w:rPr>
                <w:sz w:val="19"/>
                <w:szCs w:val="19"/>
              </w:rPr>
            </w:pPr>
            <w:r>
              <w:rPr>
                <w:sz w:val="19"/>
                <w:szCs w:val="19"/>
              </w:rPr>
              <w:t>0</w:t>
            </w:r>
          </w:p>
        </w:tc>
      </w:tr>
    </w:tbl>
    <w:p w14:paraId="6BB47D69" w14:textId="77777777" w:rsidR="007117DA" w:rsidRDefault="007117DA" w:rsidP="007117DA">
      <w:pPr>
        <w:spacing w:before="0" w:after="0"/>
        <w:jc w:val="left"/>
        <w:rPr>
          <w:rFonts w:eastAsiaTheme="majorEastAsia" w:cstheme="majorBidi"/>
          <w:b/>
          <w:i/>
          <w:color w:val="44546A" w:themeColor="text2"/>
          <w:sz w:val="24"/>
          <w:szCs w:val="24"/>
        </w:rPr>
        <w:sectPr w:rsidR="007117DA">
          <w:pgSz w:w="11900" w:h="16840"/>
          <w:pgMar w:top="1440" w:right="1440" w:bottom="1440" w:left="1440" w:header="709" w:footer="709" w:gutter="0"/>
          <w:cols w:space="720"/>
        </w:sectPr>
      </w:pPr>
    </w:p>
    <w:p w14:paraId="063C05E1" w14:textId="77777777" w:rsidR="007117DA" w:rsidRDefault="007117DA" w:rsidP="007117DA">
      <w:pPr>
        <w:pStyle w:val="Heading3"/>
      </w:pPr>
      <w:r>
        <w:t>Evaluation</w:t>
      </w:r>
    </w:p>
    <w:p w14:paraId="47BA4F65" w14:textId="6B403D17" w:rsidR="007117DA" w:rsidRDefault="007117DA" w:rsidP="007117DA">
      <w:r>
        <w:t xml:space="preserve">The evaluation approach, including assessment criteria, is described in the evaluation section for Hydraulic Regime (Section </w:t>
      </w:r>
      <w:r>
        <w:fldChar w:fldCharType="begin"/>
      </w:r>
      <w:r>
        <w:instrText xml:space="preserve"> REF _Ref35872226 \r \h  \* MERGEFORMAT </w:instrText>
      </w:r>
      <w:r>
        <w:fldChar w:fldCharType="separate"/>
      </w:r>
      <w:r w:rsidR="00241910">
        <w:t>2.1</w:t>
      </w:r>
      <w:r>
        <w:fldChar w:fldCharType="end"/>
      </w:r>
      <w:r>
        <w:t>).</w:t>
      </w:r>
    </w:p>
    <w:p w14:paraId="5184BA8B" w14:textId="76638EEC" w:rsidR="007117DA" w:rsidRDefault="00CE5EF5" w:rsidP="00CE5EF5">
      <w:pPr>
        <w:pStyle w:val="Caption"/>
      </w:pPr>
      <w:bookmarkStart w:id="177" w:name="_Toc59032080"/>
      <w:bookmarkStart w:id="178" w:name="_Toc69387737"/>
      <w:r>
        <w:t xml:space="preserve">Table </w:t>
      </w:r>
      <w:r w:rsidR="006C38E9">
        <w:fldChar w:fldCharType="begin"/>
      </w:r>
      <w:r w:rsidR="006C38E9">
        <w:instrText xml:space="preserve"> SEQ Table</w:instrText>
      </w:r>
      <w:r w:rsidR="006C38E9">
        <w:instrText xml:space="preserve"> \* ARABIC </w:instrText>
      </w:r>
      <w:r w:rsidR="006C38E9">
        <w:fldChar w:fldCharType="separate"/>
      </w:r>
      <w:r>
        <w:rPr>
          <w:noProof/>
        </w:rPr>
        <w:t>8</w:t>
      </w:r>
      <w:r w:rsidR="006C38E9">
        <w:rPr>
          <w:noProof/>
        </w:rPr>
        <w:fldChar w:fldCharType="end"/>
      </w:r>
      <w:r w:rsidR="007117DA">
        <w:rPr>
          <w:noProof/>
        </w:rPr>
        <w:t>.</w:t>
      </w:r>
      <w:r w:rsidR="007117DA">
        <w:t xml:space="preserve"> Matter Transport evaluation questions and answers. CEW = Commonwealth environmental water.</w:t>
      </w:r>
      <w:bookmarkEnd w:id="177"/>
      <w:bookmarkEnd w:id="178"/>
      <w:r w:rsidR="007117DA">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73"/>
        <w:gridCol w:w="1390"/>
        <w:gridCol w:w="941"/>
        <w:gridCol w:w="941"/>
        <w:gridCol w:w="941"/>
        <w:gridCol w:w="943"/>
        <w:gridCol w:w="1039"/>
        <w:gridCol w:w="1648"/>
      </w:tblGrid>
      <w:tr w:rsidR="007117DA" w14:paraId="08D0F711" w14:textId="77777777" w:rsidTr="00CB66A4">
        <w:trPr>
          <w:cantSplit/>
          <w:trHeight w:val="20"/>
          <w:tblHeader/>
        </w:trPr>
        <w:tc>
          <w:tcPr>
            <w:tcW w:w="1421" w:type="pct"/>
            <w:gridSpan w:val="2"/>
            <w:vMerge w:val="restart"/>
            <w:tcBorders>
              <w:top w:val="single" w:sz="4" w:space="0" w:color="auto"/>
              <w:left w:val="single" w:sz="4" w:space="0" w:color="auto"/>
              <w:bottom w:val="single" w:sz="4" w:space="0" w:color="auto"/>
              <w:right w:val="single" w:sz="4" w:space="0" w:color="auto"/>
            </w:tcBorders>
            <w:hideMark/>
          </w:tcPr>
          <w:p w14:paraId="6BF55311" w14:textId="77777777" w:rsidR="007117DA" w:rsidRDefault="007117DA" w:rsidP="00A90A24">
            <w:pPr>
              <w:jc w:val="center"/>
              <w:rPr>
                <w:rFonts w:cs="Arial"/>
                <w:b/>
                <w:sz w:val="19"/>
                <w:szCs w:val="19"/>
              </w:rPr>
            </w:pPr>
            <w:r>
              <w:rPr>
                <w:rFonts w:cs="Arial"/>
                <w:b/>
                <w:sz w:val="19"/>
                <w:szCs w:val="19"/>
              </w:rPr>
              <w:t xml:space="preserve">CEWO evaluation questions </w:t>
            </w:r>
          </w:p>
        </w:tc>
        <w:tc>
          <w:tcPr>
            <w:tcW w:w="3579" w:type="pct"/>
            <w:gridSpan w:val="6"/>
            <w:tcBorders>
              <w:top w:val="single" w:sz="4" w:space="0" w:color="auto"/>
              <w:left w:val="single" w:sz="4" w:space="0" w:color="auto"/>
              <w:bottom w:val="single" w:sz="4" w:space="0" w:color="auto"/>
              <w:right w:val="single" w:sz="4" w:space="0" w:color="auto"/>
            </w:tcBorders>
            <w:vAlign w:val="bottom"/>
            <w:hideMark/>
          </w:tcPr>
          <w:p w14:paraId="3D809495" w14:textId="77777777" w:rsidR="007117DA" w:rsidRDefault="007117DA" w:rsidP="00A90A24">
            <w:pPr>
              <w:jc w:val="center"/>
              <w:rPr>
                <w:rFonts w:cs="Arial"/>
                <w:b/>
                <w:sz w:val="19"/>
                <w:szCs w:val="19"/>
              </w:rPr>
            </w:pPr>
            <w:r>
              <w:rPr>
                <w:rFonts w:cs="Arial"/>
                <w:b/>
                <w:sz w:val="19"/>
                <w:szCs w:val="19"/>
              </w:rPr>
              <w:t>Outcomes of CEW delivery</w:t>
            </w:r>
          </w:p>
        </w:tc>
      </w:tr>
      <w:tr w:rsidR="007117DA" w14:paraId="65813BA5" w14:textId="77777777" w:rsidTr="00CB66A4">
        <w:trPr>
          <w:cantSplit/>
          <w:trHeight w:val="20"/>
          <w:tblHeader/>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53A2FFF8" w14:textId="77777777" w:rsidR="007117DA" w:rsidRDefault="007117DA" w:rsidP="00A90A24">
            <w:pPr>
              <w:spacing w:before="0" w:after="0" w:line="256" w:lineRule="auto"/>
              <w:jc w:val="left"/>
              <w:rPr>
                <w:rFonts w:cs="Arial"/>
                <w:b/>
                <w:sz w:val="19"/>
                <w:szCs w:val="19"/>
              </w:rPr>
            </w:pPr>
          </w:p>
        </w:tc>
        <w:tc>
          <w:tcPr>
            <w:tcW w:w="522" w:type="pct"/>
            <w:tcBorders>
              <w:top w:val="single" w:sz="4" w:space="0" w:color="auto"/>
              <w:left w:val="single" w:sz="4" w:space="0" w:color="auto"/>
              <w:bottom w:val="single" w:sz="4" w:space="0" w:color="auto"/>
              <w:right w:val="single" w:sz="4" w:space="0" w:color="auto"/>
            </w:tcBorders>
            <w:vAlign w:val="bottom"/>
            <w:hideMark/>
          </w:tcPr>
          <w:p w14:paraId="2F42C129" w14:textId="77777777" w:rsidR="007117DA" w:rsidRDefault="007117DA" w:rsidP="00A90A24">
            <w:pPr>
              <w:jc w:val="center"/>
              <w:rPr>
                <w:rFonts w:cs="Arial"/>
                <w:b/>
                <w:sz w:val="19"/>
                <w:szCs w:val="19"/>
              </w:rPr>
            </w:pPr>
            <w:r>
              <w:rPr>
                <w:rFonts w:cs="Arial"/>
                <w:b/>
                <w:sz w:val="19"/>
                <w:szCs w:val="19"/>
              </w:rPr>
              <w:t>2014-15</w:t>
            </w:r>
          </w:p>
        </w:tc>
        <w:tc>
          <w:tcPr>
            <w:tcW w:w="522" w:type="pct"/>
            <w:tcBorders>
              <w:top w:val="single" w:sz="4" w:space="0" w:color="auto"/>
              <w:left w:val="single" w:sz="4" w:space="0" w:color="auto"/>
              <w:bottom w:val="single" w:sz="4" w:space="0" w:color="auto"/>
              <w:right w:val="single" w:sz="4" w:space="0" w:color="auto"/>
            </w:tcBorders>
            <w:vAlign w:val="bottom"/>
            <w:hideMark/>
          </w:tcPr>
          <w:p w14:paraId="2EF9033C" w14:textId="77777777" w:rsidR="007117DA" w:rsidRDefault="007117DA" w:rsidP="00A90A24">
            <w:pPr>
              <w:jc w:val="center"/>
              <w:rPr>
                <w:rFonts w:cs="Arial"/>
                <w:b/>
                <w:sz w:val="19"/>
                <w:szCs w:val="19"/>
              </w:rPr>
            </w:pPr>
            <w:r>
              <w:rPr>
                <w:rFonts w:cs="Arial"/>
                <w:b/>
                <w:sz w:val="19"/>
                <w:szCs w:val="19"/>
              </w:rPr>
              <w:t>2015-16</w:t>
            </w:r>
          </w:p>
        </w:tc>
        <w:tc>
          <w:tcPr>
            <w:tcW w:w="522" w:type="pct"/>
            <w:tcBorders>
              <w:top w:val="single" w:sz="4" w:space="0" w:color="auto"/>
              <w:left w:val="single" w:sz="4" w:space="0" w:color="auto"/>
              <w:bottom w:val="single" w:sz="4" w:space="0" w:color="auto"/>
              <w:right w:val="single" w:sz="4" w:space="0" w:color="auto"/>
            </w:tcBorders>
            <w:vAlign w:val="bottom"/>
            <w:hideMark/>
          </w:tcPr>
          <w:p w14:paraId="21FDD743" w14:textId="77777777" w:rsidR="007117DA" w:rsidRDefault="007117DA" w:rsidP="00A90A24">
            <w:pPr>
              <w:jc w:val="center"/>
              <w:rPr>
                <w:rFonts w:cs="Arial"/>
                <w:b/>
                <w:sz w:val="19"/>
                <w:szCs w:val="19"/>
              </w:rPr>
            </w:pPr>
            <w:r>
              <w:rPr>
                <w:rFonts w:cs="Arial"/>
                <w:b/>
                <w:sz w:val="19"/>
                <w:szCs w:val="19"/>
              </w:rPr>
              <w:t>2016-17</w:t>
            </w:r>
          </w:p>
        </w:tc>
        <w:tc>
          <w:tcPr>
            <w:tcW w:w="523" w:type="pct"/>
            <w:tcBorders>
              <w:top w:val="single" w:sz="4" w:space="0" w:color="auto"/>
              <w:left w:val="single" w:sz="4" w:space="0" w:color="auto"/>
              <w:bottom w:val="single" w:sz="4" w:space="0" w:color="auto"/>
              <w:right w:val="single" w:sz="4" w:space="0" w:color="auto"/>
            </w:tcBorders>
            <w:vAlign w:val="bottom"/>
            <w:hideMark/>
          </w:tcPr>
          <w:p w14:paraId="2237DD3D" w14:textId="77777777" w:rsidR="007117DA" w:rsidRDefault="007117DA" w:rsidP="00A90A24">
            <w:pPr>
              <w:jc w:val="center"/>
              <w:rPr>
                <w:rFonts w:cs="Arial"/>
                <w:b/>
                <w:sz w:val="19"/>
                <w:szCs w:val="19"/>
              </w:rPr>
            </w:pPr>
            <w:r>
              <w:rPr>
                <w:rFonts w:cs="Arial"/>
                <w:b/>
                <w:sz w:val="19"/>
                <w:szCs w:val="19"/>
              </w:rPr>
              <w:t>2017-18</w:t>
            </w:r>
          </w:p>
        </w:tc>
        <w:tc>
          <w:tcPr>
            <w:tcW w:w="576" w:type="pct"/>
            <w:tcBorders>
              <w:top w:val="single" w:sz="4" w:space="0" w:color="auto"/>
              <w:left w:val="single" w:sz="4" w:space="0" w:color="auto"/>
              <w:bottom w:val="single" w:sz="4" w:space="0" w:color="auto"/>
              <w:right w:val="single" w:sz="4" w:space="0" w:color="auto"/>
            </w:tcBorders>
            <w:vAlign w:val="bottom"/>
            <w:hideMark/>
          </w:tcPr>
          <w:p w14:paraId="542F33F7" w14:textId="77777777" w:rsidR="007117DA" w:rsidRDefault="007117DA" w:rsidP="00A90A24">
            <w:pPr>
              <w:jc w:val="center"/>
              <w:rPr>
                <w:rFonts w:cs="Arial"/>
                <w:b/>
                <w:sz w:val="19"/>
                <w:szCs w:val="19"/>
              </w:rPr>
            </w:pPr>
            <w:r>
              <w:rPr>
                <w:rFonts w:cs="Arial"/>
                <w:b/>
                <w:sz w:val="19"/>
                <w:szCs w:val="19"/>
              </w:rPr>
              <w:t>2018-19</w:t>
            </w:r>
          </w:p>
        </w:tc>
        <w:tc>
          <w:tcPr>
            <w:tcW w:w="915" w:type="pct"/>
            <w:tcBorders>
              <w:top w:val="single" w:sz="4" w:space="0" w:color="auto"/>
              <w:left w:val="single" w:sz="4" w:space="0" w:color="auto"/>
              <w:bottom w:val="single" w:sz="4" w:space="0" w:color="auto"/>
              <w:right w:val="single" w:sz="4" w:space="0" w:color="auto"/>
            </w:tcBorders>
            <w:hideMark/>
          </w:tcPr>
          <w:p w14:paraId="31E97D86" w14:textId="77777777" w:rsidR="007117DA" w:rsidRDefault="007117DA" w:rsidP="00A90A24">
            <w:pPr>
              <w:jc w:val="center"/>
              <w:rPr>
                <w:rFonts w:cs="Arial"/>
                <w:b/>
                <w:sz w:val="19"/>
                <w:szCs w:val="19"/>
              </w:rPr>
            </w:pPr>
            <w:r>
              <w:rPr>
                <w:rFonts w:cs="Arial"/>
                <w:b/>
                <w:sz w:val="19"/>
                <w:szCs w:val="19"/>
              </w:rPr>
              <w:t>2019-20</w:t>
            </w:r>
          </w:p>
        </w:tc>
      </w:tr>
      <w:tr w:rsidR="007117DA" w14:paraId="143CBB11" w14:textId="77777777" w:rsidTr="00CB66A4">
        <w:trPr>
          <w:cantSplit/>
          <w:trHeight w:val="20"/>
        </w:trPr>
        <w:tc>
          <w:tcPr>
            <w:tcW w:w="650" w:type="pct"/>
            <w:vMerge w:val="restart"/>
            <w:tcBorders>
              <w:top w:val="single" w:sz="4" w:space="0" w:color="auto"/>
              <w:left w:val="single" w:sz="4" w:space="0" w:color="auto"/>
              <w:bottom w:val="single" w:sz="4" w:space="0" w:color="auto"/>
              <w:right w:val="single" w:sz="4" w:space="0" w:color="auto"/>
            </w:tcBorders>
          </w:tcPr>
          <w:p w14:paraId="29DA0B19" w14:textId="77777777" w:rsidR="007117DA" w:rsidRDefault="007117DA" w:rsidP="00A90A24">
            <w:pPr>
              <w:jc w:val="left"/>
              <w:rPr>
                <w:rFonts w:cs="Arial"/>
                <w:color w:val="auto"/>
                <w:sz w:val="19"/>
                <w:szCs w:val="19"/>
              </w:rPr>
            </w:pPr>
            <w:r>
              <w:rPr>
                <w:sz w:val="19"/>
                <w:szCs w:val="19"/>
              </w:rPr>
              <w:t>What did CEW contribute to salinity:</w:t>
            </w:r>
          </w:p>
          <w:p w14:paraId="2CE895F9" w14:textId="77777777" w:rsidR="007117DA" w:rsidRDefault="007117DA" w:rsidP="00A90A24">
            <w:pPr>
              <w:jc w:val="left"/>
              <w:rPr>
                <w:rFonts w:cs="Arial"/>
                <w:color w:val="auto"/>
                <w:sz w:val="19"/>
                <w:szCs w:val="19"/>
              </w:rPr>
            </w:pPr>
          </w:p>
        </w:tc>
        <w:tc>
          <w:tcPr>
            <w:tcW w:w="771" w:type="pct"/>
            <w:tcBorders>
              <w:top w:val="single" w:sz="4" w:space="0" w:color="auto"/>
              <w:left w:val="single" w:sz="4" w:space="0" w:color="auto"/>
              <w:bottom w:val="single" w:sz="4" w:space="0" w:color="auto"/>
              <w:right w:val="single" w:sz="4" w:space="0" w:color="auto"/>
            </w:tcBorders>
          </w:tcPr>
          <w:p w14:paraId="71CE4DC4" w14:textId="77777777" w:rsidR="007117DA" w:rsidRDefault="007117DA" w:rsidP="00A90A24">
            <w:pPr>
              <w:jc w:val="right"/>
              <w:rPr>
                <w:rFonts w:cs="Arial"/>
                <w:color w:val="auto"/>
                <w:sz w:val="19"/>
                <w:szCs w:val="19"/>
              </w:rPr>
            </w:pPr>
            <w:r>
              <w:rPr>
                <w:rFonts w:cs="Arial"/>
                <w:color w:val="auto"/>
                <w:sz w:val="19"/>
                <w:szCs w:val="19"/>
              </w:rPr>
              <w:t>Levels?</w:t>
            </w:r>
          </w:p>
          <w:p w14:paraId="128A5004" w14:textId="77777777" w:rsidR="007117DA" w:rsidRDefault="007117DA" w:rsidP="00A90A24">
            <w:pPr>
              <w:jc w:val="right"/>
              <w:rPr>
                <w:rFonts w:cs="Arial"/>
                <w:color w:val="auto"/>
                <w:sz w:val="19"/>
                <w:szCs w:val="19"/>
              </w:rPr>
            </w:pPr>
            <w:r>
              <w:rPr>
                <w:rFonts w:cs="Arial"/>
                <w:color w:val="auto"/>
                <w:sz w:val="19"/>
                <w:szCs w:val="19"/>
              </w:rPr>
              <w:t>Reduction at the Murray Mouth due to CEW (Median salinity presented, PSU)</w:t>
            </w:r>
          </w:p>
        </w:tc>
        <w:tc>
          <w:tcPr>
            <w:tcW w:w="522" w:type="pct"/>
            <w:tcBorders>
              <w:top w:val="single" w:sz="4" w:space="0" w:color="auto"/>
              <w:left w:val="single" w:sz="4" w:space="0" w:color="auto"/>
              <w:bottom w:val="single" w:sz="4" w:space="0" w:color="auto"/>
              <w:right w:val="single" w:sz="4" w:space="0" w:color="auto"/>
            </w:tcBorders>
            <w:shd w:val="clear" w:color="auto" w:fill="70AD47" w:themeFill="accent6"/>
            <w:hideMark/>
          </w:tcPr>
          <w:p w14:paraId="5F2C6E03" w14:textId="77777777" w:rsidR="007117DA" w:rsidRDefault="007117DA" w:rsidP="00A90A24">
            <w:pPr>
              <w:jc w:val="left"/>
              <w:rPr>
                <w:rFonts w:cs="Arial"/>
                <w:color w:val="auto"/>
                <w:sz w:val="19"/>
                <w:szCs w:val="19"/>
              </w:rPr>
            </w:pPr>
            <w:r>
              <w:rPr>
                <w:rFonts w:cs="Arial"/>
                <w:sz w:val="19"/>
                <w:szCs w:val="19"/>
              </w:rPr>
              <w:t>From 34.6 to 24.0 *</w:t>
            </w:r>
          </w:p>
        </w:tc>
        <w:tc>
          <w:tcPr>
            <w:tcW w:w="522" w:type="pct"/>
            <w:tcBorders>
              <w:top w:val="single" w:sz="4" w:space="0" w:color="auto"/>
              <w:left w:val="single" w:sz="4" w:space="0" w:color="auto"/>
              <w:bottom w:val="single" w:sz="4" w:space="0" w:color="auto"/>
              <w:right w:val="single" w:sz="4" w:space="0" w:color="auto"/>
            </w:tcBorders>
            <w:shd w:val="clear" w:color="auto" w:fill="70AD47" w:themeFill="accent6"/>
            <w:hideMark/>
          </w:tcPr>
          <w:p w14:paraId="46854AA5" w14:textId="77777777" w:rsidR="007117DA" w:rsidRDefault="007117DA" w:rsidP="00A90A24">
            <w:pPr>
              <w:jc w:val="left"/>
              <w:rPr>
                <w:rFonts w:cs="Arial"/>
                <w:color w:val="auto"/>
                <w:sz w:val="19"/>
                <w:szCs w:val="19"/>
              </w:rPr>
            </w:pPr>
            <w:r>
              <w:rPr>
                <w:rFonts w:cs="Arial"/>
                <w:sz w:val="19"/>
                <w:szCs w:val="19"/>
              </w:rPr>
              <w:t>From 35.1 to 29.7 *</w:t>
            </w:r>
          </w:p>
        </w:tc>
        <w:tc>
          <w:tcPr>
            <w:tcW w:w="522" w:type="pct"/>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028D88D1" w14:textId="77777777" w:rsidR="007117DA" w:rsidRDefault="007117DA" w:rsidP="00A90A24">
            <w:pPr>
              <w:jc w:val="left"/>
              <w:rPr>
                <w:rFonts w:cs="Arial"/>
                <w:color w:val="auto"/>
                <w:sz w:val="19"/>
                <w:szCs w:val="19"/>
              </w:rPr>
            </w:pPr>
            <w:r>
              <w:rPr>
                <w:rFonts w:cs="Arial"/>
                <w:sz w:val="19"/>
                <w:szCs w:val="19"/>
              </w:rPr>
              <w:t>From 21.6 to 11.3 *</w:t>
            </w:r>
          </w:p>
        </w:tc>
        <w:tc>
          <w:tcPr>
            <w:tcW w:w="523" w:type="pct"/>
            <w:tcBorders>
              <w:top w:val="single" w:sz="4" w:space="0" w:color="auto"/>
              <w:left w:val="single" w:sz="4" w:space="0" w:color="auto"/>
              <w:bottom w:val="single" w:sz="4" w:space="0" w:color="auto"/>
              <w:right w:val="single" w:sz="4" w:space="0" w:color="auto"/>
            </w:tcBorders>
            <w:shd w:val="clear" w:color="auto" w:fill="70AD47" w:themeFill="accent6"/>
            <w:hideMark/>
          </w:tcPr>
          <w:p w14:paraId="0AC66A7C" w14:textId="77777777" w:rsidR="007117DA" w:rsidRDefault="007117DA" w:rsidP="00A90A24">
            <w:pPr>
              <w:jc w:val="left"/>
              <w:rPr>
                <w:rFonts w:cs="Arial"/>
                <w:color w:val="auto"/>
                <w:sz w:val="19"/>
                <w:szCs w:val="19"/>
              </w:rPr>
            </w:pPr>
            <w:r>
              <w:rPr>
                <w:rFonts w:cs="Arial"/>
                <w:sz w:val="19"/>
                <w:szCs w:val="19"/>
              </w:rPr>
              <w:t>From 28.9 to 15.9</w:t>
            </w:r>
          </w:p>
        </w:tc>
        <w:tc>
          <w:tcPr>
            <w:tcW w:w="576" w:type="pct"/>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78EFBF22" w14:textId="77777777" w:rsidR="007117DA" w:rsidRDefault="007117DA" w:rsidP="00A90A24">
            <w:pPr>
              <w:jc w:val="left"/>
              <w:rPr>
                <w:rFonts w:cs="Arial"/>
                <w:color w:val="auto"/>
                <w:sz w:val="19"/>
                <w:szCs w:val="19"/>
              </w:rPr>
            </w:pPr>
            <w:r>
              <w:rPr>
                <w:rFonts w:cs="Arial"/>
                <w:sz w:val="19"/>
                <w:szCs w:val="19"/>
              </w:rPr>
              <w:t>From 31.9 to 21.1</w:t>
            </w:r>
          </w:p>
        </w:tc>
        <w:tc>
          <w:tcPr>
            <w:tcW w:w="915" w:type="pct"/>
            <w:tcBorders>
              <w:top w:val="single" w:sz="4" w:space="0" w:color="auto"/>
              <w:left w:val="single" w:sz="4" w:space="0" w:color="auto"/>
              <w:bottom w:val="single" w:sz="4" w:space="0" w:color="auto"/>
              <w:right w:val="single" w:sz="4" w:space="0" w:color="auto"/>
            </w:tcBorders>
            <w:shd w:val="clear" w:color="auto" w:fill="70AD47" w:themeFill="accent6"/>
            <w:hideMark/>
          </w:tcPr>
          <w:p w14:paraId="20847301" w14:textId="77777777" w:rsidR="007117DA" w:rsidRDefault="007117DA" w:rsidP="00A90A24">
            <w:pPr>
              <w:jc w:val="left"/>
              <w:rPr>
                <w:rFonts w:cs="Arial"/>
                <w:color w:val="auto"/>
                <w:sz w:val="19"/>
                <w:szCs w:val="19"/>
              </w:rPr>
            </w:pPr>
            <w:r>
              <w:rPr>
                <w:rFonts w:cs="Arial"/>
                <w:color w:val="auto"/>
                <w:sz w:val="19"/>
                <w:szCs w:val="19"/>
              </w:rPr>
              <w:t>From 31.9 (without CEW) to 21.3 (with CEW)</w:t>
            </w:r>
          </w:p>
        </w:tc>
      </w:tr>
      <w:tr w:rsidR="007117DA" w14:paraId="21BBDD58" w14:textId="77777777" w:rsidTr="00CB66A4">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8E13C83" w14:textId="77777777" w:rsidR="007117DA" w:rsidRDefault="007117DA" w:rsidP="00A90A24">
            <w:pPr>
              <w:spacing w:before="0" w:after="0" w:line="256" w:lineRule="auto"/>
              <w:jc w:val="left"/>
              <w:rPr>
                <w:rFonts w:cs="Arial"/>
                <w:color w:val="auto"/>
                <w:sz w:val="19"/>
                <w:szCs w:val="19"/>
              </w:rPr>
            </w:pPr>
          </w:p>
        </w:tc>
        <w:tc>
          <w:tcPr>
            <w:tcW w:w="771" w:type="pct"/>
            <w:tcBorders>
              <w:top w:val="single" w:sz="4" w:space="0" w:color="auto"/>
              <w:left w:val="single" w:sz="4" w:space="0" w:color="auto"/>
              <w:bottom w:val="single" w:sz="4" w:space="0" w:color="auto"/>
              <w:right w:val="single" w:sz="4" w:space="0" w:color="auto"/>
            </w:tcBorders>
            <w:hideMark/>
          </w:tcPr>
          <w:p w14:paraId="73DB5669" w14:textId="77777777" w:rsidR="007117DA" w:rsidRDefault="007117DA" w:rsidP="00A90A24">
            <w:pPr>
              <w:jc w:val="right"/>
              <w:rPr>
                <w:rFonts w:cs="Arial"/>
                <w:color w:val="auto"/>
                <w:sz w:val="19"/>
                <w:szCs w:val="19"/>
              </w:rPr>
            </w:pPr>
            <w:r>
              <w:rPr>
                <w:rFonts w:cs="Arial"/>
                <w:color w:val="auto"/>
                <w:sz w:val="19"/>
                <w:szCs w:val="19"/>
              </w:rPr>
              <w:t>Transport?</w:t>
            </w:r>
          </w:p>
          <w:p w14:paraId="408EFED8" w14:textId="77777777" w:rsidR="007117DA" w:rsidRDefault="007117DA" w:rsidP="00A90A24">
            <w:pPr>
              <w:jc w:val="right"/>
              <w:rPr>
                <w:rFonts w:cs="Arial"/>
                <w:color w:val="auto"/>
                <w:sz w:val="19"/>
                <w:szCs w:val="19"/>
              </w:rPr>
            </w:pPr>
            <w:r>
              <w:rPr>
                <w:rFonts w:cs="Arial"/>
                <w:color w:val="auto"/>
                <w:sz w:val="19"/>
                <w:szCs w:val="19"/>
              </w:rPr>
              <w:t xml:space="preserve">Additional export over barrages due to CEW (tonnes salt per year) </w:t>
            </w:r>
          </w:p>
        </w:tc>
        <w:tc>
          <w:tcPr>
            <w:tcW w:w="522" w:type="pct"/>
            <w:tcBorders>
              <w:top w:val="single" w:sz="4" w:space="0" w:color="auto"/>
              <w:left w:val="single" w:sz="4" w:space="0" w:color="auto"/>
              <w:bottom w:val="single" w:sz="4" w:space="0" w:color="auto"/>
              <w:right w:val="single" w:sz="4" w:space="0" w:color="auto"/>
            </w:tcBorders>
            <w:shd w:val="clear" w:color="auto" w:fill="70AD47" w:themeFill="accent6"/>
            <w:hideMark/>
          </w:tcPr>
          <w:p w14:paraId="48D37252" w14:textId="77777777" w:rsidR="007117DA" w:rsidRPr="00A229CC" w:rsidRDefault="007117DA" w:rsidP="00A90A24">
            <w:pPr>
              <w:jc w:val="left"/>
              <w:rPr>
                <w:rFonts w:cs="Arial"/>
                <w:color w:val="auto"/>
                <w:sz w:val="18"/>
                <w:szCs w:val="18"/>
              </w:rPr>
            </w:pPr>
            <w:r w:rsidRPr="00585EB3">
              <w:rPr>
                <w:rFonts w:cs="Arial"/>
                <w:sz w:val="18"/>
                <w:szCs w:val="18"/>
              </w:rPr>
              <w:t>285,064</w:t>
            </w:r>
            <w:r>
              <w:rPr>
                <w:rFonts w:cs="Arial"/>
                <w:sz w:val="18"/>
                <w:szCs w:val="18"/>
              </w:rPr>
              <w:t>*</w:t>
            </w:r>
          </w:p>
        </w:tc>
        <w:tc>
          <w:tcPr>
            <w:tcW w:w="522" w:type="pct"/>
            <w:tcBorders>
              <w:top w:val="single" w:sz="4" w:space="0" w:color="auto"/>
              <w:left w:val="single" w:sz="4" w:space="0" w:color="auto"/>
              <w:bottom w:val="single" w:sz="4" w:space="0" w:color="auto"/>
              <w:right w:val="single" w:sz="4" w:space="0" w:color="auto"/>
            </w:tcBorders>
            <w:shd w:val="clear" w:color="auto" w:fill="70AD47" w:themeFill="accent6"/>
            <w:hideMark/>
          </w:tcPr>
          <w:p w14:paraId="72D5830F" w14:textId="77777777" w:rsidR="007117DA" w:rsidRPr="00A229CC" w:rsidRDefault="007117DA" w:rsidP="00A90A24">
            <w:pPr>
              <w:jc w:val="left"/>
              <w:rPr>
                <w:rFonts w:cs="Arial"/>
                <w:color w:val="auto"/>
                <w:sz w:val="18"/>
                <w:szCs w:val="18"/>
              </w:rPr>
            </w:pPr>
            <w:r w:rsidRPr="00585EB3">
              <w:rPr>
                <w:rFonts w:cs="Arial"/>
                <w:sz w:val="18"/>
                <w:szCs w:val="18"/>
              </w:rPr>
              <w:t>251,632</w:t>
            </w:r>
            <w:r>
              <w:rPr>
                <w:rFonts w:cs="Arial"/>
                <w:sz w:val="18"/>
                <w:szCs w:val="18"/>
              </w:rPr>
              <w:t>*</w:t>
            </w:r>
          </w:p>
        </w:tc>
        <w:tc>
          <w:tcPr>
            <w:tcW w:w="522" w:type="pct"/>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0411DD66" w14:textId="77777777" w:rsidR="007117DA" w:rsidRPr="00A229CC" w:rsidRDefault="007117DA" w:rsidP="00A90A24">
            <w:pPr>
              <w:jc w:val="left"/>
              <w:rPr>
                <w:rFonts w:cs="Arial"/>
                <w:color w:val="auto"/>
                <w:sz w:val="18"/>
                <w:szCs w:val="18"/>
              </w:rPr>
            </w:pPr>
            <w:r w:rsidRPr="00585EB3">
              <w:rPr>
                <w:rFonts w:cs="Arial"/>
                <w:sz w:val="18"/>
                <w:szCs w:val="18"/>
              </w:rPr>
              <w:t>120,867</w:t>
            </w:r>
            <w:r>
              <w:rPr>
                <w:rFonts w:cs="Arial"/>
                <w:sz w:val="18"/>
                <w:szCs w:val="18"/>
              </w:rPr>
              <w:t>*</w:t>
            </w:r>
          </w:p>
        </w:tc>
        <w:tc>
          <w:tcPr>
            <w:tcW w:w="523" w:type="pct"/>
            <w:tcBorders>
              <w:top w:val="single" w:sz="4" w:space="0" w:color="auto"/>
              <w:left w:val="single" w:sz="4" w:space="0" w:color="auto"/>
              <w:bottom w:val="single" w:sz="4" w:space="0" w:color="auto"/>
              <w:right w:val="single" w:sz="4" w:space="0" w:color="auto"/>
            </w:tcBorders>
            <w:shd w:val="clear" w:color="auto" w:fill="70AD47" w:themeFill="accent6"/>
            <w:hideMark/>
          </w:tcPr>
          <w:p w14:paraId="3C674AC7" w14:textId="77777777" w:rsidR="007117DA" w:rsidRDefault="007117DA" w:rsidP="00A90A24">
            <w:pPr>
              <w:jc w:val="left"/>
              <w:rPr>
                <w:rFonts w:cs="Arial"/>
                <w:sz w:val="18"/>
                <w:szCs w:val="18"/>
              </w:rPr>
            </w:pPr>
            <w:r>
              <w:rPr>
                <w:rFonts w:cs="Arial"/>
                <w:sz w:val="18"/>
                <w:szCs w:val="18"/>
              </w:rPr>
              <w:t>436,848</w:t>
            </w:r>
          </w:p>
          <w:p w14:paraId="61AC7B06" w14:textId="77777777" w:rsidR="007117DA" w:rsidRPr="00A229CC" w:rsidRDefault="007117DA" w:rsidP="00A90A24">
            <w:pPr>
              <w:jc w:val="left"/>
              <w:rPr>
                <w:rFonts w:cs="Arial"/>
                <w:color w:val="auto"/>
                <w:sz w:val="18"/>
                <w:szCs w:val="18"/>
              </w:rPr>
            </w:pPr>
          </w:p>
        </w:tc>
        <w:tc>
          <w:tcPr>
            <w:tcW w:w="576" w:type="pct"/>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30F88101" w14:textId="77777777" w:rsidR="007117DA" w:rsidRDefault="007117DA" w:rsidP="00A90A24">
            <w:pPr>
              <w:jc w:val="left"/>
              <w:rPr>
                <w:rFonts w:cs="Arial"/>
                <w:sz w:val="18"/>
                <w:szCs w:val="18"/>
              </w:rPr>
            </w:pPr>
            <w:r>
              <w:rPr>
                <w:rFonts w:cs="Arial"/>
                <w:sz w:val="18"/>
                <w:szCs w:val="18"/>
              </w:rPr>
              <w:t>532,222</w:t>
            </w:r>
          </w:p>
          <w:p w14:paraId="4879C573" w14:textId="77777777" w:rsidR="007117DA" w:rsidRPr="00A229CC" w:rsidRDefault="007117DA" w:rsidP="00A90A24">
            <w:pPr>
              <w:jc w:val="left"/>
              <w:rPr>
                <w:rFonts w:cs="Arial"/>
                <w:color w:val="auto"/>
                <w:sz w:val="18"/>
                <w:szCs w:val="18"/>
              </w:rPr>
            </w:pPr>
          </w:p>
        </w:tc>
        <w:tc>
          <w:tcPr>
            <w:tcW w:w="915" w:type="pct"/>
            <w:tcBorders>
              <w:top w:val="single" w:sz="4" w:space="0" w:color="auto"/>
              <w:left w:val="single" w:sz="4" w:space="0" w:color="auto"/>
              <w:bottom w:val="single" w:sz="4" w:space="0" w:color="auto"/>
              <w:right w:val="single" w:sz="4" w:space="0" w:color="auto"/>
            </w:tcBorders>
            <w:shd w:val="clear" w:color="auto" w:fill="70AD47" w:themeFill="accent6"/>
            <w:hideMark/>
          </w:tcPr>
          <w:p w14:paraId="0298AE90" w14:textId="77777777" w:rsidR="007117DA" w:rsidRDefault="007117DA" w:rsidP="00A90A24">
            <w:pPr>
              <w:jc w:val="left"/>
              <w:rPr>
                <w:rFonts w:cs="Arial"/>
                <w:color w:val="auto"/>
                <w:sz w:val="19"/>
                <w:szCs w:val="19"/>
              </w:rPr>
            </w:pPr>
            <w:r>
              <w:rPr>
                <w:rFonts w:cs="Arial"/>
                <w:color w:val="auto"/>
                <w:sz w:val="19"/>
                <w:szCs w:val="19"/>
              </w:rPr>
              <w:t>623,999</w:t>
            </w:r>
          </w:p>
          <w:p w14:paraId="366D7F5D" w14:textId="77777777" w:rsidR="007117DA" w:rsidRDefault="007117DA" w:rsidP="00A90A24">
            <w:pPr>
              <w:jc w:val="left"/>
              <w:rPr>
                <w:rFonts w:cs="Arial"/>
                <w:color w:val="auto"/>
                <w:sz w:val="19"/>
                <w:szCs w:val="19"/>
              </w:rPr>
            </w:pPr>
          </w:p>
        </w:tc>
      </w:tr>
      <w:tr w:rsidR="007117DA" w14:paraId="54AE0061" w14:textId="77777777" w:rsidTr="00CB66A4">
        <w:trPr>
          <w:cantSplit/>
          <w:trHeight w:val="20"/>
        </w:trPr>
        <w:tc>
          <w:tcPr>
            <w:tcW w:w="1421" w:type="pct"/>
            <w:gridSpan w:val="2"/>
            <w:tcBorders>
              <w:top w:val="single" w:sz="4" w:space="0" w:color="auto"/>
              <w:left w:val="single" w:sz="4" w:space="0" w:color="auto"/>
              <w:bottom w:val="single" w:sz="4" w:space="0" w:color="auto"/>
              <w:right w:val="single" w:sz="4" w:space="0" w:color="auto"/>
            </w:tcBorders>
            <w:hideMark/>
          </w:tcPr>
          <w:p w14:paraId="3F27392F" w14:textId="77777777" w:rsidR="007117DA" w:rsidRDefault="007117DA" w:rsidP="00A90A24">
            <w:pPr>
              <w:jc w:val="left"/>
              <w:rPr>
                <w:sz w:val="19"/>
                <w:szCs w:val="19"/>
              </w:rPr>
            </w:pPr>
            <w:r>
              <w:rPr>
                <w:sz w:val="19"/>
                <w:szCs w:val="19"/>
              </w:rPr>
              <w:t>What did CEW contribute to the salinity regime?</w:t>
            </w:r>
          </w:p>
        </w:tc>
        <w:tc>
          <w:tcPr>
            <w:tcW w:w="3579" w:type="pct"/>
            <w:gridSpan w:val="6"/>
            <w:tcBorders>
              <w:top w:val="single" w:sz="4" w:space="0" w:color="auto"/>
              <w:left w:val="single" w:sz="4" w:space="0" w:color="auto"/>
              <w:bottom w:val="single" w:sz="4" w:space="0" w:color="auto"/>
              <w:right w:val="single" w:sz="4" w:space="0" w:color="auto"/>
            </w:tcBorders>
            <w:shd w:val="clear" w:color="auto" w:fill="70AD47" w:themeFill="accent6"/>
            <w:hideMark/>
          </w:tcPr>
          <w:p w14:paraId="5EC98D19" w14:textId="28B0642F" w:rsidR="007117DA" w:rsidRDefault="00DC2C7F" w:rsidP="00A90A24">
            <w:pPr>
              <w:spacing w:line="240" w:lineRule="auto"/>
              <w:rPr>
                <w:sz w:val="19"/>
                <w:szCs w:val="19"/>
              </w:rPr>
            </w:pPr>
            <w:r>
              <w:rPr>
                <w:sz w:val="19"/>
                <w:szCs w:val="19"/>
              </w:rPr>
              <w:t xml:space="preserve">CEW </w:t>
            </w:r>
            <w:r w:rsidR="007117DA">
              <w:rPr>
                <w:sz w:val="19"/>
                <w:szCs w:val="19"/>
              </w:rPr>
              <w:t>increased salt export over the barrages; and reduced salt intrusion into the Murray Mouth from the ocean, which reduced salinity in the Coorong.</w:t>
            </w:r>
          </w:p>
          <w:p w14:paraId="7536EDCB" w14:textId="77777777" w:rsidR="007117DA" w:rsidRDefault="007117DA" w:rsidP="00A90A24">
            <w:pPr>
              <w:rPr>
                <w:sz w:val="19"/>
                <w:szCs w:val="19"/>
              </w:rPr>
            </w:pPr>
            <w:r>
              <w:rPr>
                <w:sz w:val="19"/>
                <w:szCs w:val="19"/>
              </w:rPr>
              <w:t xml:space="preserve">CEW played a key role in delivering flow to the Coorong, particularly during dry years with 80–100% of barrage releases being CEW.  </w:t>
            </w:r>
          </w:p>
          <w:p w14:paraId="574D6C4C" w14:textId="77777777" w:rsidR="007117DA" w:rsidRDefault="007117DA" w:rsidP="00A90A24">
            <w:pPr>
              <w:rPr>
                <w:sz w:val="19"/>
                <w:szCs w:val="19"/>
              </w:rPr>
            </w:pPr>
            <w:r>
              <w:rPr>
                <w:sz w:val="19"/>
                <w:szCs w:val="19"/>
              </w:rPr>
              <w:t>CEW has played a key role in salt export from the Basin, accounting for 64, 87, 69, 70%** and 100% of salt export, during the five years of low flow (2014-15, 2015-16, 2017-18, 2018-19 and 2019-20), respectively. In these years, the total salt export ranged 228,293* –623,999 tonnes, which is well below the Basin Plan target of 2 million tonnes of salt per year.</w:t>
            </w:r>
          </w:p>
          <w:p w14:paraId="50407AA6" w14:textId="75906BA5" w:rsidR="007117DA" w:rsidRDefault="007117DA" w:rsidP="00A90A24">
            <w:pPr>
              <w:spacing w:line="240" w:lineRule="auto"/>
              <w:rPr>
                <w:sz w:val="19"/>
                <w:szCs w:val="19"/>
              </w:rPr>
            </w:pPr>
            <w:r>
              <w:rPr>
                <w:sz w:val="19"/>
                <w:szCs w:val="19"/>
              </w:rPr>
              <w:t xml:space="preserve">In the high flow year (2016-17), </w:t>
            </w:r>
            <w:r w:rsidR="00DC2C7F">
              <w:rPr>
                <w:sz w:val="19"/>
                <w:szCs w:val="19"/>
              </w:rPr>
              <w:t>1.5 million tonnes* was</w:t>
            </w:r>
            <w:r>
              <w:rPr>
                <w:sz w:val="19"/>
                <w:szCs w:val="19"/>
              </w:rPr>
              <w:t xml:space="preserve"> exported and CEW contributed 8% (120,867 tonnes) of salt export.</w:t>
            </w:r>
          </w:p>
        </w:tc>
      </w:tr>
    </w:tbl>
    <w:p w14:paraId="78DF7616" w14:textId="77777777" w:rsidR="007117DA" w:rsidRDefault="007117DA" w:rsidP="007117DA">
      <w:pPr>
        <w:spacing w:before="0" w:after="0" w:line="240" w:lineRule="auto"/>
        <w:jc w:val="left"/>
        <w:rPr>
          <w:color w:val="auto"/>
          <w:kern w:val="0"/>
          <w:sz w:val="19"/>
          <w:szCs w:val="19"/>
          <w:lang w:val="en-US" w:bidi="en-US"/>
        </w:rPr>
      </w:pPr>
    </w:p>
    <w:p w14:paraId="2FC2307D" w14:textId="77777777" w:rsidR="007117DA" w:rsidRDefault="007117DA" w:rsidP="007117DA">
      <w:pPr>
        <w:spacing w:before="0" w:after="0" w:line="240" w:lineRule="auto"/>
        <w:jc w:val="left"/>
        <w:rPr>
          <w:color w:val="auto"/>
          <w:kern w:val="0"/>
          <w:sz w:val="19"/>
          <w:szCs w:val="19"/>
          <w:lang w:val="en-US" w:bidi="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03"/>
        <w:gridCol w:w="12"/>
        <w:gridCol w:w="1726"/>
        <w:gridCol w:w="7"/>
        <w:gridCol w:w="903"/>
        <w:gridCol w:w="26"/>
        <w:gridCol w:w="665"/>
        <w:gridCol w:w="213"/>
        <w:gridCol w:w="373"/>
        <w:gridCol w:w="473"/>
        <w:gridCol w:w="218"/>
        <w:gridCol w:w="509"/>
        <w:gridCol w:w="342"/>
        <w:gridCol w:w="380"/>
        <w:gridCol w:w="766"/>
      </w:tblGrid>
      <w:tr w:rsidR="007117DA" w14:paraId="1875D981" w14:textId="77777777" w:rsidTr="00315757">
        <w:trPr>
          <w:cantSplit/>
          <w:trHeight w:val="20"/>
          <w:tblHeader/>
        </w:trPr>
        <w:tc>
          <w:tcPr>
            <w:tcW w:w="2297" w:type="pct"/>
            <w:gridSpan w:val="3"/>
            <w:vMerge w:val="restart"/>
            <w:tcBorders>
              <w:top w:val="single" w:sz="4" w:space="0" w:color="auto"/>
              <w:left w:val="single" w:sz="4" w:space="0" w:color="auto"/>
              <w:bottom w:val="single" w:sz="4" w:space="0" w:color="auto"/>
              <w:right w:val="single" w:sz="4" w:space="0" w:color="auto"/>
            </w:tcBorders>
            <w:hideMark/>
          </w:tcPr>
          <w:p w14:paraId="47CB070C" w14:textId="77777777" w:rsidR="007117DA" w:rsidRDefault="007117DA" w:rsidP="00A90A24">
            <w:pPr>
              <w:jc w:val="center"/>
              <w:rPr>
                <w:rFonts w:cs="Arial"/>
                <w:b/>
                <w:sz w:val="19"/>
                <w:szCs w:val="19"/>
              </w:rPr>
            </w:pPr>
            <w:r>
              <w:rPr>
                <w:rFonts w:cs="Arial"/>
                <w:b/>
                <w:sz w:val="19"/>
                <w:szCs w:val="19"/>
              </w:rPr>
              <w:t xml:space="preserve">CEWO evaluation questions </w:t>
            </w:r>
          </w:p>
        </w:tc>
        <w:tc>
          <w:tcPr>
            <w:tcW w:w="2703" w:type="pct"/>
            <w:gridSpan w:val="12"/>
            <w:tcBorders>
              <w:top w:val="single" w:sz="4" w:space="0" w:color="auto"/>
              <w:left w:val="single" w:sz="4" w:space="0" w:color="auto"/>
              <w:bottom w:val="single" w:sz="4" w:space="0" w:color="auto"/>
              <w:right w:val="single" w:sz="4" w:space="0" w:color="auto"/>
            </w:tcBorders>
            <w:vAlign w:val="bottom"/>
            <w:hideMark/>
          </w:tcPr>
          <w:p w14:paraId="52DA36D1" w14:textId="77777777" w:rsidR="007117DA" w:rsidRDefault="007117DA" w:rsidP="00A90A24">
            <w:pPr>
              <w:jc w:val="center"/>
              <w:rPr>
                <w:rFonts w:cs="Arial"/>
                <w:b/>
                <w:sz w:val="19"/>
                <w:szCs w:val="19"/>
              </w:rPr>
            </w:pPr>
            <w:r>
              <w:rPr>
                <w:rFonts w:cs="Arial"/>
                <w:b/>
                <w:sz w:val="19"/>
                <w:szCs w:val="19"/>
              </w:rPr>
              <w:t>Outcomes of CEW delivery</w:t>
            </w:r>
          </w:p>
        </w:tc>
      </w:tr>
      <w:tr w:rsidR="007117DA" w14:paraId="581ACD24" w14:textId="77777777" w:rsidTr="00315757">
        <w:trPr>
          <w:cantSplit/>
          <w:trHeight w:val="20"/>
          <w:tblHeader/>
        </w:trPr>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7C25DAB7" w14:textId="77777777" w:rsidR="007117DA" w:rsidRDefault="007117DA" w:rsidP="00A90A24">
            <w:pPr>
              <w:spacing w:before="0" w:after="0" w:line="256" w:lineRule="auto"/>
              <w:jc w:val="left"/>
              <w:rPr>
                <w:rFonts w:cs="Arial"/>
                <w:b/>
                <w:sz w:val="19"/>
                <w:szCs w:val="19"/>
              </w:rPr>
            </w:pPr>
          </w:p>
        </w:tc>
        <w:tc>
          <w:tcPr>
            <w:tcW w:w="519" w:type="pct"/>
            <w:gridSpan w:val="3"/>
            <w:tcBorders>
              <w:top w:val="single" w:sz="4" w:space="0" w:color="auto"/>
              <w:left w:val="single" w:sz="4" w:space="0" w:color="auto"/>
              <w:bottom w:val="single" w:sz="4" w:space="0" w:color="auto"/>
              <w:right w:val="single" w:sz="4" w:space="0" w:color="auto"/>
            </w:tcBorders>
            <w:vAlign w:val="bottom"/>
            <w:hideMark/>
          </w:tcPr>
          <w:p w14:paraId="534488CE" w14:textId="77777777" w:rsidR="007117DA" w:rsidRDefault="007117DA" w:rsidP="00A90A24">
            <w:pPr>
              <w:jc w:val="center"/>
              <w:rPr>
                <w:rFonts w:cs="Arial"/>
                <w:b/>
                <w:sz w:val="19"/>
                <w:szCs w:val="19"/>
              </w:rPr>
            </w:pPr>
            <w:r>
              <w:rPr>
                <w:rFonts w:cs="Arial"/>
                <w:b/>
                <w:sz w:val="19"/>
                <w:szCs w:val="19"/>
              </w:rPr>
              <w:t>2014-15</w:t>
            </w:r>
          </w:p>
        </w:tc>
        <w:tc>
          <w:tcPr>
            <w:tcW w:w="487" w:type="pct"/>
            <w:gridSpan w:val="2"/>
            <w:tcBorders>
              <w:top w:val="single" w:sz="4" w:space="0" w:color="auto"/>
              <w:left w:val="single" w:sz="4" w:space="0" w:color="auto"/>
              <w:bottom w:val="single" w:sz="4" w:space="0" w:color="auto"/>
              <w:right w:val="single" w:sz="4" w:space="0" w:color="auto"/>
            </w:tcBorders>
            <w:vAlign w:val="bottom"/>
            <w:hideMark/>
          </w:tcPr>
          <w:p w14:paraId="07411717" w14:textId="77777777" w:rsidR="007117DA" w:rsidRDefault="007117DA" w:rsidP="00A90A24">
            <w:pPr>
              <w:jc w:val="center"/>
              <w:rPr>
                <w:rFonts w:cs="Arial"/>
                <w:b/>
                <w:sz w:val="19"/>
                <w:szCs w:val="19"/>
              </w:rPr>
            </w:pPr>
            <w:r>
              <w:rPr>
                <w:rFonts w:cs="Arial"/>
                <w:b/>
                <w:sz w:val="19"/>
                <w:szCs w:val="19"/>
              </w:rPr>
              <w:t>2015-16</w:t>
            </w:r>
          </w:p>
        </w:tc>
        <w:tc>
          <w:tcPr>
            <w:tcW w:w="469" w:type="pct"/>
            <w:gridSpan w:val="2"/>
            <w:tcBorders>
              <w:top w:val="single" w:sz="4" w:space="0" w:color="auto"/>
              <w:left w:val="single" w:sz="4" w:space="0" w:color="auto"/>
              <w:bottom w:val="single" w:sz="4" w:space="0" w:color="auto"/>
              <w:right w:val="single" w:sz="4" w:space="0" w:color="auto"/>
            </w:tcBorders>
            <w:vAlign w:val="bottom"/>
            <w:hideMark/>
          </w:tcPr>
          <w:p w14:paraId="671F6F12" w14:textId="77777777" w:rsidR="007117DA" w:rsidRDefault="007117DA" w:rsidP="00A90A24">
            <w:pPr>
              <w:jc w:val="center"/>
              <w:rPr>
                <w:rFonts w:cs="Arial"/>
                <w:b/>
                <w:sz w:val="19"/>
                <w:szCs w:val="19"/>
              </w:rPr>
            </w:pPr>
            <w:r>
              <w:rPr>
                <w:rFonts w:cs="Arial"/>
                <w:b/>
                <w:sz w:val="19"/>
                <w:szCs w:val="19"/>
              </w:rPr>
              <w:t>2016-17</w:t>
            </w:r>
          </w:p>
        </w:tc>
        <w:tc>
          <w:tcPr>
            <w:tcW w:w="403" w:type="pct"/>
            <w:gridSpan w:val="2"/>
            <w:tcBorders>
              <w:top w:val="single" w:sz="4" w:space="0" w:color="auto"/>
              <w:left w:val="single" w:sz="4" w:space="0" w:color="auto"/>
              <w:bottom w:val="single" w:sz="4" w:space="0" w:color="auto"/>
              <w:right w:val="single" w:sz="4" w:space="0" w:color="auto"/>
            </w:tcBorders>
            <w:vAlign w:val="bottom"/>
            <w:hideMark/>
          </w:tcPr>
          <w:p w14:paraId="3BF4FBB4" w14:textId="77777777" w:rsidR="007117DA" w:rsidRDefault="007117DA" w:rsidP="00A90A24">
            <w:pPr>
              <w:jc w:val="center"/>
              <w:rPr>
                <w:rFonts w:cs="Arial"/>
                <w:b/>
                <w:sz w:val="19"/>
                <w:szCs w:val="19"/>
              </w:rPr>
            </w:pPr>
            <w:r>
              <w:rPr>
                <w:rFonts w:cs="Arial"/>
                <w:b/>
                <w:sz w:val="19"/>
                <w:szCs w:val="19"/>
              </w:rPr>
              <w:t>2017-18</w:t>
            </w:r>
          </w:p>
        </w:tc>
        <w:tc>
          <w:tcPr>
            <w:tcW w:w="400" w:type="pct"/>
            <w:gridSpan w:val="2"/>
            <w:tcBorders>
              <w:top w:val="single" w:sz="4" w:space="0" w:color="auto"/>
              <w:left w:val="single" w:sz="4" w:space="0" w:color="auto"/>
              <w:bottom w:val="single" w:sz="4" w:space="0" w:color="auto"/>
              <w:right w:val="single" w:sz="4" w:space="0" w:color="auto"/>
            </w:tcBorders>
            <w:vAlign w:val="bottom"/>
            <w:hideMark/>
          </w:tcPr>
          <w:p w14:paraId="4068ED06" w14:textId="77777777" w:rsidR="007117DA" w:rsidRDefault="007117DA" w:rsidP="00A90A24">
            <w:pPr>
              <w:jc w:val="center"/>
              <w:rPr>
                <w:rFonts w:cs="Arial"/>
                <w:b/>
                <w:sz w:val="19"/>
                <w:szCs w:val="19"/>
              </w:rPr>
            </w:pPr>
            <w:r>
              <w:rPr>
                <w:rFonts w:cs="Arial"/>
                <w:b/>
                <w:sz w:val="19"/>
                <w:szCs w:val="19"/>
              </w:rPr>
              <w:t>2018-19</w:t>
            </w:r>
          </w:p>
        </w:tc>
        <w:tc>
          <w:tcPr>
            <w:tcW w:w="424" w:type="pct"/>
            <w:tcBorders>
              <w:top w:val="single" w:sz="4" w:space="0" w:color="auto"/>
              <w:left w:val="single" w:sz="4" w:space="0" w:color="auto"/>
              <w:bottom w:val="single" w:sz="4" w:space="0" w:color="auto"/>
              <w:right w:val="single" w:sz="4" w:space="0" w:color="auto"/>
            </w:tcBorders>
            <w:hideMark/>
          </w:tcPr>
          <w:p w14:paraId="1459E7B5" w14:textId="77777777" w:rsidR="007117DA" w:rsidRDefault="007117DA" w:rsidP="00A90A24">
            <w:pPr>
              <w:jc w:val="center"/>
              <w:rPr>
                <w:rFonts w:cs="Arial"/>
                <w:b/>
                <w:sz w:val="19"/>
                <w:szCs w:val="19"/>
              </w:rPr>
            </w:pPr>
            <w:r>
              <w:rPr>
                <w:rFonts w:cs="Arial"/>
                <w:b/>
                <w:sz w:val="19"/>
                <w:szCs w:val="19"/>
              </w:rPr>
              <w:t>2019-20</w:t>
            </w:r>
          </w:p>
        </w:tc>
      </w:tr>
      <w:tr w:rsidR="007117DA" w14:paraId="02D4F905" w14:textId="77777777" w:rsidTr="00315757">
        <w:trPr>
          <w:cantSplit/>
          <w:trHeight w:val="20"/>
        </w:trPr>
        <w:tc>
          <w:tcPr>
            <w:tcW w:w="1340" w:type="pct"/>
            <w:gridSpan w:val="2"/>
            <w:vMerge w:val="restart"/>
            <w:tcBorders>
              <w:top w:val="nil"/>
              <w:left w:val="single" w:sz="4" w:space="0" w:color="auto"/>
              <w:bottom w:val="nil"/>
              <w:right w:val="single" w:sz="4" w:space="0" w:color="auto"/>
            </w:tcBorders>
            <w:hideMark/>
          </w:tcPr>
          <w:p w14:paraId="173CB55F" w14:textId="77777777" w:rsidR="007117DA" w:rsidRDefault="007117DA" w:rsidP="00A90A24">
            <w:pPr>
              <w:jc w:val="left"/>
              <w:rPr>
                <w:color w:val="auto"/>
                <w:sz w:val="19"/>
                <w:szCs w:val="19"/>
              </w:rPr>
            </w:pPr>
            <w:r>
              <w:rPr>
                <w:sz w:val="19"/>
                <w:szCs w:val="19"/>
              </w:rPr>
              <w:t>What did CEW contribute to nutrient and phytoplankton transport?</w:t>
            </w:r>
          </w:p>
        </w:tc>
        <w:tc>
          <w:tcPr>
            <w:tcW w:w="957" w:type="pct"/>
            <w:vMerge w:val="restart"/>
            <w:tcBorders>
              <w:top w:val="single" w:sz="4" w:space="0" w:color="auto"/>
              <w:left w:val="single" w:sz="4" w:space="0" w:color="auto"/>
              <w:bottom w:val="single" w:sz="4" w:space="0" w:color="auto"/>
              <w:right w:val="single" w:sz="4" w:space="0" w:color="auto"/>
            </w:tcBorders>
            <w:hideMark/>
          </w:tcPr>
          <w:p w14:paraId="0F06C871" w14:textId="77777777" w:rsidR="007117DA" w:rsidRDefault="007117DA" w:rsidP="00A90A24">
            <w:pPr>
              <w:jc w:val="right"/>
              <w:rPr>
                <w:color w:val="auto"/>
                <w:sz w:val="19"/>
                <w:szCs w:val="19"/>
              </w:rPr>
            </w:pPr>
            <w:r>
              <w:rPr>
                <w:color w:val="auto"/>
                <w:sz w:val="19"/>
                <w:szCs w:val="19"/>
              </w:rPr>
              <w:t>Nitrogen</w:t>
            </w:r>
          </w:p>
          <w:p w14:paraId="1244631B" w14:textId="77777777" w:rsidR="007117DA" w:rsidRDefault="007117DA" w:rsidP="00A90A24">
            <w:pPr>
              <w:jc w:val="right"/>
              <w:rPr>
                <w:rFonts w:cs="Arial"/>
                <w:color w:val="auto"/>
                <w:sz w:val="19"/>
                <w:szCs w:val="19"/>
              </w:rPr>
            </w:pPr>
          </w:p>
          <w:p w14:paraId="649AC44B" w14:textId="77777777" w:rsidR="007117DA" w:rsidRDefault="007117DA" w:rsidP="00A90A24">
            <w:pPr>
              <w:jc w:val="right"/>
              <w:rPr>
                <w:color w:val="auto"/>
                <w:sz w:val="19"/>
                <w:szCs w:val="19"/>
              </w:rPr>
            </w:pPr>
            <w:r>
              <w:rPr>
                <w:rFonts w:cs="Arial"/>
                <w:color w:val="auto"/>
                <w:sz w:val="19"/>
                <w:szCs w:val="19"/>
              </w:rPr>
              <w:t>Export through barrages due to CEW (tonnes)</w:t>
            </w:r>
          </w:p>
        </w:tc>
        <w:tc>
          <w:tcPr>
            <w:tcW w:w="519"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0696802" w14:textId="77777777" w:rsidR="007117DA" w:rsidRDefault="007117DA" w:rsidP="00A90A24">
            <w:pPr>
              <w:jc w:val="left"/>
              <w:rPr>
                <w:color w:val="auto"/>
                <w:sz w:val="19"/>
                <w:szCs w:val="19"/>
                <w:highlight w:val="yellow"/>
              </w:rPr>
            </w:pPr>
            <w:r>
              <w:rPr>
                <w:sz w:val="19"/>
                <w:szCs w:val="19"/>
              </w:rPr>
              <w:t>609</w:t>
            </w:r>
          </w:p>
        </w:tc>
        <w:tc>
          <w:tcPr>
            <w:tcW w:w="487"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6C7EAC0" w14:textId="77777777" w:rsidR="007117DA" w:rsidRDefault="007117DA" w:rsidP="00A90A24">
            <w:pPr>
              <w:jc w:val="left"/>
              <w:rPr>
                <w:color w:val="auto"/>
                <w:sz w:val="19"/>
                <w:szCs w:val="19"/>
                <w:highlight w:val="yellow"/>
              </w:rPr>
            </w:pPr>
            <w:r>
              <w:rPr>
                <w:sz w:val="19"/>
                <w:szCs w:val="19"/>
              </w:rPr>
              <w:t>1,007</w:t>
            </w:r>
          </w:p>
        </w:tc>
        <w:tc>
          <w:tcPr>
            <w:tcW w:w="469"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E8568F2" w14:textId="77777777" w:rsidR="007117DA" w:rsidRDefault="007117DA" w:rsidP="00A90A24">
            <w:pPr>
              <w:jc w:val="left"/>
              <w:rPr>
                <w:color w:val="auto"/>
                <w:sz w:val="19"/>
                <w:szCs w:val="19"/>
                <w:highlight w:val="yellow"/>
              </w:rPr>
            </w:pPr>
            <w:r>
              <w:rPr>
                <w:sz w:val="19"/>
                <w:szCs w:val="19"/>
              </w:rPr>
              <w:t>123</w:t>
            </w:r>
          </w:p>
        </w:tc>
        <w:tc>
          <w:tcPr>
            <w:tcW w:w="40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F17D14D" w14:textId="77777777" w:rsidR="007117DA" w:rsidRDefault="007117DA" w:rsidP="00A90A24">
            <w:pPr>
              <w:jc w:val="left"/>
              <w:rPr>
                <w:color w:val="auto"/>
                <w:sz w:val="19"/>
                <w:szCs w:val="19"/>
                <w:highlight w:val="yellow"/>
              </w:rPr>
            </w:pPr>
            <w:r>
              <w:rPr>
                <w:sz w:val="19"/>
                <w:szCs w:val="19"/>
              </w:rPr>
              <w:t>1,508</w:t>
            </w:r>
          </w:p>
        </w:tc>
        <w:tc>
          <w:tcPr>
            <w:tcW w:w="40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FC53217" w14:textId="77777777" w:rsidR="007117DA" w:rsidRDefault="007117DA" w:rsidP="00A90A24">
            <w:pPr>
              <w:jc w:val="left"/>
              <w:rPr>
                <w:color w:val="auto"/>
                <w:sz w:val="19"/>
                <w:szCs w:val="19"/>
                <w:highlight w:val="yellow"/>
              </w:rPr>
            </w:pPr>
            <w:r>
              <w:rPr>
                <w:sz w:val="19"/>
                <w:szCs w:val="19"/>
              </w:rPr>
              <w:t>816</w:t>
            </w:r>
          </w:p>
        </w:tc>
        <w:tc>
          <w:tcPr>
            <w:tcW w:w="424"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B1F8241" w14:textId="77777777" w:rsidR="007117DA" w:rsidRDefault="007117DA" w:rsidP="00A90A24">
            <w:pPr>
              <w:jc w:val="left"/>
              <w:rPr>
                <w:color w:val="auto"/>
                <w:sz w:val="19"/>
                <w:szCs w:val="19"/>
              </w:rPr>
            </w:pPr>
            <w:r>
              <w:rPr>
                <w:color w:val="auto"/>
                <w:sz w:val="19"/>
                <w:szCs w:val="19"/>
              </w:rPr>
              <w:t>1,145</w:t>
            </w:r>
          </w:p>
        </w:tc>
      </w:tr>
      <w:tr w:rsidR="007117DA" w14:paraId="2F06DFE0" w14:textId="77777777" w:rsidTr="00315757">
        <w:trPr>
          <w:cantSplit/>
          <w:trHeight w:val="20"/>
        </w:trPr>
        <w:tc>
          <w:tcPr>
            <w:tcW w:w="0" w:type="auto"/>
            <w:gridSpan w:val="2"/>
            <w:vMerge/>
            <w:tcBorders>
              <w:top w:val="nil"/>
              <w:left w:val="single" w:sz="4" w:space="0" w:color="auto"/>
              <w:bottom w:val="nil"/>
              <w:right w:val="single" w:sz="4" w:space="0" w:color="auto"/>
            </w:tcBorders>
            <w:vAlign w:val="center"/>
            <w:hideMark/>
          </w:tcPr>
          <w:p w14:paraId="3F61DC9B" w14:textId="77777777" w:rsidR="007117DA" w:rsidRDefault="007117DA" w:rsidP="00A90A24">
            <w:pPr>
              <w:spacing w:before="0" w:after="0" w:line="256" w:lineRule="auto"/>
              <w:jc w:val="left"/>
              <w:rPr>
                <w:color w:val="auto"/>
                <w:sz w:val="19"/>
                <w:szCs w:val="19"/>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858EB19" w14:textId="77777777" w:rsidR="007117DA" w:rsidRDefault="007117DA" w:rsidP="00A90A24">
            <w:pPr>
              <w:spacing w:before="0" w:after="0" w:line="256" w:lineRule="auto"/>
              <w:jc w:val="left"/>
              <w:rPr>
                <w:color w:val="auto"/>
                <w:sz w:val="19"/>
                <w:szCs w:val="19"/>
              </w:rPr>
            </w:pPr>
          </w:p>
        </w:tc>
        <w:tc>
          <w:tcPr>
            <w:tcW w:w="2703" w:type="pct"/>
            <w:gridSpan w:val="1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63FDED1" w14:textId="1180FD10" w:rsidR="007117DA" w:rsidRDefault="007117DA" w:rsidP="00A90A24">
            <w:pPr>
              <w:jc w:val="left"/>
              <w:rPr>
                <w:sz w:val="19"/>
                <w:szCs w:val="19"/>
              </w:rPr>
            </w:pPr>
            <w:r>
              <w:rPr>
                <w:sz w:val="19"/>
                <w:szCs w:val="19"/>
              </w:rPr>
              <w:t>CEW increased nitrogen export as nitrogen load was largely a function of flow volume. Nitrogen fuels phytoplankton growth and food and so is important for web productivity</w:t>
            </w:r>
          </w:p>
          <w:p w14:paraId="0B53F5BC" w14:textId="77777777" w:rsidR="007117DA" w:rsidRDefault="007117DA" w:rsidP="00A90A24">
            <w:pPr>
              <w:jc w:val="left"/>
              <w:rPr>
                <w:sz w:val="19"/>
                <w:szCs w:val="19"/>
              </w:rPr>
            </w:pPr>
          </w:p>
        </w:tc>
      </w:tr>
      <w:tr w:rsidR="007117DA" w14:paraId="3364D229" w14:textId="77777777" w:rsidTr="00315757">
        <w:trPr>
          <w:cantSplit/>
          <w:trHeight w:val="20"/>
        </w:trPr>
        <w:tc>
          <w:tcPr>
            <w:tcW w:w="0" w:type="auto"/>
            <w:gridSpan w:val="2"/>
            <w:vMerge/>
            <w:tcBorders>
              <w:top w:val="nil"/>
              <w:left w:val="single" w:sz="4" w:space="0" w:color="auto"/>
              <w:bottom w:val="nil"/>
              <w:right w:val="single" w:sz="4" w:space="0" w:color="auto"/>
            </w:tcBorders>
            <w:vAlign w:val="center"/>
            <w:hideMark/>
          </w:tcPr>
          <w:p w14:paraId="35C75F28" w14:textId="77777777" w:rsidR="007117DA" w:rsidRDefault="007117DA" w:rsidP="00A90A24">
            <w:pPr>
              <w:spacing w:before="0" w:after="0" w:line="256" w:lineRule="auto"/>
              <w:jc w:val="left"/>
              <w:rPr>
                <w:color w:val="auto"/>
                <w:sz w:val="19"/>
                <w:szCs w:val="19"/>
              </w:rPr>
            </w:pPr>
          </w:p>
        </w:tc>
        <w:tc>
          <w:tcPr>
            <w:tcW w:w="957" w:type="pct"/>
            <w:vMerge w:val="restart"/>
            <w:tcBorders>
              <w:top w:val="single" w:sz="4" w:space="0" w:color="auto"/>
              <w:left w:val="single" w:sz="4" w:space="0" w:color="auto"/>
              <w:bottom w:val="single" w:sz="4" w:space="0" w:color="auto"/>
              <w:right w:val="single" w:sz="4" w:space="0" w:color="auto"/>
            </w:tcBorders>
            <w:hideMark/>
          </w:tcPr>
          <w:p w14:paraId="3C9A3FA6" w14:textId="77777777" w:rsidR="007117DA" w:rsidRDefault="007117DA" w:rsidP="00A90A24">
            <w:pPr>
              <w:jc w:val="right"/>
              <w:rPr>
                <w:color w:val="auto"/>
                <w:sz w:val="19"/>
                <w:szCs w:val="19"/>
              </w:rPr>
            </w:pPr>
            <w:r>
              <w:rPr>
                <w:color w:val="auto"/>
                <w:sz w:val="19"/>
                <w:szCs w:val="19"/>
              </w:rPr>
              <w:t>Phosphorus</w:t>
            </w:r>
          </w:p>
          <w:p w14:paraId="04888D0A" w14:textId="77777777" w:rsidR="007117DA" w:rsidRDefault="007117DA" w:rsidP="00A90A24">
            <w:pPr>
              <w:jc w:val="right"/>
              <w:rPr>
                <w:rFonts w:cs="Arial"/>
                <w:color w:val="auto"/>
                <w:sz w:val="19"/>
                <w:szCs w:val="19"/>
              </w:rPr>
            </w:pPr>
          </w:p>
          <w:p w14:paraId="059761EC" w14:textId="77777777" w:rsidR="007117DA" w:rsidRDefault="007117DA" w:rsidP="00A90A24">
            <w:pPr>
              <w:jc w:val="right"/>
              <w:rPr>
                <w:color w:val="auto"/>
                <w:sz w:val="19"/>
                <w:szCs w:val="19"/>
              </w:rPr>
            </w:pPr>
            <w:r>
              <w:rPr>
                <w:rFonts w:cs="Arial"/>
                <w:color w:val="auto"/>
                <w:sz w:val="19"/>
                <w:szCs w:val="19"/>
              </w:rPr>
              <w:t>Export over barrages due to CEW (tonnes)</w:t>
            </w:r>
          </w:p>
        </w:tc>
        <w:tc>
          <w:tcPr>
            <w:tcW w:w="519" w:type="pct"/>
            <w:gridSpan w:val="3"/>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1B94516F" w14:textId="77777777" w:rsidR="007117DA" w:rsidRDefault="007117DA" w:rsidP="00A90A24">
            <w:pPr>
              <w:jc w:val="left"/>
              <w:rPr>
                <w:color w:val="auto"/>
                <w:sz w:val="19"/>
                <w:szCs w:val="19"/>
              </w:rPr>
            </w:pPr>
            <w:r>
              <w:rPr>
                <w:sz w:val="19"/>
                <w:szCs w:val="19"/>
              </w:rPr>
              <w:t>54</w:t>
            </w:r>
          </w:p>
        </w:tc>
        <w:tc>
          <w:tcPr>
            <w:tcW w:w="487" w:type="pct"/>
            <w:gridSpan w:val="2"/>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2404D9BB" w14:textId="77777777" w:rsidR="007117DA" w:rsidRDefault="007117DA" w:rsidP="00A90A24">
            <w:pPr>
              <w:jc w:val="left"/>
              <w:rPr>
                <w:color w:val="auto"/>
                <w:sz w:val="19"/>
                <w:szCs w:val="19"/>
              </w:rPr>
            </w:pPr>
            <w:r>
              <w:rPr>
                <w:sz w:val="19"/>
                <w:szCs w:val="19"/>
              </w:rPr>
              <w:t>90</w:t>
            </w:r>
          </w:p>
        </w:tc>
        <w:tc>
          <w:tcPr>
            <w:tcW w:w="469" w:type="pct"/>
            <w:gridSpan w:val="2"/>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69219C92" w14:textId="77777777" w:rsidR="007117DA" w:rsidRDefault="007117DA" w:rsidP="00A90A24">
            <w:pPr>
              <w:jc w:val="left"/>
              <w:rPr>
                <w:color w:val="auto"/>
                <w:sz w:val="19"/>
                <w:szCs w:val="19"/>
              </w:rPr>
            </w:pPr>
            <w:r>
              <w:rPr>
                <w:sz w:val="19"/>
                <w:szCs w:val="19"/>
              </w:rPr>
              <w:t>11</w:t>
            </w:r>
          </w:p>
        </w:tc>
        <w:tc>
          <w:tcPr>
            <w:tcW w:w="403" w:type="pct"/>
            <w:gridSpan w:val="2"/>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49806B60" w14:textId="77777777" w:rsidR="007117DA" w:rsidRDefault="007117DA" w:rsidP="00A90A24">
            <w:pPr>
              <w:jc w:val="left"/>
              <w:rPr>
                <w:color w:val="auto"/>
                <w:sz w:val="19"/>
                <w:szCs w:val="19"/>
              </w:rPr>
            </w:pPr>
            <w:r>
              <w:rPr>
                <w:sz w:val="19"/>
                <w:szCs w:val="19"/>
              </w:rPr>
              <w:t>137</w:t>
            </w:r>
          </w:p>
        </w:tc>
        <w:tc>
          <w:tcPr>
            <w:tcW w:w="400" w:type="pct"/>
            <w:gridSpan w:val="2"/>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5EA40FA6" w14:textId="77777777" w:rsidR="007117DA" w:rsidRDefault="007117DA" w:rsidP="00A90A24">
            <w:pPr>
              <w:jc w:val="left"/>
              <w:rPr>
                <w:color w:val="auto"/>
                <w:sz w:val="19"/>
                <w:szCs w:val="19"/>
              </w:rPr>
            </w:pPr>
            <w:r>
              <w:rPr>
                <w:sz w:val="19"/>
                <w:szCs w:val="19"/>
              </w:rPr>
              <w:t>77</w:t>
            </w:r>
          </w:p>
        </w:tc>
        <w:tc>
          <w:tcPr>
            <w:tcW w:w="424" w:type="pct"/>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56F941F9" w14:textId="77777777" w:rsidR="007117DA" w:rsidRDefault="007117DA" w:rsidP="00A90A24">
            <w:pPr>
              <w:jc w:val="left"/>
              <w:rPr>
                <w:color w:val="auto"/>
                <w:sz w:val="19"/>
                <w:szCs w:val="19"/>
              </w:rPr>
            </w:pPr>
            <w:r>
              <w:rPr>
                <w:color w:val="auto"/>
                <w:sz w:val="19"/>
                <w:szCs w:val="19"/>
              </w:rPr>
              <w:t>103</w:t>
            </w:r>
          </w:p>
        </w:tc>
      </w:tr>
      <w:tr w:rsidR="007117DA" w14:paraId="12649441" w14:textId="77777777" w:rsidTr="00315757">
        <w:trPr>
          <w:cantSplit/>
          <w:trHeight w:val="20"/>
        </w:trPr>
        <w:tc>
          <w:tcPr>
            <w:tcW w:w="0" w:type="auto"/>
            <w:gridSpan w:val="2"/>
            <w:vMerge/>
            <w:tcBorders>
              <w:top w:val="nil"/>
              <w:left w:val="single" w:sz="4" w:space="0" w:color="auto"/>
              <w:bottom w:val="nil"/>
              <w:right w:val="single" w:sz="4" w:space="0" w:color="auto"/>
            </w:tcBorders>
            <w:vAlign w:val="center"/>
            <w:hideMark/>
          </w:tcPr>
          <w:p w14:paraId="3DDF4D88" w14:textId="77777777" w:rsidR="007117DA" w:rsidRDefault="007117DA" w:rsidP="00A90A24">
            <w:pPr>
              <w:spacing w:before="0" w:after="0" w:line="256" w:lineRule="auto"/>
              <w:jc w:val="left"/>
              <w:rPr>
                <w:color w:val="auto"/>
                <w:sz w:val="19"/>
                <w:szCs w:val="19"/>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AAE1DB1" w14:textId="77777777" w:rsidR="007117DA" w:rsidRDefault="007117DA" w:rsidP="00A90A24">
            <w:pPr>
              <w:spacing w:before="0" w:after="0" w:line="256" w:lineRule="auto"/>
              <w:jc w:val="left"/>
              <w:rPr>
                <w:color w:val="auto"/>
                <w:sz w:val="19"/>
                <w:szCs w:val="19"/>
              </w:rPr>
            </w:pPr>
          </w:p>
        </w:tc>
        <w:tc>
          <w:tcPr>
            <w:tcW w:w="2703" w:type="pct"/>
            <w:gridSpan w:val="12"/>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44B5ED7C" w14:textId="77777777" w:rsidR="007117DA" w:rsidRDefault="007117DA" w:rsidP="00A90A24">
            <w:pPr>
              <w:jc w:val="left"/>
              <w:rPr>
                <w:sz w:val="19"/>
                <w:szCs w:val="19"/>
              </w:rPr>
            </w:pPr>
            <w:r>
              <w:rPr>
                <w:sz w:val="19"/>
                <w:szCs w:val="19"/>
              </w:rPr>
              <w:t>CEW increased phosphorus export as phosphate load was largely a function of flow volume.</w:t>
            </w:r>
          </w:p>
        </w:tc>
      </w:tr>
      <w:tr w:rsidR="007117DA" w14:paraId="043F7BF7" w14:textId="77777777" w:rsidTr="00315757">
        <w:trPr>
          <w:cantSplit/>
          <w:trHeight w:val="20"/>
        </w:trPr>
        <w:tc>
          <w:tcPr>
            <w:tcW w:w="1333" w:type="pct"/>
            <w:vMerge w:val="restart"/>
            <w:tcBorders>
              <w:top w:val="nil"/>
              <w:left w:val="single" w:sz="4" w:space="0" w:color="auto"/>
              <w:bottom w:val="nil"/>
              <w:right w:val="single" w:sz="4" w:space="0" w:color="auto"/>
            </w:tcBorders>
            <w:hideMark/>
          </w:tcPr>
          <w:p w14:paraId="37982BCC" w14:textId="77777777" w:rsidR="007117DA" w:rsidRDefault="007117DA" w:rsidP="00A90A24">
            <w:pPr>
              <w:jc w:val="left"/>
              <w:rPr>
                <w:sz w:val="19"/>
                <w:szCs w:val="19"/>
              </w:rPr>
            </w:pPr>
          </w:p>
        </w:tc>
        <w:tc>
          <w:tcPr>
            <w:tcW w:w="968" w:type="pct"/>
            <w:gridSpan w:val="3"/>
            <w:vMerge w:val="restart"/>
            <w:tcBorders>
              <w:top w:val="single" w:sz="4" w:space="0" w:color="auto"/>
              <w:left w:val="single" w:sz="4" w:space="0" w:color="auto"/>
              <w:bottom w:val="single" w:sz="4" w:space="0" w:color="auto"/>
              <w:right w:val="single" w:sz="4" w:space="0" w:color="auto"/>
            </w:tcBorders>
            <w:hideMark/>
          </w:tcPr>
          <w:p w14:paraId="63D51510" w14:textId="77777777" w:rsidR="007117DA" w:rsidRDefault="007117DA" w:rsidP="00A90A24">
            <w:pPr>
              <w:jc w:val="right"/>
              <w:rPr>
                <w:color w:val="auto"/>
                <w:sz w:val="19"/>
                <w:szCs w:val="19"/>
              </w:rPr>
            </w:pPr>
            <w:r>
              <w:rPr>
                <w:color w:val="auto"/>
                <w:sz w:val="19"/>
                <w:szCs w:val="19"/>
              </w:rPr>
              <w:t>Silica</w:t>
            </w:r>
          </w:p>
          <w:p w14:paraId="0095EC7F" w14:textId="77777777" w:rsidR="007117DA" w:rsidRDefault="007117DA" w:rsidP="00A90A24">
            <w:pPr>
              <w:jc w:val="right"/>
              <w:rPr>
                <w:rFonts w:cs="Arial"/>
                <w:color w:val="auto"/>
                <w:sz w:val="19"/>
                <w:szCs w:val="19"/>
              </w:rPr>
            </w:pPr>
          </w:p>
          <w:p w14:paraId="129E63E9" w14:textId="77777777" w:rsidR="007117DA" w:rsidRDefault="007117DA" w:rsidP="00A90A24">
            <w:pPr>
              <w:jc w:val="right"/>
              <w:rPr>
                <w:color w:val="auto"/>
                <w:sz w:val="19"/>
                <w:szCs w:val="19"/>
              </w:rPr>
            </w:pPr>
            <w:r>
              <w:rPr>
                <w:rFonts w:cs="Arial"/>
                <w:color w:val="auto"/>
                <w:sz w:val="19"/>
                <w:szCs w:val="19"/>
              </w:rPr>
              <w:t>Export over barrages due to CEW (tonnes)</w:t>
            </w:r>
          </w:p>
        </w:tc>
        <w:tc>
          <w:tcPr>
            <w:tcW w:w="501"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16B95B8" w14:textId="77777777" w:rsidR="007117DA" w:rsidRDefault="007117DA" w:rsidP="00A90A24">
            <w:pPr>
              <w:jc w:val="left"/>
              <w:rPr>
                <w:color w:val="auto"/>
                <w:sz w:val="19"/>
                <w:szCs w:val="19"/>
              </w:rPr>
            </w:pPr>
            <w:r>
              <w:rPr>
                <w:sz w:val="19"/>
                <w:szCs w:val="19"/>
              </w:rPr>
              <w:t>3,551</w:t>
            </w:r>
          </w:p>
        </w:tc>
        <w:tc>
          <w:tcPr>
            <w:tcW w:w="38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75BA266" w14:textId="77777777" w:rsidR="007117DA" w:rsidRDefault="007117DA" w:rsidP="00A90A24">
            <w:pPr>
              <w:jc w:val="left"/>
              <w:rPr>
                <w:color w:val="auto"/>
                <w:sz w:val="19"/>
                <w:szCs w:val="19"/>
              </w:rPr>
            </w:pPr>
            <w:r>
              <w:rPr>
                <w:sz w:val="19"/>
                <w:szCs w:val="19"/>
              </w:rPr>
              <w:t>6,836</w:t>
            </w:r>
          </w:p>
        </w:tc>
        <w:tc>
          <w:tcPr>
            <w:tcW w:w="325"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1721074" w14:textId="7A49245F" w:rsidR="007117DA" w:rsidRDefault="007117DA" w:rsidP="00A90A24">
            <w:pPr>
              <w:jc w:val="left"/>
              <w:rPr>
                <w:color w:val="auto"/>
                <w:sz w:val="19"/>
                <w:szCs w:val="19"/>
              </w:rPr>
            </w:pPr>
            <w:r>
              <w:rPr>
                <w:sz w:val="19"/>
                <w:szCs w:val="19"/>
              </w:rPr>
              <w:t>0</w:t>
            </w:r>
          </w:p>
        </w:tc>
        <w:tc>
          <w:tcPr>
            <w:tcW w:w="38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FEDED1C" w14:textId="77777777" w:rsidR="007117DA" w:rsidRDefault="007117DA" w:rsidP="00A90A24">
            <w:pPr>
              <w:jc w:val="left"/>
              <w:rPr>
                <w:color w:val="auto"/>
                <w:sz w:val="19"/>
                <w:szCs w:val="19"/>
              </w:rPr>
            </w:pPr>
            <w:r>
              <w:rPr>
                <w:sz w:val="19"/>
                <w:szCs w:val="19"/>
              </w:rPr>
              <w:t>8,787</w:t>
            </w:r>
          </w:p>
        </w:tc>
        <w:tc>
          <w:tcPr>
            <w:tcW w:w="471"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5AE2323" w14:textId="77777777" w:rsidR="007117DA" w:rsidRDefault="007117DA" w:rsidP="00A90A24">
            <w:pPr>
              <w:jc w:val="left"/>
              <w:rPr>
                <w:color w:val="auto"/>
                <w:sz w:val="19"/>
                <w:szCs w:val="19"/>
              </w:rPr>
            </w:pPr>
            <w:r>
              <w:rPr>
                <w:sz w:val="19"/>
                <w:szCs w:val="19"/>
              </w:rPr>
              <w:t>5,469</w:t>
            </w:r>
          </w:p>
        </w:tc>
        <w:tc>
          <w:tcPr>
            <w:tcW w:w="636"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486D8FF" w14:textId="77777777" w:rsidR="007117DA" w:rsidRDefault="007117DA" w:rsidP="00A90A24">
            <w:pPr>
              <w:jc w:val="left"/>
              <w:rPr>
                <w:color w:val="auto"/>
                <w:sz w:val="19"/>
                <w:szCs w:val="19"/>
              </w:rPr>
            </w:pPr>
            <w:r>
              <w:rPr>
                <w:color w:val="auto"/>
                <w:sz w:val="19"/>
                <w:szCs w:val="19"/>
              </w:rPr>
              <w:t>10,787</w:t>
            </w:r>
          </w:p>
        </w:tc>
      </w:tr>
      <w:tr w:rsidR="007117DA" w14:paraId="769D4092" w14:textId="77777777" w:rsidTr="00315757">
        <w:trPr>
          <w:cantSplit/>
          <w:trHeight w:val="20"/>
        </w:trPr>
        <w:tc>
          <w:tcPr>
            <w:tcW w:w="1333" w:type="pct"/>
            <w:vMerge/>
            <w:tcBorders>
              <w:top w:val="nil"/>
              <w:left w:val="single" w:sz="4" w:space="0" w:color="auto"/>
              <w:bottom w:val="nil"/>
              <w:right w:val="single" w:sz="4" w:space="0" w:color="auto"/>
            </w:tcBorders>
            <w:vAlign w:val="center"/>
            <w:hideMark/>
          </w:tcPr>
          <w:p w14:paraId="12837798" w14:textId="77777777" w:rsidR="007117DA" w:rsidRDefault="007117DA" w:rsidP="00A90A24">
            <w:pPr>
              <w:spacing w:before="0" w:after="0" w:line="256" w:lineRule="auto"/>
              <w:jc w:val="left"/>
              <w:rPr>
                <w:sz w:val="19"/>
                <w:szCs w:val="19"/>
              </w:rPr>
            </w:pPr>
          </w:p>
        </w:tc>
        <w:tc>
          <w:tcPr>
            <w:tcW w:w="968" w:type="pct"/>
            <w:gridSpan w:val="3"/>
            <w:vMerge/>
            <w:tcBorders>
              <w:top w:val="single" w:sz="4" w:space="0" w:color="auto"/>
              <w:left w:val="single" w:sz="4" w:space="0" w:color="auto"/>
              <w:bottom w:val="single" w:sz="4" w:space="0" w:color="auto"/>
              <w:right w:val="single" w:sz="4" w:space="0" w:color="auto"/>
            </w:tcBorders>
            <w:vAlign w:val="center"/>
            <w:hideMark/>
          </w:tcPr>
          <w:p w14:paraId="588FB2EC" w14:textId="77777777" w:rsidR="007117DA" w:rsidRDefault="007117DA" w:rsidP="00A90A24">
            <w:pPr>
              <w:spacing w:before="0" w:after="0" w:line="256" w:lineRule="auto"/>
              <w:jc w:val="left"/>
              <w:rPr>
                <w:color w:val="auto"/>
                <w:sz w:val="19"/>
                <w:szCs w:val="19"/>
              </w:rPr>
            </w:pPr>
          </w:p>
        </w:tc>
        <w:tc>
          <w:tcPr>
            <w:tcW w:w="2699" w:type="pct"/>
            <w:gridSpan w:val="11"/>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BCFE420" w14:textId="77777777" w:rsidR="007117DA" w:rsidRDefault="007117DA" w:rsidP="00A90A24">
            <w:pPr>
              <w:jc w:val="left"/>
              <w:rPr>
                <w:sz w:val="19"/>
                <w:szCs w:val="19"/>
              </w:rPr>
            </w:pPr>
            <w:r>
              <w:rPr>
                <w:sz w:val="19"/>
                <w:szCs w:val="19"/>
              </w:rPr>
              <w:t>CEW increased silica export as silica load was largely a function of flow volume and CEW contributed 100% of flow.</w:t>
            </w:r>
          </w:p>
          <w:p w14:paraId="116F51AE" w14:textId="77777777" w:rsidR="007117DA" w:rsidRDefault="007117DA" w:rsidP="00A90A24">
            <w:pPr>
              <w:jc w:val="left"/>
              <w:rPr>
                <w:sz w:val="19"/>
                <w:szCs w:val="19"/>
              </w:rPr>
            </w:pPr>
            <w:r>
              <w:rPr>
                <w:sz w:val="19"/>
                <w:szCs w:val="19"/>
              </w:rPr>
              <w:t>2016-17 was a flood year and so the silica export that year may be a function of the concentrations used to model. Total silica export was 70,207 tonnes, although not attributed to CEW.</w:t>
            </w:r>
          </w:p>
        </w:tc>
      </w:tr>
      <w:tr w:rsidR="007117DA" w14:paraId="42E726AD" w14:textId="77777777" w:rsidTr="00315757">
        <w:trPr>
          <w:cantSplit/>
          <w:trHeight w:val="20"/>
        </w:trPr>
        <w:tc>
          <w:tcPr>
            <w:tcW w:w="1333" w:type="pct"/>
            <w:vMerge w:val="restart"/>
            <w:tcBorders>
              <w:top w:val="nil"/>
              <w:left w:val="single" w:sz="4" w:space="0" w:color="auto"/>
              <w:bottom w:val="single" w:sz="4" w:space="0" w:color="auto"/>
              <w:right w:val="single" w:sz="4" w:space="0" w:color="auto"/>
            </w:tcBorders>
            <w:vAlign w:val="center"/>
            <w:hideMark/>
          </w:tcPr>
          <w:p w14:paraId="09C3225E" w14:textId="77777777" w:rsidR="007117DA" w:rsidRDefault="007117DA" w:rsidP="00A90A24">
            <w:pPr>
              <w:spacing w:before="0" w:after="0" w:line="256" w:lineRule="auto"/>
              <w:jc w:val="left"/>
              <w:rPr>
                <w:sz w:val="19"/>
                <w:szCs w:val="19"/>
              </w:rPr>
            </w:pPr>
          </w:p>
        </w:tc>
        <w:tc>
          <w:tcPr>
            <w:tcW w:w="968" w:type="pct"/>
            <w:gridSpan w:val="3"/>
            <w:vMerge w:val="restart"/>
            <w:tcBorders>
              <w:top w:val="single" w:sz="4" w:space="0" w:color="auto"/>
              <w:left w:val="single" w:sz="4" w:space="0" w:color="auto"/>
              <w:bottom w:val="single" w:sz="4" w:space="0" w:color="auto"/>
              <w:right w:val="single" w:sz="4" w:space="0" w:color="auto"/>
            </w:tcBorders>
            <w:hideMark/>
          </w:tcPr>
          <w:p w14:paraId="1E0A3768" w14:textId="77777777" w:rsidR="007117DA" w:rsidRDefault="007117DA" w:rsidP="00A90A24">
            <w:pPr>
              <w:jc w:val="right"/>
              <w:rPr>
                <w:sz w:val="19"/>
                <w:szCs w:val="19"/>
              </w:rPr>
            </w:pPr>
            <w:r>
              <w:rPr>
                <w:sz w:val="19"/>
                <w:szCs w:val="19"/>
              </w:rPr>
              <w:t>Phytoplankton</w:t>
            </w:r>
          </w:p>
          <w:p w14:paraId="08FC60A9" w14:textId="77777777" w:rsidR="007117DA" w:rsidRDefault="007117DA" w:rsidP="00A90A24">
            <w:pPr>
              <w:jc w:val="right"/>
              <w:rPr>
                <w:color w:val="auto"/>
                <w:sz w:val="19"/>
                <w:szCs w:val="19"/>
              </w:rPr>
            </w:pPr>
            <w:r>
              <w:rPr>
                <w:rFonts w:cs="Arial"/>
                <w:color w:val="auto"/>
                <w:sz w:val="19"/>
                <w:szCs w:val="19"/>
              </w:rPr>
              <w:t>Export over barrages due to CEW (tonnes)</w:t>
            </w:r>
          </w:p>
        </w:tc>
        <w:tc>
          <w:tcPr>
            <w:tcW w:w="501" w:type="pct"/>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5514D8A2" w14:textId="77777777" w:rsidR="007117DA" w:rsidRDefault="007117DA" w:rsidP="00A90A24">
            <w:pPr>
              <w:jc w:val="left"/>
              <w:rPr>
                <w:color w:val="auto"/>
                <w:sz w:val="19"/>
                <w:szCs w:val="19"/>
              </w:rPr>
            </w:pPr>
            <w:r>
              <w:rPr>
                <w:sz w:val="19"/>
                <w:szCs w:val="19"/>
              </w:rPr>
              <w:t>8</w:t>
            </w:r>
          </w:p>
        </w:tc>
        <w:tc>
          <w:tcPr>
            <w:tcW w:w="383" w:type="pct"/>
            <w:gridSpan w:val="2"/>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1BC7A342" w14:textId="77777777" w:rsidR="007117DA" w:rsidRDefault="007117DA" w:rsidP="00A90A24">
            <w:pPr>
              <w:jc w:val="left"/>
              <w:rPr>
                <w:color w:val="auto"/>
                <w:sz w:val="19"/>
                <w:szCs w:val="19"/>
              </w:rPr>
            </w:pPr>
            <w:r>
              <w:rPr>
                <w:sz w:val="19"/>
                <w:szCs w:val="19"/>
              </w:rPr>
              <w:t>6</w:t>
            </w:r>
          </w:p>
        </w:tc>
        <w:tc>
          <w:tcPr>
            <w:tcW w:w="325" w:type="pct"/>
            <w:gridSpan w:val="2"/>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54CEDDBD" w14:textId="77777777" w:rsidR="007117DA" w:rsidRDefault="007117DA" w:rsidP="00A90A24">
            <w:pPr>
              <w:jc w:val="left"/>
              <w:rPr>
                <w:color w:val="auto"/>
                <w:sz w:val="19"/>
                <w:szCs w:val="19"/>
              </w:rPr>
            </w:pPr>
            <w:r>
              <w:rPr>
                <w:sz w:val="19"/>
                <w:szCs w:val="19"/>
              </w:rPr>
              <w:t>14</w:t>
            </w:r>
          </w:p>
        </w:tc>
        <w:tc>
          <w:tcPr>
            <w:tcW w:w="383" w:type="pct"/>
            <w:gridSpan w:val="2"/>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1F1D6F6F" w14:textId="77777777" w:rsidR="007117DA" w:rsidRDefault="007117DA" w:rsidP="00A90A24">
            <w:pPr>
              <w:jc w:val="left"/>
              <w:rPr>
                <w:color w:val="auto"/>
                <w:sz w:val="19"/>
                <w:szCs w:val="19"/>
              </w:rPr>
            </w:pPr>
            <w:r>
              <w:rPr>
                <w:sz w:val="19"/>
                <w:szCs w:val="19"/>
              </w:rPr>
              <w:t>12</w:t>
            </w:r>
          </w:p>
        </w:tc>
        <w:tc>
          <w:tcPr>
            <w:tcW w:w="471" w:type="pct"/>
            <w:gridSpan w:val="2"/>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4748ABA6" w14:textId="77777777" w:rsidR="007117DA" w:rsidRDefault="007117DA" w:rsidP="00A90A24">
            <w:pPr>
              <w:jc w:val="left"/>
              <w:rPr>
                <w:color w:val="auto"/>
                <w:sz w:val="19"/>
                <w:szCs w:val="19"/>
              </w:rPr>
            </w:pPr>
            <w:r>
              <w:rPr>
                <w:sz w:val="19"/>
                <w:szCs w:val="19"/>
              </w:rPr>
              <w:t>6</w:t>
            </w:r>
          </w:p>
        </w:tc>
        <w:tc>
          <w:tcPr>
            <w:tcW w:w="636" w:type="pct"/>
            <w:gridSpan w:val="2"/>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49EDCD3B" w14:textId="77777777" w:rsidR="007117DA" w:rsidRDefault="007117DA" w:rsidP="00A90A24">
            <w:pPr>
              <w:jc w:val="left"/>
              <w:rPr>
                <w:color w:val="auto"/>
                <w:sz w:val="19"/>
                <w:szCs w:val="19"/>
              </w:rPr>
            </w:pPr>
            <w:r>
              <w:rPr>
                <w:color w:val="auto"/>
                <w:sz w:val="19"/>
                <w:szCs w:val="19"/>
              </w:rPr>
              <w:t>5.6</w:t>
            </w:r>
          </w:p>
        </w:tc>
      </w:tr>
      <w:tr w:rsidR="007117DA" w14:paraId="7EA79A22" w14:textId="77777777" w:rsidTr="00315757">
        <w:trPr>
          <w:cantSplit/>
          <w:trHeight w:val="20"/>
        </w:trPr>
        <w:tc>
          <w:tcPr>
            <w:tcW w:w="1333" w:type="pct"/>
            <w:vMerge/>
            <w:tcBorders>
              <w:top w:val="nil"/>
              <w:left w:val="single" w:sz="4" w:space="0" w:color="auto"/>
              <w:bottom w:val="single" w:sz="4" w:space="0" w:color="auto"/>
              <w:right w:val="single" w:sz="4" w:space="0" w:color="auto"/>
            </w:tcBorders>
            <w:vAlign w:val="center"/>
            <w:hideMark/>
          </w:tcPr>
          <w:p w14:paraId="38C3974F" w14:textId="77777777" w:rsidR="007117DA" w:rsidRDefault="007117DA" w:rsidP="00A90A24">
            <w:pPr>
              <w:spacing w:before="0" w:after="0" w:line="256" w:lineRule="auto"/>
              <w:jc w:val="left"/>
              <w:rPr>
                <w:sz w:val="19"/>
                <w:szCs w:val="19"/>
              </w:rPr>
            </w:pPr>
          </w:p>
        </w:tc>
        <w:tc>
          <w:tcPr>
            <w:tcW w:w="968" w:type="pct"/>
            <w:gridSpan w:val="3"/>
            <w:vMerge/>
            <w:tcBorders>
              <w:top w:val="single" w:sz="4" w:space="0" w:color="auto"/>
              <w:left w:val="single" w:sz="4" w:space="0" w:color="auto"/>
              <w:bottom w:val="single" w:sz="4" w:space="0" w:color="auto"/>
              <w:right w:val="single" w:sz="4" w:space="0" w:color="auto"/>
            </w:tcBorders>
            <w:vAlign w:val="center"/>
            <w:hideMark/>
          </w:tcPr>
          <w:p w14:paraId="42909115" w14:textId="77777777" w:rsidR="007117DA" w:rsidRDefault="007117DA" w:rsidP="00A90A24">
            <w:pPr>
              <w:spacing w:before="0" w:after="0" w:line="256" w:lineRule="auto"/>
              <w:jc w:val="left"/>
              <w:rPr>
                <w:color w:val="auto"/>
                <w:sz w:val="19"/>
                <w:szCs w:val="19"/>
              </w:rPr>
            </w:pPr>
          </w:p>
        </w:tc>
        <w:tc>
          <w:tcPr>
            <w:tcW w:w="2699" w:type="pct"/>
            <w:gridSpan w:val="11"/>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3F1AB53C" w14:textId="345EBBD3" w:rsidR="007117DA" w:rsidRDefault="00E80E06" w:rsidP="00A90A24">
            <w:pPr>
              <w:jc w:val="left"/>
              <w:rPr>
                <w:sz w:val="19"/>
                <w:szCs w:val="19"/>
              </w:rPr>
            </w:pPr>
            <w:r>
              <w:rPr>
                <w:sz w:val="19"/>
                <w:szCs w:val="19"/>
              </w:rPr>
              <w:t xml:space="preserve">CEW increased phytoplankton export as chlorophyll load was a function of flow volume and 100% of flow over the barrages is attributable to CEW. </w:t>
            </w:r>
            <w:r w:rsidR="008F353D">
              <w:rPr>
                <w:sz w:val="19"/>
                <w:szCs w:val="19"/>
              </w:rPr>
              <w:t>However, t</w:t>
            </w:r>
            <w:r w:rsidR="006B10DD">
              <w:rPr>
                <w:sz w:val="19"/>
                <w:szCs w:val="19"/>
              </w:rPr>
              <w:t xml:space="preserve">he </w:t>
            </w:r>
            <w:r w:rsidR="008F353D">
              <w:rPr>
                <w:sz w:val="19"/>
                <w:szCs w:val="19"/>
              </w:rPr>
              <w:t>significance of the outcome (</w:t>
            </w:r>
            <w:r w:rsidR="006B10DD">
              <w:rPr>
                <w:sz w:val="19"/>
                <w:szCs w:val="19"/>
              </w:rPr>
              <w:t>load of phytoplankton export</w:t>
            </w:r>
            <w:r w:rsidR="008F353D">
              <w:rPr>
                <w:sz w:val="19"/>
                <w:szCs w:val="19"/>
              </w:rPr>
              <w:t>)</w:t>
            </w:r>
            <w:r w:rsidR="006B10DD">
              <w:rPr>
                <w:sz w:val="19"/>
                <w:szCs w:val="19"/>
              </w:rPr>
              <w:t xml:space="preserve"> </w:t>
            </w:r>
            <w:r w:rsidR="008F353D">
              <w:rPr>
                <w:sz w:val="19"/>
                <w:szCs w:val="19"/>
              </w:rPr>
              <w:t>w</w:t>
            </w:r>
            <w:r w:rsidR="006B10DD">
              <w:rPr>
                <w:sz w:val="19"/>
                <w:szCs w:val="19"/>
              </w:rPr>
              <w:t xml:space="preserve">as </w:t>
            </w:r>
            <w:r w:rsidR="008F353D">
              <w:rPr>
                <w:sz w:val="19"/>
                <w:szCs w:val="19"/>
              </w:rPr>
              <w:t xml:space="preserve">low in 2019-20 and so the overall contribution was negligible. </w:t>
            </w:r>
          </w:p>
        </w:tc>
      </w:tr>
    </w:tbl>
    <w:p w14:paraId="4FD05CAF" w14:textId="1DC37001" w:rsidR="00315757" w:rsidRDefault="00315757" w:rsidP="00315757">
      <w:pPr>
        <w:spacing w:before="0" w:after="0" w:line="240" w:lineRule="auto"/>
        <w:rPr>
          <w:color w:val="auto"/>
          <w:kern w:val="0"/>
          <w:sz w:val="18"/>
          <w:szCs w:val="18"/>
          <w:lang w:val="en-US" w:bidi="en-US"/>
        </w:rPr>
      </w:pPr>
      <w:bookmarkStart w:id="179" w:name="_Hlk64578781"/>
      <w:r w:rsidRPr="00315757">
        <w:rPr>
          <w:color w:val="auto"/>
          <w:kern w:val="0"/>
          <w:sz w:val="18"/>
          <w:szCs w:val="18"/>
          <w:lang w:val="en-US" w:bidi="en-US"/>
        </w:rPr>
        <w:t>* The salt export and salinity data reported for years 2014-15 to 2016-17 are from the large domain model previously used in the LTIM reporting. The numbers for 2017-18 to 2019-20 are from the new high-resolution Coorong only model, which uses a different method for barrage flow calculation and has a more accurate specification of salinity and salt fl</w:t>
      </w:r>
      <w:r>
        <w:rPr>
          <w:color w:val="auto"/>
          <w:kern w:val="0"/>
          <w:sz w:val="18"/>
          <w:szCs w:val="18"/>
          <w:lang w:val="en-US" w:bidi="en-US"/>
        </w:rPr>
        <w:t>ux</w:t>
      </w:r>
      <w:r w:rsidRPr="00315757">
        <w:rPr>
          <w:color w:val="auto"/>
          <w:kern w:val="0"/>
          <w:sz w:val="18"/>
          <w:szCs w:val="18"/>
          <w:lang w:val="en-US" w:bidi="en-US"/>
        </w:rPr>
        <w:t xml:space="preserve">. </w:t>
      </w:r>
      <w:r w:rsidR="00B739A5" w:rsidRPr="00315757">
        <w:rPr>
          <w:color w:val="auto"/>
          <w:kern w:val="0"/>
          <w:sz w:val="18"/>
          <w:szCs w:val="18"/>
          <w:lang w:val="en-US" w:bidi="en-US"/>
        </w:rPr>
        <w:t xml:space="preserve">When we compared the two models, salt flux at the barrages </w:t>
      </w:r>
      <w:r w:rsidR="00B739A5">
        <w:rPr>
          <w:color w:val="auto"/>
          <w:kern w:val="0"/>
          <w:sz w:val="18"/>
          <w:szCs w:val="18"/>
          <w:lang w:val="en-US" w:bidi="en-US"/>
        </w:rPr>
        <w:t xml:space="preserve">was underestimated by </w:t>
      </w:r>
      <w:r w:rsidR="00B739A5" w:rsidRPr="00315757">
        <w:rPr>
          <w:color w:val="auto"/>
          <w:kern w:val="0"/>
          <w:sz w:val="18"/>
          <w:szCs w:val="18"/>
          <w:lang w:val="en-US" w:bidi="en-US"/>
        </w:rPr>
        <w:t xml:space="preserve">the full domain model, and </w:t>
      </w:r>
      <w:r w:rsidRPr="00315757">
        <w:rPr>
          <w:color w:val="auto"/>
          <w:kern w:val="0"/>
          <w:sz w:val="18"/>
          <w:szCs w:val="18"/>
          <w:lang w:val="en-US" w:bidi="en-US"/>
        </w:rPr>
        <w:t xml:space="preserve">hence the 2014-15 to 2016-17 are systematically lower than the other years. The post 2017 predictions </w:t>
      </w:r>
      <w:proofErr w:type="gramStart"/>
      <w:r w:rsidRPr="00315757">
        <w:rPr>
          <w:color w:val="auto"/>
          <w:kern w:val="0"/>
          <w:sz w:val="18"/>
          <w:szCs w:val="18"/>
          <w:lang w:val="en-US" w:bidi="en-US"/>
        </w:rPr>
        <w:t>are considered to be</w:t>
      </w:r>
      <w:proofErr w:type="gramEnd"/>
      <w:r w:rsidRPr="00315757">
        <w:rPr>
          <w:color w:val="auto"/>
          <w:kern w:val="0"/>
          <w:sz w:val="18"/>
          <w:szCs w:val="18"/>
          <w:lang w:val="en-US" w:bidi="en-US"/>
        </w:rPr>
        <w:t xml:space="preserve"> </w:t>
      </w:r>
      <w:r>
        <w:rPr>
          <w:color w:val="auto"/>
          <w:kern w:val="0"/>
          <w:sz w:val="18"/>
          <w:szCs w:val="18"/>
          <w:lang w:val="en-US" w:bidi="en-US"/>
        </w:rPr>
        <w:t>more</w:t>
      </w:r>
      <w:r w:rsidRPr="00315757">
        <w:rPr>
          <w:color w:val="auto"/>
          <w:kern w:val="0"/>
          <w:sz w:val="18"/>
          <w:szCs w:val="18"/>
          <w:lang w:val="en-US" w:bidi="en-US"/>
        </w:rPr>
        <w:t xml:space="preserve"> accurate, based on our recent validation assessment (Appendix D).</w:t>
      </w:r>
    </w:p>
    <w:p w14:paraId="7C25DA6D" w14:textId="77777777" w:rsidR="00315757" w:rsidRPr="00315757" w:rsidRDefault="00315757" w:rsidP="00315757">
      <w:pPr>
        <w:spacing w:before="0" w:after="0" w:line="240" w:lineRule="auto"/>
        <w:rPr>
          <w:color w:val="auto"/>
          <w:kern w:val="0"/>
          <w:sz w:val="4"/>
          <w:szCs w:val="4"/>
          <w:lang w:val="en-US" w:bidi="en-US"/>
        </w:rPr>
      </w:pPr>
    </w:p>
    <w:bookmarkEnd w:id="179"/>
    <w:p w14:paraId="7ED0F44C" w14:textId="271A9F55" w:rsidR="007117DA" w:rsidRPr="00315757" w:rsidRDefault="007117DA" w:rsidP="007117DA">
      <w:pPr>
        <w:spacing w:before="0" w:after="0" w:line="240" w:lineRule="auto"/>
        <w:jc w:val="left"/>
        <w:rPr>
          <w:color w:val="auto"/>
          <w:kern w:val="0"/>
          <w:sz w:val="18"/>
          <w:szCs w:val="18"/>
          <w:lang w:val="en-US" w:bidi="en-US"/>
        </w:rPr>
      </w:pPr>
      <w:r w:rsidRPr="00315757">
        <w:rPr>
          <w:color w:val="auto"/>
          <w:kern w:val="0"/>
          <w:sz w:val="18"/>
          <w:szCs w:val="18"/>
          <w:lang w:val="en-US" w:bidi="en-US"/>
        </w:rPr>
        <w:t>**Matter transport results are based on different modelled data and may not necessarily reflect the CEWO accounted data.</w:t>
      </w:r>
    </w:p>
    <w:p w14:paraId="313901D2" w14:textId="77777777" w:rsidR="007117DA" w:rsidRDefault="007117DA" w:rsidP="007117DA">
      <w:pPr>
        <w:spacing w:before="0" w:after="0" w:line="240" w:lineRule="auto"/>
        <w:jc w:val="left"/>
        <w:rPr>
          <w:color w:val="auto"/>
          <w:kern w:val="0"/>
          <w:sz w:val="19"/>
          <w:szCs w:val="19"/>
          <w:lang w:val="en-US" w:bidi="en-US"/>
        </w:rPr>
      </w:pPr>
    </w:p>
    <w:p w14:paraId="730792A7" w14:textId="77777777" w:rsidR="007117DA" w:rsidRDefault="007117DA" w:rsidP="007117DA">
      <w:pPr>
        <w:spacing w:before="0" w:after="0" w:line="240" w:lineRule="auto"/>
        <w:jc w:val="left"/>
        <w:rPr>
          <w:color w:val="auto"/>
          <w:kern w:val="0"/>
          <w:sz w:val="19"/>
          <w:szCs w:val="19"/>
          <w:lang w:val="en-US" w:bidi="en-US"/>
        </w:rPr>
      </w:pPr>
      <w:r>
        <w:rPr>
          <w:color w:val="auto"/>
          <w:kern w:val="0"/>
          <w:sz w:val="19"/>
          <w:szCs w:val="19"/>
          <w:lang w:val="en-US" w:bidi="en-US"/>
        </w:rPr>
        <w:t>Contribution (to what extent CEW contributed towards the outcome, with the significance of the outcome considered):</w:t>
      </w:r>
    </w:p>
    <w:tbl>
      <w:tblPr>
        <w:tblW w:w="7278" w:type="dxa"/>
        <w:tblLook w:val="04A0" w:firstRow="1" w:lastRow="0" w:firstColumn="1" w:lastColumn="0" w:noHBand="0" w:noVBand="1"/>
      </w:tblPr>
      <w:tblGrid>
        <w:gridCol w:w="222"/>
        <w:gridCol w:w="1066"/>
        <w:gridCol w:w="222"/>
        <w:gridCol w:w="1069"/>
        <w:gridCol w:w="222"/>
        <w:gridCol w:w="1704"/>
        <w:gridCol w:w="222"/>
        <w:gridCol w:w="727"/>
        <w:gridCol w:w="222"/>
        <w:gridCol w:w="1144"/>
        <w:gridCol w:w="222"/>
        <w:gridCol w:w="1210"/>
      </w:tblGrid>
      <w:tr w:rsidR="007117DA" w14:paraId="026C371A" w14:textId="77777777" w:rsidTr="00A90A24">
        <w:tc>
          <w:tcPr>
            <w:tcW w:w="222" w:type="dxa"/>
            <w:shd w:val="clear" w:color="auto" w:fill="D9D9D9" w:themeFill="background1" w:themeFillShade="D9"/>
          </w:tcPr>
          <w:p w14:paraId="049207CF" w14:textId="77777777" w:rsidR="007117DA" w:rsidRDefault="007117DA" w:rsidP="00A90A24">
            <w:pPr>
              <w:rPr>
                <w:sz w:val="19"/>
                <w:szCs w:val="19"/>
              </w:rPr>
            </w:pPr>
          </w:p>
        </w:tc>
        <w:tc>
          <w:tcPr>
            <w:tcW w:w="1066" w:type="dxa"/>
            <w:vAlign w:val="center"/>
            <w:hideMark/>
          </w:tcPr>
          <w:p w14:paraId="71423C7B" w14:textId="77777777" w:rsidR="007117DA" w:rsidRDefault="007117DA" w:rsidP="00A90A24">
            <w:pPr>
              <w:rPr>
                <w:sz w:val="19"/>
                <w:szCs w:val="19"/>
              </w:rPr>
            </w:pPr>
            <w:r>
              <w:rPr>
                <w:sz w:val="19"/>
                <w:szCs w:val="19"/>
              </w:rPr>
              <w:t>Unknown</w:t>
            </w:r>
          </w:p>
        </w:tc>
        <w:tc>
          <w:tcPr>
            <w:tcW w:w="222" w:type="dxa"/>
            <w:shd w:val="clear" w:color="auto" w:fill="FF0000"/>
            <w:vAlign w:val="center"/>
          </w:tcPr>
          <w:p w14:paraId="151721F0" w14:textId="77777777" w:rsidR="007117DA" w:rsidRDefault="007117DA" w:rsidP="00A90A24">
            <w:pPr>
              <w:rPr>
                <w:sz w:val="19"/>
                <w:szCs w:val="19"/>
              </w:rPr>
            </w:pPr>
          </w:p>
        </w:tc>
        <w:tc>
          <w:tcPr>
            <w:tcW w:w="1069" w:type="dxa"/>
            <w:vAlign w:val="center"/>
            <w:hideMark/>
          </w:tcPr>
          <w:p w14:paraId="337DB35A" w14:textId="77777777" w:rsidR="007117DA" w:rsidRDefault="007117DA" w:rsidP="00A90A24">
            <w:pPr>
              <w:rPr>
                <w:sz w:val="19"/>
                <w:szCs w:val="19"/>
              </w:rPr>
            </w:pPr>
            <w:r>
              <w:rPr>
                <w:sz w:val="19"/>
                <w:szCs w:val="19"/>
              </w:rPr>
              <w:t>Negative</w:t>
            </w:r>
          </w:p>
        </w:tc>
        <w:tc>
          <w:tcPr>
            <w:tcW w:w="222" w:type="dxa"/>
            <w:shd w:val="clear" w:color="auto" w:fill="E2EFD9" w:themeFill="accent6" w:themeFillTint="33"/>
            <w:vAlign w:val="center"/>
          </w:tcPr>
          <w:p w14:paraId="78566240" w14:textId="77777777" w:rsidR="007117DA" w:rsidRDefault="007117DA" w:rsidP="00A90A24">
            <w:pPr>
              <w:rPr>
                <w:sz w:val="19"/>
                <w:szCs w:val="19"/>
              </w:rPr>
            </w:pPr>
          </w:p>
        </w:tc>
        <w:tc>
          <w:tcPr>
            <w:tcW w:w="1704" w:type="dxa"/>
            <w:vAlign w:val="center"/>
            <w:hideMark/>
          </w:tcPr>
          <w:p w14:paraId="25043A4C" w14:textId="77777777" w:rsidR="007117DA" w:rsidRDefault="007117DA" w:rsidP="00A90A24">
            <w:pPr>
              <w:rPr>
                <w:sz w:val="19"/>
                <w:szCs w:val="19"/>
              </w:rPr>
            </w:pPr>
            <w:r>
              <w:rPr>
                <w:sz w:val="19"/>
                <w:szCs w:val="19"/>
              </w:rPr>
              <w:t>None/negligible</w:t>
            </w:r>
          </w:p>
        </w:tc>
        <w:tc>
          <w:tcPr>
            <w:tcW w:w="222" w:type="dxa"/>
            <w:shd w:val="clear" w:color="auto" w:fill="A8D08D" w:themeFill="accent6" w:themeFillTint="99"/>
            <w:vAlign w:val="center"/>
          </w:tcPr>
          <w:p w14:paraId="2E3D31A1" w14:textId="77777777" w:rsidR="007117DA" w:rsidRDefault="007117DA" w:rsidP="00A90A24">
            <w:pPr>
              <w:rPr>
                <w:sz w:val="19"/>
                <w:szCs w:val="19"/>
              </w:rPr>
            </w:pPr>
          </w:p>
        </w:tc>
        <w:tc>
          <w:tcPr>
            <w:tcW w:w="727" w:type="dxa"/>
            <w:vAlign w:val="center"/>
            <w:hideMark/>
          </w:tcPr>
          <w:p w14:paraId="7CA5B3EB" w14:textId="77777777" w:rsidR="007117DA" w:rsidRDefault="007117DA" w:rsidP="00A90A24">
            <w:pPr>
              <w:rPr>
                <w:sz w:val="19"/>
                <w:szCs w:val="19"/>
              </w:rPr>
            </w:pPr>
            <w:r>
              <w:rPr>
                <w:sz w:val="19"/>
                <w:szCs w:val="19"/>
              </w:rPr>
              <w:t>Minor</w:t>
            </w:r>
          </w:p>
        </w:tc>
        <w:tc>
          <w:tcPr>
            <w:tcW w:w="222" w:type="dxa"/>
            <w:shd w:val="clear" w:color="auto" w:fill="70AD47" w:themeFill="accent6"/>
            <w:vAlign w:val="center"/>
          </w:tcPr>
          <w:p w14:paraId="7BF434AE" w14:textId="77777777" w:rsidR="007117DA" w:rsidRDefault="007117DA" w:rsidP="00A90A24">
            <w:pPr>
              <w:rPr>
                <w:sz w:val="19"/>
                <w:szCs w:val="19"/>
              </w:rPr>
            </w:pPr>
          </w:p>
        </w:tc>
        <w:tc>
          <w:tcPr>
            <w:tcW w:w="1144" w:type="dxa"/>
            <w:vAlign w:val="center"/>
            <w:hideMark/>
          </w:tcPr>
          <w:p w14:paraId="6295F038" w14:textId="77777777" w:rsidR="007117DA" w:rsidRDefault="007117DA" w:rsidP="00A90A24">
            <w:pPr>
              <w:rPr>
                <w:sz w:val="19"/>
                <w:szCs w:val="19"/>
              </w:rPr>
            </w:pPr>
            <w:r>
              <w:rPr>
                <w:sz w:val="19"/>
                <w:szCs w:val="19"/>
              </w:rPr>
              <w:t>Moderate</w:t>
            </w:r>
          </w:p>
        </w:tc>
        <w:tc>
          <w:tcPr>
            <w:tcW w:w="222" w:type="dxa"/>
            <w:shd w:val="clear" w:color="auto" w:fill="5B9BD5" w:themeFill="accent1"/>
          </w:tcPr>
          <w:p w14:paraId="2D2D7BAC" w14:textId="77777777" w:rsidR="007117DA" w:rsidRDefault="007117DA" w:rsidP="00A90A24">
            <w:pPr>
              <w:rPr>
                <w:sz w:val="19"/>
                <w:szCs w:val="19"/>
              </w:rPr>
            </w:pPr>
          </w:p>
        </w:tc>
        <w:tc>
          <w:tcPr>
            <w:tcW w:w="236" w:type="dxa"/>
            <w:vAlign w:val="center"/>
            <w:hideMark/>
          </w:tcPr>
          <w:p w14:paraId="44EE3B78" w14:textId="77777777" w:rsidR="007117DA" w:rsidRDefault="007117DA" w:rsidP="00A90A24">
            <w:pPr>
              <w:jc w:val="left"/>
              <w:rPr>
                <w:sz w:val="19"/>
                <w:szCs w:val="19"/>
              </w:rPr>
            </w:pPr>
            <w:r>
              <w:rPr>
                <w:sz w:val="19"/>
                <w:szCs w:val="19"/>
              </w:rPr>
              <w:t>Substantial</w:t>
            </w:r>
          </w:p>
        </w:tc>
      </w:tr>
    </w:tbl>
    <w:p w14:paraId="6ADF7BA3" w14:textId="77777777" w:rsidR="00B84DE7" w:rsidRDefault="00B84DE7">
      <w:pPr>
        <w:spacing w:before="0" w:after="160" w:line="259" w:lineRule="auto"/>
        <w:jc w:val="left"/>
        <w:rPr>
          <w:rFonts w:eastAsiaTheme="majorEastAsia" w:cstheme="majorBidi"/>
          <w:b/>
          <w:i/>
          <w:color w:val="44546A" w:themeColor="text2"/>
          <w:sz w:val="24"/>
          <w:szCs w:val="24"/>
        </w:rPr>
      </w:pPr>
      <w:r>
        <w:br w:type="page"/>
      </w:r>
    </w:p>
    <w:p w14:paraId="38379A7E" w14:textId="59B0B368" w:rsidR="007117DA" w:rsidRDefault="007117DA" w:rsidP="007117DA">
      <w:pPr>
        <w:pStyle w:val="Heading3"/>
      </w:pPr>
      <w:r>
        <w:t>Discussion</w:t>
      </w:r>
    </w:p>
    <w:p w14:paraId="482E9CAB" w14:textId="77777777" w:rsidR="007117DA" w:rsidRDefault="007117DA" w:rsidP="007117DA">
      <w:pPr>
        <w:rPr>
          <w:i/>
          <w:u w:val="single"/>
        </w:rPr>
      </w:pPr>
      <w:r>
        <w:rPr>
          <w:i/>
          <w:u w:val="single"/>
        </w:rPr>
        <w:t>Salinity</w:t>
      </w:r>
    </w:p>
    <w:p w14:paraId="3F3D32EC" w14:textId="77777777" w:rsidR="007117DA" w:rsidRDefault="007117DA" w:rsidP="007117DA">
      <w:r>
        <w:t>Environmental water dilutes salt in the LMR channel, Lake Alexandrina the Murray Mouth estuary and along the Coorong. The salinity was maintained well within the range required for potable water in the river and lake from 2014-15 to 2019-20, but water was about 10% fresher with environmental flows. It is conclusive that environmental flows are beneficial to river salinity and helped maintain river salinity below 800 EC at Morgan, which is a river management target of the MDBA and SA Water. Given the confidence in the fact that environmental water dilutes salinity in the main river channel and the Lower Lakes, the focus has shifted, since 2019-20, to how environmental water affects transport of material over the barrages and affects conditions within the Coorong.</w:t>
      </w:r>
    </w:p>
    <w:p w14:paraId="29D769AB" w14:textId="77777777" w:rsidR="007117DA" w:rsidRDefault="007117DA" w:rsidP="007117DA">
      <w:r>
        <w:t xml:space="preserve">The median salinity in the Murray Mouth in 2019-20 was 21.3 PSU which was lower than 2018-19 (median salinity 30.9 PSU), </w:t>
      </w:r>
      <w:proofErr w:type="gramStart"/>
      <w:r>
        <w:t>similar to</w:t>
      </w:r>
      <w:proofErr w:type="gramEnd"/>
      <w:r>
        <w:t xml:space="preserve"> 2017-18 (26.2 PSU) but higher than in 2016-17 (11.3 PSU). The 2016-17 fresher conditions reflected high river flows where flow into South Australia peaked at 94,600 ML/d. Commonwealth environmental water created fresher conditions at the Murray Mouth in 2019-20, compared to the without environmental water scenario.</w:t>
      </w:r>
    </w:p>
    <w:p w14:paraId="47FD881B" w14:textId="77777777" w:rsidR="007117DA" w:rsidRDefault="007117DA" w:rsidP="007117DA">
      <w:r>
        <w:t xml:space="preserve">Salinity in the Coorong is primarily a function of riverine inflows and tidal movement. When barrage flows are low, seawater enters the Murray Mouth and more salt is then transported to the Coorong where it is subject to </w:t>
      </w:r>
      <w:proofErr w:type="spellStart"/>
      <w:r>
        <w:t>evapo</w:t>
      </w:r>
      <w:proofErr w:type="spellEnd"/>
      <w:r>
        <w:t>-concentration. Environmental water made up 100% of flow over the barrages and reduced the salt load to the South Lagoon measured as salt flux southward at Parnka point, by over 3.244 million from July 2017 to June 2020. It is also evident that environmental water flowing over the barrages is required in every year to reduce excessive salt accumulation within the Coorong. If environmental water had not been delivered in 2019-20 an additional 1.7 million tonnes of salt would have accumulated in the South Lagoon.</w:t>
      </w:r>
    </w:p>
    <w:p w14:paraId="645B5C7B" w14:textId="1A971AC5" w:rsidR="007117DA" w:rsidRDefault="007117DA" w:rsidP="007117DA">
      <w:r>
        <w:t xml:space="preserve">During the Millennium Drought, and particularly from 2007-08 to 2009-10, flow over the barrages ceased and the import of salt into the Coorong resulted in salinity in the South Lagoon that was five times seawater salinity, and demise of much of the aquatic life (Brookes </w:t>
      </w:r>
      <w:r>
        <w:rPr>
          <w:i/>
        </w:rPr>
        <w:t>et al.</w:t>
      </w:r>
      <w:r>
        <w:t xml:space="preserve"> 2009). Environmental water provides freshening flows but also acts to inhibit seawater intrusions, thereby maintaining more appropriate salinity conditions in the Coorong. Given that barrage releases almost entirely (up to 100%) depend on Commonwealth environmental water in dry years, environmental water is critical for limiting salt flux to the South Lagoon. Even one year without barrage flow can result in a large flux of salt southwards (1.7 million tonnes net southwards flux). Salinity is a key determinant of </w:t>
      </w:r>
      <w:proofErr w:type="spellStart"/>
      <w:r>
        <w:rPr>
          <w:i/>
        </w:rPr>
        <w:t>Ruppia</w:t>
      </w:r>
      <w:proofErr w:type="spellEnd"/>
      <w:r>
        <w:t xml:space="preserve"> and fish habitat and is addressed in the following section.</w:t>
      </w:r>
    </w:p>
    <w:p w14:paraId="1FF7D15F" w14:textId="77777777" w:rsidR="007117DA" w:rsidRDefault="007117DA" w:rsidP="007117DA">
      <w:pPr>
        <w:rPr>
          <w:i/>
          <w:u w:val="single"/>
        </w:rPr>
      </w:pPr>
      <w:r>
        <w:rPr>
          <w:i/>
          <w:u w:val="single"/>
        </w:rPr>
        <w:t>Nutrients</w:t>
      </w:r>
    </w:p>
    <w:p w14:paraId="0127F891" w14:textId="1C78FB19" w:rsidR="007117DA" w:rsidRDefault="007117DA" w:rsidP="007117DA">
      <w:r>
        <w:t xml:space="preserve">During the LTIM monitoring period (2014–2019), the median concentrations of nitrogen and phosphorus did not vary considerably with or without environmental water. Environmental water, however, contributed considerably to the transport of nutrients, and this was primarily due to additional volume not a change in the nutrient concentrations. It was evident that environmental flows contributed a considerable load of nutrients to the Murray Mouth between 2014-15 and 2019-20. From this evidence, it can be concluded that environmental flows are a key driver in promoting estuarine productivity. Commonwealth environmental water is the only water that flowed through the barrages into the Murray Mouth region in 2019-20 and so it accounts for all nutrient delivery to the estuary. If there was no environmental water, the nutrient load over the barrages would have been zero. </w:t>
      </w:r>
    </w:p>
    <w:p w14:paraId="757777FD" w14:textId="17D168B9" w:rsidR="007117DA" w:rsidRDefault="007117DA" w:rsidP="007117DA">
      <w:r>
        <w:t xml:space="preserve">For the current MER modelling the focus has shifted to delivery of nutrients to the Murray Mouth and the implications of nutrient flux to the Coorong. The South Lagoon of the Coorong shows very high primary productivity, with problematic filamentous algae forming thick mats that detach and smother </w:t>
      </w:r>
      <w:proofErr w:type="spellStart"/>
      <w:r>
        <w:rPr>
          <w:i/>
        </w:rPr>
        <w:t>Ruppia</w:t>
      </w:r>
      <w:proofErr w:type="spellEnd"/>
      <w:r>
        <w:t xml:space="preserve"> plants, breaking off the flowering stems. From 2019/20, approximately 70 tonnes of additional nitrogen entered the South Lagoon when environmental flows were present than if no river water flowed through the barrages. These filamentous algae are supported by </w:t>
      </w:r>
      <w:proofErr w:type="gramStart"/>
      <w:r>
        <w:t>nutrients</w:t>
      </w:r>
      <w:proofErr w:type="gramEnd"/>
      <w:r>
        <w:t xml:space="preserve"> but it is unclear if their recent emergence is attributable to nutrients, a change in the salinity, or freshwater flows or inoculum from the South East drainage </w:t>
      </w:r>
      <w:r w:rsidR="00E80E06">
        <w:t xml:space="preserve">scheme. This </w:t>
      </w:r>
      <w:r w:rsidR="00E80E06" w:rsidRPr="005E3C8E">
        <w:t>then</w:t>
      </w:r>
      <w:r w:rsidR="00E80E06">
        <w:t xml:space="preserve"> raises the question</w:t>
      </w:r>
      <w:r w:rsidR="00E549EA">
        <w:t xml:space="preserve"> –</w:t>
      </w:r>
      <w:r w:rsidR="00E80E06">
        <w:t xml:space="preserve"> </w:t>
      </w:r>
      <w:r w:rsidR="00E549EA">
        <w:t>i</w:t>
      </w:r>
      <w:r w:rsidR="00E80E06">
        <w:t xml:space="preserve">s this flux of nitrogen to the Coorong problematic or beneficial? </w:t>
      </w:r>
      <w:r w:rsidR="00E80E06" w:rsidRPr="005A3EB9">
        <w:rPr>
          <w:color w:val="auto"/>
        </w:rPr>
        <w:t>Nutrients</w:t>
      </w:r>
      <w:r w:rsidR="00E80E06">
        <w:t xml:space="preserve"> </w:t>
      </w:r>
      <w:r>
        <w:rPr>
          <w:i/>
        </w:rPr>
        <w:t>per se</w:t>
      </w:r>
      <w:r>
        <w:t xml:space="preserve"> are not the problem, but they can be problematic if present in excessive concentrations or when they enter problematic pathways such as algal blooms. In the case of the Coorong, the benefits from river flows reducing sea water ingress, reducing salinity in the South </w:t>
      </w:r>
      <w:proofErr w:type="gramStart"/>
      <w:r>
        <w:t>Lagoon</w:t>
      </w:r>
      <w:proofErr w:type="gramEnd"/>
      <w:r>
        <w:t xml:space="preserve"> and promoting favourable habitat for </w:t>
      </w:r>
      <w:proofErr w:type="spellStart"/>
      <w:r w:rsidRPr="002B7AD6">
        <w:rPr>
          <w:i/>
          <w:iCs/>
        </w:rPr>
        <w:t>Ruppia</w:t>
      </w:r>
      <w:proofErr w:type="spellEnd"/>
      <w:r>
        <w:t xml:space="preserve"> and fish far exceed any potential issues caused by nutrients.</w:t>
      </w:r>
    </w:p>
    <w:p w14:paraId="0343104A" w14:textId="77777777" w:rsidR="007117DA" w:rsidRDefault="007117DA" w:rsidP="007117DA">
      <w:pPr>
        <w:rPr>
          <w:i/>
          <w:u w:val="single"/>
        </w:rPr>
      </w:pPr>
      <w:r>
        <w:rPr>
          <w:i/>
          <w:u w:val="single"/>
        </w:rPr>
        <w:t>Chlorophyll a</w:t>
      </w:r>
    </w:p>
    <w:p w14:paraId="3ED48AC6" w14:textId="77777777" w:rsidR="007117DA" w:rsidRDefault="007117DA" w:rsidP="007117DA">
      <w:r>
        <w:t xml:space="preserve">Chlorophyll </w:t>
      </w:r>
      <w:r>
        <w:rPr>
          <w:i/>
        </w:rPr>
        <w:t>a</w:t>
      </w:r>
      <w:r>
        <w:t xml:space="preserve"> is a photosynthetic pigment that is ubiquitous in the phytoplankton, so is often used as a measure of the relative size of the phytoplankton community. A considerable amount of the total organic nutrients is likely to be bound within phytoplankton, and so the chlorophyll loads reflect the loads of particulate organic nitrogen and phosphorus. Chlorophyll export can be interpreted as a transfer of food resources from one site to another. In 2019-20 flow was low and there was limited transfer of food from the river to the Coorong and coastal environments. Without environmental water this transfer of resources would have been even lower. River discharge likely played a significant role in promoting estuarine productivity (Giatas </w:t>
      </w:r>
      <w:r w:rsidRPr="002B7AD6">
        <w:rPr>
          <w:i/>
          <w:iCs/>
        </w:rPr>
        <w:t>et al.</w:t>
      </w:r>
      <w:r>
        <w:t xml:space="preserve"> 2018), contributing 5.6 tonnes of chlorophyll via barrage releases to the Murray Mouth. The Southern Ocean is oligotrophic and consequently nutrients and phytoplankton from the river are likely to play a significant role in coastal marine productivity.</w:t>
      </w:r>
    </w:p>
    <w:p w14:paraId="7ADCA7FE" w14:textId="77777777" w:rsidR="007117DA" w:rsidRDefault="007117DA" w:rsidP="007117DA">
      <w:pPr>
        <w:pStyle w:val="Heading3"/>
      </w:pPr>
      <w:r>
        <w:t>Management implications</w:t>
      </w:r>
    </w:p>
    <w:p w14:paraId="7E25B8DA" w14:textId="02D889FD" w:rsidR="007117DA" w:rsidRDefault="007117DA" w:rsidP="007117DA">
      <w:r>
        <w:t xml:space="preserve">There </w:t>
      </w:r>
      <w:r w:rsidR="00E549EA">
        <w:t>are</w:t>
      </w:r>
      <w:r>
        <w:t xml:space="preserve"> approximately 10</w:t>
      </w:r>
      <w:r>
        <w:rPr>
          <w:szCs w:val="22"/>
          <w:vertAlign w:val="superscript"/>
        </w:rPr>
        <w:t>11</w:t>
      </w:r>
      <w:r>
        <w:t xml:space="preserve"> tonnes of salt in groundwater in the MDB and an additional 1.5 million tonnes of salt is deposited in the basin each year by rainfall (</w:t>
      </w:r>
      <w:proofErr w:type="spellStart"/>
      <w:r>
        <w:t>Herczeg</w:t>
      </w:r>
      <w:proofErr w:type="spellEnd"/>
      <w:r>
        <w:t xml:space="preserve"> </w:t>
      </w:r>
      <w:r>
        <w:rPr>
          <w:i/>
        </w:rPr>
        <w:t>et al.</w:t>
      </w:r>
      <w:r>
        <w:t xml:space="preserve"> 2001). Unless salt is exported from the basin with flow, there will be a net accumulation of salt within the basin. The Basin Plan sets out a salt export objective (section 9.09) to ensure adequate flushing of salt from the Murray River system into the Southern Ocean. The Basin Plan’s indicative target for salt export from the Basin is 2 million tonnes per year. The five years of salt export modelling enable the contribution of environmental flows to salt export to be scrutinised (</w:t>
      </w:r>
      <w:r>
        <w:fldChar w:fldCharType="begin"/>
      </w:r>
      <w:r>
        <w:instrText xml:space="preserve"> REF _Ref30778933 \h </w:instrText>
      </w:r>
      <w:r>
        <w:fldChar w:fldCharType="separate"/>
      </w:r>
      <w:r w:rsidR="006045CA">
        <w:t xml:space="preserve">Table </w:t>
      </w:r>
      <w:r w:rsidR="006045CA">
        <w:rPr>
          <w:noProof/>
        </w:rPr>
        <w:t>5</w:t>
      </w:r>
      <w:r>
        <w:fldChar w:fldCharType="end"/>
      </w:r>
      <w:r>
        <w:t>). Flow has been relatively low in fiver of the six years of LTIM/MER monitoring. In these years (2014-15, 2015-16, 2017-18, 2018-19 and 2019-20), Commonwealth environmental water played a key role in salt export from the basin, accounting for 64–100% of total salt export. In the high flow year (2016-17), 1.5 million tonnes w</w:t>
      </w:r>
      <w:r w:rsidR="00E549EA">
        <w:t>ere</w:t>
      </w:r>
      <w:r>
        <w:t xml:space="preserve"> </w:t>
      </w:r>
      <w:proofErr w:type="gramStart"/>
      <w:r>
        <w:t>exported</w:t>
      </w:r>
      <w:proofErr w:type="gramEnd"/>
      <w:r>
        <w:t xml:space="preserve"> and Commonwealth environmental water contributed 8%.</w:t>
      </w:r>
    </w:p>
    <w:p w14:paraId="08316D86" w14:textId="40D905FE" w:rsidR="007117DA" w:rsidRDefault="007117DA" w:rsidP="007117DA">
      <w:r>
        <w:t xml:space="preserve">Maximum exports of matter from the Murray Mouth are likely to be achieved by delivering environmental water during periods of low oceanic water levels </w:t>
      </w:r>
      <w:r w:rsidR="00E549EA">
        <w:t xml:space="preserve">(e.g. summer). </w:t>
      </w:r>
      <w:r>
        <w:t>In contrast, environmental water delivery to the Murray River Channel at times of high oceanic water levels, which peak in the Austral winter, is likely to increase the exchange of water and associated nutrients and salt through the Coorong, rather than predominately through the Murray Mouth. This may decrease salinities and increase productivity within the Coorong more than what would occur if water is delivered at times of low oceanic water levels.</w:t>
      </w:r>
    </w:p>
    <w:p w14:paraId="6B435790" w14:textId="77777777" w:rsidR="007117DA" w:rsidRDefault="007117DA" w:rsidP="007117DA">
      <w:r>
        <w:t>The load of nutrients exported from the basin over the barrages is an interesting issue; on one hand nutrient export drives estuarine productivity, but on the other hand it is desirable to maintain an appropriate level of nutrients in the estuary and Coorong where they can support aquatic productivity.</w:t>
      </w:r>
    </w:p>
    <w:p w14:paraId="11831DC3" w14:textId="77777777" w:rsidR="007117DA" w:rsidRDefault="007117DA" w:rsidP="007117DA">
      <w:r>
        <w:t xml:space="preserve">Freshwater flows act to freshen the Coorong but also transport nutrients into the South Lagoon. The benefits from river flows reducing salinity in the South Lagoon and promoting favourable habitat for </w:t>
      </w:r>
      <w:proofErr w:type="spellStart"/>
      <w:r w:rsidRPr="002B7AD6">
        <w:rPr>
          <w:i/>
          <w:iCs/>
        </w:rPr>
        <w:t>Ruppia</w:t>
      </w:r>
      <w:proofErr w:type="spellEnd"/>
      <w:r>
        <w:t xml:space="preserve"> and fish and a more resilient ecosystem far exceed any potential issue caused by nutrients.</w:t>
      </w:r>
    </w:p>
    <w:p w14:paraId="01E204E7" w14:textId="77777777" w:rsidR="008F353D" w:rsidRDefault="008F353D" w:rsidP="008F353D">
      <w:pPr>
        <w:pStyle w:val="Heading3"/>
      </w:pPr>
      <w:r>
        <w:t xml:space="preserve">Conclusion </w:t>
      </w:r>
    </w:p>
    <w:p w14:paraId="30866298" w14:textId="7C8DC2B8" w:rsidR="00A229CC" w:rsidRDefault="007117DA" w:rsidP="00762384">
      <w:r>
        <w:t xml:space="preserve">The contributions of environmental water appear to have significantly increased the export of dissolved and particulate matter through the LMR to the Southern Ocean. In low flow years, environmental flow delivery can play a key role in salt export from the Basin. In 2019-20, Commonwealth environmental flow was responsible for 100% of barrage flows and thus all salt export from the basin. Environmental water is also critical in reducing salt import into the Murray Mouth from the ocean, lowering salinity in the Coorong and maintaining estuarine habitat to support ecological functions and biodiversity. Environmental flow deliveries during periods when there would otherwise be negligible water exchange between the Lower Lakes and Coorong is critical for maintaining the connectivity between freshwater and marine environment and promoting fresher conditions in the Coorong with more favourable habitat for estuarine fish and plants. </w:t>
      </w:r>
    </w:p>
    <w:p w14:paraId="2E8122A2" w14:textId="0237E2FE" w:rsidR="00A229CC" w:rsidRDefault="00727A84" w:rsidP="00A229CC">
      <w:pPr>
        <w:pStyle w:val="Heading2"/>
        <w:numPr>
          <w:ilvl w:val="0"/>
          <w:numId w:val="0"/>
        </w:numPr>
      </w:pPr>
      <w:r>
        <w:t xml:space="preserve">   </w:t>
      </w:r>
      <w:bookmarkStart w:id="180" w:name="_Toc69309240"/>
      <w:r w:rsidR="00A229CC">
        <w:t>2.3.2</w:t>
      </w:r>
      <w:r>
        <w:t xml:space="preserve">   </w:t>
      </w:r>
      <w:r w:rsidR="00A229CC">
        <w:t>Coorong Habitat</w:t>
      </w:r>
      <w:bookmarkEnd w:id="180"/>
    </w:p>
    <w:p w14:paraId="2B1A6A48" w14:textId="77777777" w:rsidR="00A229CC" w:rsidRDefault="00A229CC" w:rsidP="00A229CC">
      <w:pPr>
        <w:pStyle w:val="Heading3"/>
      </w:pPr>
      <w:r>
        <w:t>Background</w:t>
      </w:r>
    </w:p>
    <w:p w14:paraId="577952E7" w14:textId="2BAE0346" w:rsidR="00EF1BA6" w:rsidRDefault="00EF1BA6" w:rsidP="00EF1BA6">
      <w:r>
        <w:t xml:space="preserve">The Coorong is an estuarine lagoonal system with a natural salinity gradient ranging from freshwater to hyper-saline at the extremity. Freshwater flows are important in maintaining estuarine habitat and ecosystem health and preventing extreme hyper-salinity (Brookes </w:t>
      </w:r>
      <w:r w:rsidRPr="00375253">
        <w:rPr>
          <w:i/>
          <w:iCs/>
        </w:rPr>
        <w:t>et al</w:t>
      </w:r>
      <w:r>
        <w:t xml:space="preserve">. 2009). </w:t>
      </w:r>
      <w:proofErr w:type="spellStart"/>
      <w:r>
        <w:rPr>
          <w:i/>
          <w:iCs/>
        </w:rPr>
        <w:t>Ruppia</w:t>
      </w:r>
      <w:proofErr w:type="spellEnd"/>
      <w:r>
        <w:rPr>
          <w:i/>
          <w:iCs/>
        </w:rPr>
        <w:t xml:space="preserve"> tuberosa</w:t>
      </w:r>
      <w:r>
        <w:t xml:space="preserve"> is an important macrophyte in the Coorong that provides habitat for fish and food for herbivorous birds in the Coorong (Phillips and Muller 2006), and it can tolerate a salinity higher than natural seawater. The germination and growth of </w:t>
      </w:r>
      <w:r>
        <w:rPr>
          <w:i/>
          <w:iCs/>
        </w:rPr>
        <w:t>R. tuberosa</w:t>
      </w:r>
      <w:r>
        <w:t xml:space="preserve"> is known to be governed in large part by changes in salinity and water level regimes, which are influenced by flows through the barrages (Kim </w:t>
      </w:r>
      <w:r w:rsidRPr="0049657D">
        <w:rPr>
          <w:i/>
          <w:iCs/>
        </w:rPr>
        <w:t>et al.</w:t>
      </w:r>
      <w:r>
        <w:t xml:space="preserve"> 2013). Other factors that influence </w:t>
      </w:r>
      <w:r>
        <w:rPr>
          <w:i/>
          <w:iCs/>
        </w:rPr>
        <w:t>R. tuberosa</w:t>
      </w:r>
      <w:r>
        <w:t xml:space="preserve"> growth include nutrient availability, water temperature, sediment quality and interactions with algae, including shading of light and interference with flowers and fruits on the surface (Collier </w:t>
      </w:r>
      <w:r w:rsidRPr="00D26AC0">
        <w:rPr>
          <w:i/>
          <w:iCs/>
        </w:rPr>
        <w:t>et al</w:t>
      </w:r>
      <w:r>
        <w:t xml:space="preserve">. 2017). Early summer flows are likely to be particularly beneficial as they delay the drop in water level in the South Lagoon and can prevent extreme salinities emerging, thereby </w:t>
      </w:r>
      <w:r w:rsidR="001A42E1">
        <w:t>improving chances of completion of the</w:t>
      </w:r>
      <w:r>
        <w:t xml:space="preserve"> reproductive cycle. In addition, salinity has also been identified as a key driver of fish distribution and assemblage structure by influencing the extent of estuarine fish habitat in the Coorong (Ye </w:t>
      </w:r>
      <w:r w:rsidRPr="0049657D">
        <w:rPr>
          <w:i/>
          <w:iCs/>
        </w:rPr>
        <w:t>et al.</w:t>
      </w:r>
      <w:r>
        <w:t xml:space="preserve"> 2011; 2016</w:t>
      </w:r>
      <w:r w:rsidR="008F7DA0">
        <w:t>a;</w:t>
      </w:r>
      <w:r>
        <w:t xml:space="preserve"> Bice </w:t>
      </w:r>
      <w:r w:rsidRPr="0049657D">
        <w:rPr>
          <w:i/>
          <w:iCs/>
        </w:rPr>
        <w:t>et al.</w:t>
      </w:r>
      <w:r>
        <w:t xml:space="preserve"> 2018). This sub-indicator aims to assess the benefits of environmental flows for the enhancement of </w:t>
      </w:r>
      <w:r>
        <w:rPr>
          <w:i/>
          <w:iCs/>
        </w:rPr>
        <w:t>R. tuberosa</w:t>
      </w:r>
      <w:r>
        <w:t xml:space="preserve"> habitat, particularly those that are delivered in summer, as well as the improvement of estuarine fish habitat throughout the year for several key species with different levels of salinity tolerance.</w:t>
      </w:r>
    </w:p>
    <w:p w14:paraId="646E5AB5" w14:textId="77777777" w:rsidR="00EF1BA6" w:rsidRDefault="00EF1BA6" w:rsidP="00EF1BA6">
      <w:pPr>
        <w:rPr>
          <w:i/>
          <w:u w:val="single"/>
        </w:rPr>
      </w:pPr>
      <w:r>
        <w:rPr>
          <w:i/>
          <w:u w:val="single"/>
        </w:rPr>
        <w:t>Major hypothesis</w:t>
      </w:r>
    </w:p>
    <w:p w14:paraId="789AB614" w14:textId="77777777" w:rsidR="00EF1BA6" w:rsidRDefault="00EF1BA6" w:rsidP="00EF1BA6">
      <w:r>
        <w:t xml:space="preserve">Increased freshwater flow through the barrages and into the Coorong due to environmental watering will prevent areas of extreme salinity and increase water levels in the Coorong, thus expanding the extent of </w:t>
      </w:r>
      <w:r w:rsidRPr="0072624D">
        <w:rPr>
          <w:i/>
          <w:iCs/>
        </w:rPr>
        <w:t>R. tuberosa</w:t>
      </w:r>
      <w:r>
        <w:t xml:space="preserve"> and fish habitats.</w:t>
      </w:r>
    </w:p>
    <w:p w14:paraId="624825C9" w14:textId="77777777" w:rsidR="00EF1BA6" w:rsidRDefault="00EF1BA6" w:rsidP="00EF1BA6">
      <w:pPr>
        <w:pStyle w:val="Heading3"/>
      </w:pPr>
      <w:r>
        <w:t>Methods</w:t>
      </w:r>
    </w:p>
    <w:p w14:paraId="04DE6810" w14:textId="2EE8EF34" w:rsidR="00EF1BA6" w:rsidRDefault="00EF1BA6" w:rsidP="00EF1BA6">
      <w:pPr>
        <w:rPr>
          <w:lang w:eastAsia="en-AU"/>
        </w:rPr>
      </w:pPr>
      <w:r>
        <w:rPr>
          <w:lang w:eastAsia="en-AU"/>
        </w:rPr>
        <w:t xml:space="preserve">This assessment applied the high-resolution Coorong model reported in the previous section, to simulate water level, </w:t>
      </w:r>
      <w:proofErr w:type="gramStart"/>
      <w:r>
        <w:rPr>
          <w:lang w:eastAsia="en-AU"/>
        </w:rPr>
        <w:t>salinity</w:t>
      </w:r>
      <w:proofErr w:type="gramEnd"/>
      <w:r>
        <w:rPr>
          <w:lang w:eastAsia="en-AU"/>
        </w:rPr>
        <w:t xml:space="preserve"> and key water quality attributes, spanning from the barrages to the southern end of the South Lagoon. The hydrodynamic model was forced by daily barrage flows (accounting for barrage operation logic), and oceanic and meteorological conditions. Salinities and water level along the North and South lagoons of the Coorong are calculated at a fine spatial resolution (</w:t>
      </w:r>
      <w:r w:rsidR="009F3C4C">
        <w:rPr>
          <w:lang w:eastAsia="en-AU"/>
        </w:rPr>
        <w:fldChar w:fldCharType="begin"/>
      </w:r>
      <w:r w:rsidR="009F3C4C">
        <w:rPr>
          <w:lang w:eastAsia="en-AU"/>
        </w:rPr>
        <w:instrText xml:space="preserve"> REF _Ref63263391 \h </w:instrText>
      </w:r>
      <w:r w:rsidR="009F3C4C">
        <w:rPr>
          <w:lang w:eastAsia="en-AU"/>
        </w:rPr>
      </w:r>
      <w:r w:rsidR="009F3C4C">
        <w:rPr>
          <w:lang w:eastAsia="en-AU"/>
        </w:rPr>
        <w:fldChar w:fldCharType="separate"/>
      </w:r>
      <w:r w:rsidR="00CF2251">
        <w:t xml:space="preserve">Figure </w:t>
      </w:r>
      <w:r w:rsidR="00CF2251">
        <w:rPr>
          <w:noProof/>
        </w:rPr>
        <w:t>27</w:t>
      </w:r>
      <w:r w:rsidR="009F3C4C">
        <w:rPr>
          <w:lang w:eastAsia="en-AU"/>
        </w:rPr>
        <w:fldChar w:fldCharType="end"/>
      </w:r>
      <w:r>
        <w:rPr>
          <w:lang w:eastAsia="en-AU"/>
        </w:rPr>
        <w:t xml:space="preserve">), allowing analysis of suitable areas of </w:t>
      </w:r>
      <w:r w:rsidR="00E80E06">
        <w:rPr>
          <w:lang w:eastAsia="en-AU"/>
        </w:rPr>
        <w:t xml:space="preserve">habitat. For fish and </w:t>
      </w:r>
      <w:r w:rsidR="00E80E06">
        <w:rPr>
          <w:i/>
          <w:iCs/>
          <w:lang w:eastAsia="en-AU"/>
        </w:rPr>
        <w:t>R. tuberosa</w:t>
      </w:r>
      <w:r w:rsidR="00E80E06">
        <w:rPr>
          <w:lang w:eastAsia="en-AU"/>
        </w:rPr>
        <w:t xml:space="preserve"> (“</w:t>
      </w:r>
      <w:proofErr w:type="spellStart"/>
      <w:r w:rsidR="00E80E06" w:rsidRPr="0049657D">
        <w:rPr>
          <w:i/>
          <w:iCs/>
          <w:lang w:eastAsia="en-AU"/>
        </w:rPr>
        <w:t>Ruppia</w:t>
      </w:r>
      <w:proofErr w:type="spellEnd"/>
      <w:r w:rsidR="00E80E06">
        <w:rPr>
          <w:lang w:eastAsia="en-AU"/>
        </w:rPr>
        <w:t>”), suitable habitat was determined according primarily to the salinity tolerances of biota, and does not take into account other variables (</w:t>
      </w:r>
      <w:proofErr w:type="gramStart"/>
      <w:r w:rsidR="00E80E06">
        <w:rPr>
          <w:lang w:eastAsia="en-AU"/>
        </w:rPr>
        <w:t>e.g.</w:t>
      </w:r>
      <w:proofErr w:type="gramEnd"/>
      <w:r w:rsidR="00E80E06">
        <w:rPr>
          <w:lang w:eastAsia="en-AU"/>
        </w:rPr>
        <w:t xml:space="preserve"> sediment type</w:t>
      </w:r>
      <w:r w:rsidR="008E30B3">
        <w:rPr>
          <w:lang w:eastAsia="en-AU"/>
        </w:rPr>
        <w:t xml:space="preserve"> and food resources</w:t>
      </w:r>
      <w:r w:rsidR="00E80E06">
        <w:rPr>
          <w:lang w:eastAsia="en-AU"/>
        </w:rPr>
        <w:t>) that may also influence habitat. The</w:t>
      </w:r>
      <w:r>
        <w:rPr>
          <w:lang w:eastAsia="en-AU"/>
        </w:rPr>
        <w:t xml:space="preserve"> model has been validated in detail against available data from water level and salinity monitoring across the Coorong; validation against 2019-20 data is shown in the previous section (</w:t>
      </w:r>
      <w:r w:rsidR="009F3C4C">
        <w:rPr>
          <w:lang w:eastAsia="en-AU"/>
        </w:rPr>
        <w:t>A</w:t>
      </w:r>
      <w:r>
        <w:rPr>
          <w:lang w:eastAsia="en-AU"/>
        </w:rPr>
        <w:t xml:space="preserve">ppendix D). </w:t>
      </w:r>
    </w:p>
    <w:p w14:paraId="634AF1B2" w14:textId="23DCD89E" w:rsidR="00EF1BA6" w:rsidRDefault="00EF1BA6" w:rsidP="00EF1BA6">
      <w:pPr>
        <w:rPr>
          <w:lang w:eastAsia="en-AU"/>
        </w:rPr>
      </w:pPr>
      <w:r>
        <w:rPr>
          <w:lang w:eastAsia="en-AU"/>
        </w:rPr>
        <w:t xml:space="preserve">Results of salinities and water levels from scenarios with and without environmental water were used to estimate habitat extent of </w:t>
      </w:r>
      <w:proofErr w:type="spellStart"/>
      <w:r w:rsidRPr="0049657D">
        <w:rPr>
          <w:i/>
          <w:iCs/>
          <w:lang w:eastAsia="en-AU"/>
        </w:rPr>
        <w:t>Ruppia</w:t>
      </w:r>
      <w:proofErr w:type="spellEnd"/>
      <w:r>
        <w:rPr>
          <w:lang w:eastAsia="en-AU"/>
        </w:rPr>
        <w:t xml:space="preserve"> and fish using previously reported environmental thresholds (</w:t>
      </w:r>
      <w:r w:rsidR="005E53ED">
        <w:rPr>
          <w:lang w:eastAsia="en-AU"/>
        </w:rPr>
        <w:t xml:space="preserve">Ye </w:t>
      </w:r>
      <w:r w:rsidR="005E53ED" w:rsidRPr="00375253">
        <w:rPr>
          <w:i/>
          <w:iCs/>
          <w:lang w:eastAsia="en-AU"/>
        </w:rPr>
        <w:t>et al</w:t>
      </w:r>
      <w:r w:rsidR="005E53ED">
        <w:rPr>
          <w:lang w:eastAsia="en-AU"/>
        </w:rPr>
        <w:t xml:space="preserve">. 2016a; </w:t>
      </w:r>
      <w:r>
        <w:rPr>
          <w:lang w:eastAsia="en-AU"/>
        </w:rPr>
        <w:t xml:space="preserve">Collier </w:t>
      </w:r>
      <w:r w:rsidRPr="00375253">
        <w:rPr>
          <w:i/>
          <w:iCs/>
          <w:lang w:eastAsia="en-AU"/>
        </w:rPr>
        <w:t>et al</w:t>
      </w:r>
      <w:r>
        <w:rPr>
          <w:lang w:eastAsia="en-AU"/>
        </w:rPr>
        <w:t xml:space="preserve">. 2017). The </w:t>
      </w:r>
      <w:proofErr w:type="spellStart"/>
      <w:r>
        <w:rPr>
          <w:i/>
          <w:iCs/>
          <w:lang w:eastAsia="en-AU"/>
        </w:rPr>
        <w:t>Ruppia</w:t>
      </w:r>
      <w:proofErr w:type="spellEnd"/>
      <w:r>
        <w:rPr>
          <w:i/>
          <w:iCs/>
          <w:lang w:eastAsia="en-AU"/>
        </w:rPr>
        <w:t xml:space="preserve"> </w:t>
      </w:r>
      <w:r>
        <w:rPr>
          <w:lang w:eastAsia="en-AU"/>
        </w:rPr>
        <w:t xml:space="preserve">ecological response model has capability to account for habitat suitability of critical life stages, and is designed to estimate the probability of replenishing the sediment seed-bank, turion sprouting, seedling development to juvenile plants, and adult plant flowering and seed setting (Collier </w:t>
      </w:r>
      <w:r w:rsidRPr="00375253">
        <w:rPr>
          <w:i/>
          <w:iCs/>
          <w:lang w:eastAsia="en-AU"/>
        </w:rPr>
        <w:t>et al</w:t>
      </w:r>
      <w:r>
        <w:rPr>
          <w:lang w:eastAsia="en-AU"/>
        </w:rPr>
        <w:t xml:space="preserve">. 2017). Each stage (adult, seed, flowering) is assigned a suitability based on cell specific light, depth, </w:t>
      </w:r>
      <w:proofErr w:type="gramStart"/>
      <w:r>
        <w:rPr>
          <w:lang w:eastAsia="en-AU"/>
        </w:rPr>
        <w:t>salinity</w:t>
      </w:r>
      <w:proofErr w:type="gramEnd"/>
      <w:r>
        <w:rPr>
          <w:lang w:eastAsia="en-AU"/>
        </w:rPr>
        <w:t xml:space="preserve"> and temperature, which in the end results in a combined probability of sexual life-cycle completion. A suitability index for asexual reproduction is being considered but it is not considered sufficiently robust to include. Where the index was above 0.4, we computed a suitable area of habitat, by multiply the habitat score by the cell area, and summing over all cells within both lagoons.</w:t>
      </w:r>
    </w:p>
    <w:p w14:paraId="3AF33FFF" w14:textId="706DCE26" w:rsidR="00EF1BA6" w:rsidRDefault="00EF1BA6" w:rsidP="00B17BAC">
      <w:pPr>
        <w:rPr>
          <w:lang w:eastAsia="en-AU"/>
        </w:rPr>
      </w:pPr>
      <w:r>
        <w:rPr>
          <w:lang w:eastAsia="en-AU"/>
        </w:rPr>
        <w:t>A basic fish model was also implemented which calculates probabilities of habitat suitability for juveniles of key species based on known salinity thresholds. This was computed based on data for mulloway (</w:t>
      </w:r>
      <w:proofErr w:type="spellStart"/>
      <w:r>
        <w:rPr>
          <w:i/>
          <w:iCs/>
          <w:lang w:eastAsia="en-AU"/>
        </w:rPr>
        <w:t>Argyrosomus</w:t>
      </w:r>
      <w:proofErr w:type="spellEnd"/>
      <w:r>
        <w:rPr>
          <w:i/>
          <w:iCs/>
          <w:lang w:eastAsia="en-AU"/>
        </w:rPr>
        <w:t xml:space="preserve"> japonicus</w:t>
      </w:r>
      <w:r>
        <w:rPr>
          <w:lang w:eastAsia="en-AU"/>
        </w:rPr>
        <w:t>), black bream (</w:t>
      </w:r>
      <w:proofErr w:type="spellStart"/>
      <w:r>
        <w:rPr>
          <w:i/>
          <w:iCs/>
          <w:lang w:eastAsia="en-AU"/>
        </w:rPr>
        <w:t>Acanthopagrus</w:t>
      </w:r>
      <w:proofErr w:type="spellEnd"/>
      <w:r>
        <w:rPr>
          <w:i/>
          <w:iCs/>
          <w:lang w:eastAsia="en-AU"/>
        </w:rPr>
        <w:t xml:space="preserve"> </w:t>
      </w:r>
      <w:proofErr w:type="spellStart"/>
      <w:r>
        <w:rPr>
          <w:i/>
          <w:iCs/>
          <w:lang w:eastAsia="en-AU"/>
        </w:rPr>
        <w:t>butcheri</w:t>
      </w:r>
      <w:proofErr w:type="spellEnd"/>
      <w:r>
        <w:rPr>
          <w:lang w:eastAsia="en-AU"/>
        </w:rPr>
        <w:t>), greenback flounder (</w:t>
      </w:r>
      <w:proofErr w:type="spellStart"/>
      <w:r>
        <w:rPr>
          <w:i/>
          <w:iCs/>
          <w:lang w:eastAsia="en-AU"/>
        </w:rPr>
        <w:t>Rhombosolea</w:t>
      </w:r>
      <w:proofErr w:type="spellEnd"/>
      <w:r>
        <w:rPr>
          <w:i/>
          <w:iCs/>
          <w:lang w:eastAsia="en-AU"/>
        </w:rPr>
        <w:t xml:space="preserve"> </w:t>
      </w:r>
      <w:proofErr w:type="spellStart"/>
      <w:r>
        <w:rPr>
          <w:i/>
          <w:iCs/>
          <w:lang w:eastAsia="en-AU"/>
        </w:rPr>
        <w:t>tapirina</w:t>
      </w:r>
      <w:proofErr w:type="spellEnd"/>
      <w:r>
        <w:rPr>
          <w:lang w:eastAsia="en-AU"/>
        </w:rPr>
        <w:t>), yelloweye mullet (</w:t>
      </w:r>
      <w:proofErr w:type="spellStart"/>
      <w:r>
        <w:rPr>
          <w:i/>
          <w:iCs/>
          <w:lang w:eastAsia="en-AU"/>
        </w:rPr>
        <w:t>Aldrichetta</w:t>
      </w:r>
      <w:proofErr w:type="spellEnd"/>
      <w:r>
        <w:rPr>
          <w:i/>
          <w:iCs/>
          <w:lang w:eastAsia="en-AU"/>
        </w:rPr>
        <w:t xml:space="preserve"> </w:t>
      </w:r>
      <w:proofErr w:type="spellStart"/>
      <w:r>
        <w:rPr>
          <w:i/>
          <w:iCs/>
          <w:lang w:eastAsia="en-AU"/>
        </w:rPr>
        <w:t>forsteri</w:t>
      </w:r>
      <w:proofErr w:type="spellEnd"/>
      <w:r>
        <w:rPr>
          <w:lang w:eastAsia="en-AU"/>
        </w:rPr>
        <w:t>), congolli (</w:t>
      </w:r>
      <w:proofErr w:type="spellStart"/>
      <w:r>
        <w:rPr>
          <w:i/>
          <w:iCs/>
          <w:lang w:eastAsia="en-AU"/>
        </w:rPr>
        <w:t>Pseudaphritis</w:t>
      </w:r>
      <w:proofErr w:type="spellEnd"/>
      <w:r>
        <w:rPr>
          <w:i/>
          <w:iCs/>
          <w:lang w:eastAsia="en-AU"/>
        </w:rPr>
        <w:t xml:space="preserve"> </w:t>
      </w:r>
      <w:proofErr w:type="spellStart"/>
      <w:r>
        <w:rPr>
          <w:i/>
          <w:iCs/>
          <w:lang w:eastAsia="en-AU"/>
        </w:rPr>
        <w:t>urvillii</w:t>
      </w:r>
      <w:proofErr w:type="spellEnd"/>
      <w:r>
        <w:rPr>
          <w:lang w:eastAsia="en-AU"/>
        </w:rPr>
        <w:t>), Tamar goby (</w:t>
      </w:r>
      <w:proofErr w:type="spellStart"/>
      <w:r>
        <w:rPr>
          <w:i/>
          <w:iCs/>
          <w:lang w:eastAsia="en-AU"/>
        </w:rPr>
        <w:t>Afurcagobius</w:t>
      </w:r>
      <w:proofErr w:type="spellEnd"/>
      <w:r>
        <w:rPr>
          <w:i/>
          <w:iCs/>
          <w:lang w:eastAsia="en-AU"/>
        </w:rPr>
        <w:t xml:space="preserve"> </w:t>
      </w:r>
      <w:proofErr w:type="spellStart"/>
      <w:r>
        <w:rPr>
          <w:i/>
          <w:iCs/>
          <w:lang w:eastAsia="en-AU"/>
        </w:rPr>
        <w:t>tamarensis</w:t>
      </w:r>
      <w:proofErr w:type="spellEnd"/>
      <w:r>
        <w:rPr>
          <w:lang w:eastAsia="en-AU"/>
        </w:rPr>
        <w:t xml:space="preserve">) and smallmouth </w:t>
      </w:r>
      <w:proofErr w:type="spellStart"/>
      <w:r>
        <w:rPr>
          <w:lang w:eastAsia="en-AU"/>
        </w:rPr>
        <w:t>hardyhead</w:t>
      </w:r>
      <w:proofErr w:type="spellEnd"/>
      <w:r>
        <w:rPr>
          <w:lang w:eastAsia="en-AU"/>
        </w:rPr>
        <w:t xml:space="preserve"> (</w:t>
      </w:r>
      <w:proofErr w:type="spellStart"/>
      <w:r>
        <w:rPr>
          <w:i/>
          <w:iCs/>
          <w:lang w:eastAsia="en-AU"/>
        </w:rPr>
        <w:t>Atherinosoma</w:t>
      </w:r>
      <w:proofErr w:type="spellEnd"/>
      <w:r>
        <w:rPr>
          <w:i/>
          <w:iCs/>
          <w:lang w:eastAsia="en-AU"/>
        </w:rPr>
        <w:t xml:space="preserve"> </w:t>
      </w:r>
      <w:proofErr w:type="spellStart"/>
      <w:r>
        <w:rPr>
          <w:i/>
          <w:iCs/>
          <w:lang w:eastAsia="en-AU"/>
        </w:rPr>
        <w:t>microstoma</w:t>
      </w:r>
      <w:proofErr w:type="spellEnd"/>
      <w:r>
        <w:rPr>
          <w:lang w:eastAsia="en-AU"/>
        </w:rPr>
        <w:t xml:space="preserve">). The model adopts a seasonal effect by account for temperature sensitivity to the salinity thresholds, according to functions and parameters described in </w:t>
      </w:r>
      <w:r>
        <w:rPr>
          <w:lang w:eastAsia="en-AU"/>
        </w:rPr>
        <w:fldChar w:fldCharType="begin"/>
      </w:r>
      <w:r>
        <w:rPr>
          <w:lang w:eastAsia="en-AU"/>
        </w:rPr>
        <w:instrText xml:space="preserve"> REF _Ref63689649 \h </w:instrText>
      </w:r>
      <w:r>
        <w:rPr>
          <w:lang w:eastAsia="en-AU"/>
        </w:rPr>
      </w:r>
      <w:r>
        <w:rPr>
          <w:lang w:eastAsia="en-AU"/>
        </w:rPr>
        <w:fldChar w:fldCharType="separate"/>
      </w:r>
      <w:r w:rsidR="006045CA">
        <w:t xml:space="preserve">Table </w:t>
      </w:r>
      <w:r w:rsidR="006045CA">
        <w:rPr>
          <w:noProof/>
        </w:rPr>
        <w:t>9</w:t>
      </w:r>
      <w:r>
        <w:rPr>
          <w:lang w:eastAsia="en-AU"/>
        </w:rPr>
        <w:fldChar w:fldCharType="end"/>
      </w:r>
      <w:r>
        <w:rPr>
          <w:lang w:eastAsia="en-AU"/>
        </w:rPr>
        <w:t xml:space="preserve"> and </w:t>
      </w:r>
      <w:r>
        <w:rPr>
          <w:lang w:eastAsia="en-AU"/>
        </w:rPr>
        <w:fldChar w:fldCharType="begin"/>
      </w:r>
      <w:r>
        <w:rPr>
          <w:lang w:eastAsia="en-AU"/>
        </w:rPr>
        <w:instrText xml:space="preserve"> REF _Ref63689650 \h </w:instrText>
      </w:r>
      <w:r>
        <w:rPr>
          <w:lang w:eastAsia="en-AU"/>
        </w:rPr>
      </w:r>
      <w:r>
        <w:rPr>
          <w:lang w:eastAsia="en-AU"/>
        </w:rPr>
        <w:fldChar w:fldCharType="separate"/>
      </w:r>
      <w:r w:rsidR="006045CA">
        <w:t xml:space="preserve">Table </w:t>
      </w:r>
      <w:r w:rsidR="006045CA">
        <w:rPr>
          <w:noProof/>
        </w:rPr>
        <w:t>10</w:t>
      </w:r>
      <w:r>
        <w:rPr>
          <w:lang w:eastAsia="en-AU"/>
        </w:rPr>
        <w:fldChar w:fldCharType="end"/>
      </w:r>
      <w:r>
        <w:rPr>
          <w:lang w:eastAsia="en-AU"/>
        </w:rPr>
        <w:t>.</w:t>
      </w:r>
      <w:r w:rsidR="00B17BAC">
        <w:rPr>
          <w:lang w:eastAsia="en-AU"/>
        </w:rPr>
        <w:t xml:space="preserve"> </w:t>
      </w:r>
    </w:p>
    <w:p w14:paraId="4CE2E135" w14:textId="77777777" w:rsidR="00B17BAC" w:rsidRDefault="00B17BAC" w:rsidP="00B17BAC">
      <w:pPr>
        <w:rPr>
          <w:lang w:eastAsia="en-AU"/>
        </w:rPr>
      </w:pPr>
    </w:p>
    <w:p w14:paraId="71A7F430" w14:textId="382A7B08" w:rsidR="00EF1BA6" w:rsidRDefault="00EF1BA6" w:rsidP="00B32D8C">
      <w:pPr>
        <w:pStyle w:val="Caption"/>
        <w:rPr>
          <w:lang w:eastAsia="en-AU"/>
        </w:rPr>
      </w:pPr>
      <w:bookmarkStart w:id="181" w:name="_Ref63689649"/>
      <w:bookmarkStart w:id="182" w:name="_Toc69387738"/>
      <w:r>
        <w:t xml:space="preserve">Table </w:t>
      </w:r>
      <w:r w:rsidR="006C38E9">
        <w:fldChar w:fldCharType="begin"/>
      </w:r>
      <w:r w:rsidR="006C38E9">
        <w:instrText xml:space="preserve"> SEQ Table \* ARABIC </w:instrText>
      </w:r>
      <w:r w:rsidR="006C38E9">
        <w:fldChar w:fldCharType="separate"/>
      </w:r>
      <w:r w:rsidR="00CE5EF5">
        <w:rPr>
          <w:noProof/>
        </w:rPr>
        <w:t>9</w:t>
      </w:r>
      <w:r w:rsidR="006C38E9">
        <w:rPr>
          <w:noProof/>
        </w:rPr>
        <w:fldChar w:fldCharType="end"/>
      </w:r>
      <w:bookmarkEnd w:id="181"/>
      <w:r>
        <w:t>.</w:t>
      </w:r>
      <w:r w:rsidRPr="00585EB3">
        <w:rPr>
          <w:lang w:eastAsia="en-AU"/>
        </w:rPr>
        <w:t xml:space="preserve"> Salinity suitability </w:t>
      </w:r>
      <w:r>
        <w:rPr>
          <w:lang w:eastAsia="en-AU"/>
        </w:rPr>
        <w:t xml:space="preserve">at different temperature levels </w:t>
      </w:r>
      <w:r w:rsidRPr="00585EB3">
        <w:rPr>
          <w:lang w:eastAsia="en-AU"/>
        </w:rPr>
        <w:t xml:space="preserve">for a range of Coorong </w:t>
      </w:r>
      <w:r>
        <w:rPr>
          <w:lang w:eastAsia="en-AU"/>
        </w:rPr>
        <w:t>f</w:t>
      </w:r>
      <w:r w:rsidRPr="00585EB3">
        <w:rPr>
          <w:lang w:eastAsia="en-AU"/>
        </w:rPr>
        <w:t xml:space="preserve">ish species used to develop a habitat suitability </w:t>
      </w:r>
      <w:r w:rsidRPr="00FE43A9">
        <w:t>index</w:t>
      </w:r>
      <w:r>
        <w:rPr>
          <w:lang w:eastAsia="en-AU"/>
        </w:rPr>
        <w:t xml:space="preserve"> (HSI).</w:t>
      </w:r>
      <w:bookmarkEnd w:id="182"/>
    </w:p>
    <w:tbl>
      <w:tblPr>
        <w:tblStyle w:val="TableGrid"/>
        <w:tblW w:w="0" w:type="auto"/>
        <w:tblInd w:w="108" w:type="dxa"/>
        <w:tblLook w:val="04A0" w:firstRow="1" w:lastRow="0" w:firstColumn="1" w:lastColumn="0" w:noHBand="0" w:noVBand="1"/>
      </w:tblPr>
      <w:tblGrid>
        <w:gridCol w:w="3398"/>
        <w:gridCol w:w="5510"/>
      </w:tblGrid>
      <w:tr w:rsidR="00EF1BA6" w14:paraId="18003E74" w14:textId="77777777" w:rsidTr="00A90A24">
        <w:tc>
          <w:tcPr>
            <w:tcW w:w="3402" w:type="dxa"/>
            <w:tcBorders>
              <w:top w:val="single" w:sz="4" w:space="0" w:color="auto"/>
              <w:left w:val="single" w:sz="4" w:space="0" w:color="auto"/>
              <w:bottom w:val="single" w:sz="4" w:space="0" w:color="auto"/>
              <w:right w:val="single" w:sz="4" w:space="0" w:color="auto"/>
            </w:tcBorders>
            <w:vAlign w:val="center"/>
            <w:hideMark/>
          </w:tcPr>
          <w:p w14:paraId="534FBCD6" w14:textId="77777777" w:rsidR="00EF1BA6" w:rsidRDefault="00EF1BA6" w:rsidP="00A90A24">
            <w:pPr>
              <w:rPr>
                <w:rFonts w:eastAsiaTheme="minorEastAsia"/>
              </w:rPr>
            </w:pPr>
            <m:oMath>
              <m:r>
                <w:rPr>
                  <w:rFonts w:ascii="Cambria Math" w:eastAsiaTheme="minorEastAsia" w:hAnsi="Cambria Math"/>
                </w:rPr>
                <m:t>HSI</m:t>
              </m:r>
            </m:oMath>
            <w:r>
              <w:rPr>
                <w:rFonts w:eastAsiaTheme="minorEastAsia"/>
              </w:rPr>
              <w:t xml:space="preserve"> =</w:t>
            </w:r>
            <m:oMath>
              <m:d>
                <m:dPr>
                  <m:begChr m:val="{"/>
                  <m:endChr m:val=""/>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S</m:t>
                          </m:r>
                        </m:e>
                        <m:sub>
                          <m:r>
                            <w:rPr>
                              <w:rFonts w:ascii="Cambria Math" w:hAnsi="Cambria Math"/>
                            </w:rPr>
                            <m:t>c50</m:t>
                          </m:r>
                        </m:sub>
                      </m:sSub>
                      <m:r>
                        <w:rPr>
                          <w:rFonts w:ascii="Cambria Math" w:hAnsi="Cambria Math"/>
                        </w:rPr>
                        <m:t>-S</m:t>
                      </m:r>
                    </m:num>
                    <m:den>
                      <m:sSub>
                        <m:sSubPr>
                          <m:ctrlPr>
                            <w:rPr>
                              <w:rFonts w:ascii="Cambria Math" w:hAnsi="Cambria Math"/>
                              <w:i/>
                            </w:rPr>
                          </m:ctrlPr>
                        </m:sSubPr>
                        <m:e>
                          <m:r>
                            <w:rPr>
                              <w:rFonts w:ascii="Cambria Math" w:hAnsi="Cambria Math"/>
                            </w:rPr>
                            <m:t>S</m:t>
                          </m:r>
                        </m:e>
                        <m:sub>
                          <m:r>
                            <w:rPr>
                              <w:rFonts w:ascii="Cambria Math" w:hAnsi="Cambria Math"/>
                            </w:rPr>
                            <m:t>c50</m:t>
                          </m:r>
                        </m:sub>
                      </m:sSub>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c10</m:t>
                          </m:r>
                        </m:sub>
                      </m:sSub>
                    </m:den>
                  </m:f>
                  <m:eqArr>
                    <m:eqArrPr>
                      <m:ctrlPr>
                        <w:rPr>
                          <w:rFonts w:ascii="Cambria Math" w:hAnsi="Cambria Math"/>
                          <w:i/>
                        </w:rPr>
                      </m:ctrlPr>
                    </m:eqArrPr>
                    <m:e>
                      <m:r>
                        <w:rPr>
                          <w:rFonts w:ascii="Cambria Math" w:hAnsi="Cambria Math"/>
                        </w:rPr>
                        <m:t>1, 0≤S&lt;</m:t>
                      </m:r>
                      <m:sSub>
                        <m:sSubPr>
                          <m:ctrlPr>
                            <w:rPr>
                              <w:rFonts w:ascii="Cambria Math" w:hAnsi="Cambria Math"/>
                              <w:i/>
                            </w:rPr>
                          </m:ctrlPr>
                        </m:sSubPr>
                        <m:e>
                          <m:r>
                            <w:rPr>
                              <w:rFonts w:ascii="Cambria Math" w:hAnsi="Cambria Math"/>
                            </w:rPr>
                            <m:t>S</m:t>
                          </m:r>
                        </m:e>
                        <m:sub>
                          <m:r>
                            <w:rPr>
                              <w:rFonts w:ascii="Cambria Math" w:hAnsi="Cambria Math"/>
                            </w:rPr>
                            <m:t>c10</m:t>
                          </m:r>
                        </m:sub>
                      </m:sSub>
                    </m:e>
                    <m:e>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c10</m:t>
                          </m:r>
                        </m:sub>
                      </m:sSub>
                      <m:r>
                        <w:rPr>
                          <w:rFonts w:ascii="Cambria Math" w:hAnsi="Cambria Math"/>
                        </w:rPr>
                        <m:t>≤S&lt;</m:t>
                      </m:r>
                      <m:sSub>
                        <m:sSubPr>
                          <m:ctrlPr>
                            <w:rPr>
                              <w:rFonts w:ascii="Cambria Math" w:hAnsi="Cambria Math"/>
                              <w:i/>
                            </w:rPr>
                          </m:ctrlPr>
                        </m:sSubPr>
                        <m:e>
                          <m:r>
                            <w:rPr>
                              <w:rFonts w:ascii="Cambria Math" w:hAnsi="Cambria Math"/>
                            </w:rPr>
                            <m:t>S</m:t>
                          </m:r>
                        </m:e>
                        <m:sub>
                          <m:r>
                            <w:rPr>
                              <w:rFonts w:ascii="Cambria Math" w:hAnsi="Cambria Math"/>
                            </w:rPr>
                            <m:t>c50</m:t>
                          </m:r>
                        </m:sub>
                      </m:sSub>
                      <m:ctrlPr>
                        <w:rPr>
                          <w:rFonts w:ascii="Cambria Math" w:eastAsia="Cambria Math" w:hAnsi="Cambria Math" w:cs="Cambria Math"/>
                          <w:i/>
                        </w:rPr>
                      </m:ctrlPr>
                    </m:e>
                    <m:e>
                      <m:r>
                        <w:rPr>
                          <w:rFonts w:ascii="Cambria Math" w:hAnsi="Cambria Math"/>
                        </w:rPr>
                        <m:t>0, S≥</m:t>
                      </m:r>
                      <m:sSub>
                        <m:sSubPr>
                          <m:ctrlPr>
                            <w:rPr>
                              <w:rFonts w:ascii="Cambria Math" w:hAnsi="Cambria Math"/>
                              <w:i/>
                            </w:rPr>
                          </m:ctrlPr>
                        </m:sSubPr>
                        <m:e>
                          <m:r>
                            <w:rPr>
                              <w:rFonts w:ascii="Cambria Math" w:hAnsi="Cambria Math"/>
                            </w:rPr>
                            <m:t>S</m:t>
                          </m:r>
                        </m:e>
                        <m:sub>
                          <m:r>
                            <w:rPr>
                              <w:rFonts w:ascii="Cambria Math" w:hAnsi="Cambria Math"/>
                            </w:rPr>
                            <m:t>c50</m:t>
                          </m:r>
                        </m:sub>
                      </m:sSub>
                    </m:e>
                  </m:eqArr>
                </m:e>
              </m:d>
            </m:oMath>
          </w:p>
        </w:tc>
        <w:tc>
          <w:tcPr>
            <w:tcW w:w="5529" w:type="dxa"/>
            <w:tcBorders>
              <w:top w:val="single" w:sz="4" w:space="0" w:color="auto"/>
              <w:left w:val="single" w:sz="4" w:space="0" w:color="auto"/>
              <w:bottom w:val="single" w:sz="4" w:space="0" w:color="auto"/>
              <w:right w:val="single" w:sz="4" w:space="0" w:color="auto"/>
            </w:tcBorders>
            <w:vAlign w:val="center"/>
          </w:tcPr>
          <w:p w14:paraId="350C510F" w14:textId="77777777" w:rsidR="00EF1BA6" w:rsidRPr="00A229CC" w:rsidRDefault="00EF1BA6" w:rsidP="00A90A24">
            <w:pPr>
              <w:rPr>
                <w:rFonts w:eastAsiaTheme="minorEastAsia"/>
              </w:rPr>
            </w:pPr>
            <w:proofErr w:type="gramStart"/>
            <w:r>
              <w:rPr>
                <w:rFonts w:eastAsiaTheme="minorEastAsia"/>
              </w:rPr>
              <w:t>where :</w:t>
            </w:r>
            <w:proofErr w:type="gramEnd"/>
          </w:p>
          <w:p w14:paraId="348E74D5" w14:textId="77777777" w:rsidR="00EF1BA6" w:rsidRDefault="006C38E9" w:rsidP="00A90A24">
            <w:pPr>
              <w:rPr>
                <w:rFonts w:eastAsiaTheme="minorEastAsia"/>
              </w:rPr>
            </w:pPr>
            <m:oMath>
              <m:sSubSup>
                <m:sSubSupPr>
                  <m:ctrlPr>
                    <w:rPr>
                      <w:rFonts w:ascii="Cambria Math" w:eastAsiaTheme="minorEastAsia" w:hAnsi="Cambria Math"/>
                      <w:i/>
                    </w:rPr>
                  </m:ctrlPr>
                </m:sSubSupPr>
                <m:e>
                  <m:r>
                    <w:rPr>
                      <w:rFonts w:ascii="Cambria Math" w:eastAsiaTheme="minorEastAsia" w:hAnsi="Cambria Math"/>
                    </w:rPr>
                    <m:t>S</m:t>
                  </m:r>
                </m:e>
                <m:sub>
                  <m:r>
                    <w:rPr>
                      <w:rFonts w:ascii="Cambria Math" w:eastAsiaTheme="minorEastAsia" w:hAnsi="Cambria Math"/>
                    </w:rPr>
                    <m:t>c</m:t>
                  </m:r>
                  <m:r>
                    <w:rPr>
                      <w:rFonts w:ascii="Cambria Math" w:eastAsiaTheme="minorEastAsia" w:hAnsi="Cambria Math"/>
                    </w:rPr>
                    <m:t>10</m:t>
                  </m:r>
                </m:sub>
                <m:sup/>
              </m:sSubSup>
            </m:oMath>
            <w:r w:rsidR="00EF1BA6">
              <w:rPr>
                <w:rFonts w:eastAsiaTheme="minorEastAsia"/>
              </w:rPr>
              <w:t xml:space="preserve"> = </w:t>
            </w:r>
            <m:oMath>
              <m:d>
                <m:dPr>
                  <m:begChr m:val="{"/>
                  <m:endChr m:val=""/>
                  <m:ctrlPr>
                    <w:rPr>
                      <w:rFonts w:ascii="Cambria Math" w:hAnsi="Cambria Math"/>
                      <w:i/>
                    </w:rPr>
                  </m:ctrlPr>
                </m:dPr>
                <m:e>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LC</m:t>
                          </m:r>
                        </m:e>
                        <m:sub>
                          <m:r>
                            <w:rPr>
                              <w:rFonts w:ascii="Cambria Math" w:hAnsi="Cambria Math"/>
                            </w:rPr>
                            <m:t>10</m:t>
                          </m:r>
                        </m:sub>
                        <m:sup>
                          <m:r>
                            <w:rPr>
                              <w:rFonts w:ascii="Cambria Math" w:hAnsi="Cambria Math"/>
                            </w:rPr>
                            <m:t>23</m:t>
                          </m:r>
                        </m:sup>
                      </m:sSubSup>
                      <m:r>
                        <w:rPr>
                          <w:rFonts w:ascii="Cambria Math" w:hAnsi="Cambria Math"/>
                        </w:rPr>
                        <m:t>-</m:t>
                      </m:r>
                      <m:sSubSup>
                        <m:sSubSupPr>
                          <m:ctrlPr>
                            <w:rPr>
                              <w:rFonts w:ascii="Cambria Math" w:hAnsi="Cambria Math"/>
                              <w:i/>
                            </w:rPr>
                          </m:ctrlPr>
                        </m:sSubSupPr>
                        <m:e>
                          <m:r>
                            <w:rPr>
                              <w:rFonts w:ascii="Cambria Math" w:hAnsi="Cambria Math"/>
                            </w:rPr>
                            <m:t>LC</m:t>
                          </m:r>
                        </m:e>
                        <m:sub>
                          <m:r>
                            <w:rPr>
                              <w:rFonts w:ascii="Cambria Math" w:hAnsi="Cambria Math"/>
                            </w:rPr>
                            <m:t>10</m:t>
                          </m:r>
                        </m:sub>
                        <m:sup>
                          <m:r>
                            <w:rPr>
                              <w:rFonts w:ascii="Cambria Math" w:hAnsi="Cambria Math"/>
                            </w:rPr>
                            <m:t>14</m:t>
                          </m:r>
                        </m:sup>
                      </m:sSubSup>
                    </m:num>
                    <m:den>
                      <m:r>
                        <w:rPr>
                          <w:rFonts w:ascii="Cambria Math" w:hAnsi="Cambria Math"/>
                        </w:rPr>
                        <m:t>23-14</m:t>
                      </m:r>
                    </m:den>
                  </m:f>
                  <m:r>
                    <w:rPr>
                      <w:rFonts w:ascii="Cambria Math" w:hAnsi="Cambria Math"/>
                    </w:rPr>
                    <m:t>)</m:t>
                  </m:r>
                  <m:d>
                    <m:dPr>
                      <m:ctrlPr>
                        <w:rPr>
                          <w:rFonts w:ascii="Cambria Math" w:hAnsi="Cambria Math"/>
                          <w:i/>
                        </w:rPr>
                      </m:ctrlPr>
                    </m:dPr>
                    <m:e>
                      <m:r>
                        <w:rPr>
                          <w:rFonts w:ascii="Cambria Math" w:hAnsi="Cambria Math"/>
                        </w:rPr>
                        <m:t>T</m:t>
                      </m:r>
                      <m:r>
                        <w:rPr>
                          <w:rFonts w:ascii="Cambria Math" w:hAnsi="Cambria Math"/>
                        </w:rPr>
                        <m:t>-14</m:t>
                      </m:r>
                    </m:e>
                  </m:d>
                  <m:r>
                    <w:rPr>
                      <w:rFonts w:ascii="Cambria Math" w:hAnsi="Cambria Math"/>
                    </w:rPr>
                    <m:t>+</m:t>
                  </m:r>
                  <m:sSubSup>
                    <m:sSubSupPr>
                      <m:ctrlPr>
                        <w:rPr>
                          <w:rFonts w:ascii="Cambria Math" w:hAnsi="Cambria Math"/>
                          <w:i/>
                        </w:rPr>
                      </m:ctrlPr>
                    </m:sSubSupPr>
                    <m:e>
                      <m:r>
                        <w:rPr>
                          <w:rFonts w:ascii="Cambria Math" w:hAnsi="Cambria Math"/>
                        </w:rPr>
                        <m:t>LC</m:t>
                      </m:r>
                    </m:e>
                    <m:sub>
                      <m:r>
                        <w:rPr>
                          <w:rFonts w:ascii="Cambria Math" w:hAnsi="Cambria Math"/>
                        </w:rPr>
                        <m:t>10</m:t>
                      </m:r>
                    </m:sub>
                    <m:sup>
                      <m:r>
                        <w:rPr>
                          <w:rFonts w:ascii="Cambria Math" w:hAnsi="Cambria Math"/>
                        </w:rPr>
                        <m:t>14</m:t>
                      </m:r>
                    </m:sup>
                  </m:sSubSup>
                  <m:eqArr>
                    <m:eqArrPr>
                      <m:ctrlPr>
                        <w:rPr>
                          <w:rFonts w:ascii="Cambria Math" w:hAnsi="Cambria Math"/>
                          <w:i/>
                        </w:rPr>
                      </m:ctrlPr>
                    </m:eqArrPr>
                    <m:e>
                      <m:sSubSup>
                        <m:sSubSupPr>
                          <m:ctrlPr>
                            <w:rPr>
                              <w:rFonts w:ascii="Cambria Math" w:hAnsi="Cambria Math"/>
                              <w:i/>
                            </w:rPr>
                          </m:ctrlPr>
                        </m:sSubSupPr>
                        <m:e>
                          <m:r>
                            <w:rPr>
                              <w:rFonts w:ascii="Cambria Math" w:hAnsi="Cambria Math"/>
                            </w:rPr>
                            <m:t>LC</m:t>
                          </m:r>
                        </m:e>
                        <m:sub>
                          <m:r>
                            <w:rPr>
                              <w:rFonts w:ascii="Cambria Math" w:hAnsi="Cambria Math"/>
                            </w:rPr>
                            <m:t>10</m:t>
                          </m:r>
                        </m:sub>
                        <m:sup>
                          <m:r>
                            <w:rPr>
                              <w:rFonts w:ascii="Cambria Math" w:hAnsi="Cambria Math"/>
                            </w:rPr>
                            <m:t>14</m:t>
                          </m:r>
                        </m:sup>
                      </m:sSubSup>
                      <m:r>
                        <w:rPr>
                          <w:rFonts w:ascii="Cambria Math" w:hAnsi="Cambria Math"/>
                        </w:rPr>
                        <m:t>, 0≤</m:t>
                      </m:r>
                      <m:r>
                        <w:rPr>
                          <w:rFonts w:ascii="Cambria Math" w:hAnsi="Cambria Math"/>
                        </w:rPr>
                        <m:t>T</m:t>
                      </m:r>
                      <m:r>
                        <w:rPr>
                          <w:rFonts w:ascii="Cambria Math" w:hAnsi="Cambria Math"/>
                        </w:rPr>
                        <m:t>&lt;14</m:t>
                      </m:r>
                    </m:e>
                    <m:e>
                      <m:r>
                        <w:rPr>
                          <w:rFonts w:ascii="Cambria Math" w:hAnsi="Cambria Math"/>
                        </w:rPr>
                        <m:t>,14≤</m:t>
                      </m:r>
                      <m:r>
                        <w:rPr>
                          <w:rFonts w:ascii="Cambria Math" w:hAnsi="Cambria Math"/>
                        </w:rPr>
                        <m:t>T</m:t>
                      </m:r>
                      <m:r>
                        <w:rPr>
                          <w:rFonts w:ascii="Cambria Math" w:hAnsi="Cambria Math"/>
                        </w:rPr>
                        <m:t>&lt;23</m:t>
                      </m:r>
                      <m:ctrlPr>
                        <w:rPr>
                          <w:rFonts w:ascii="Cambria Math" w:eastAsia="Cambria Math" w:hAnsi="Cambria Math" w:cs="Cambria Math"/>
                          <w:i/>
                        </w:rPr>
                      </m:ctrlPr>
                    </m:e>
                    <m:e>
                      <m:sSubSup>
                        <m:sSubSupPr>
                          <m:ctrlPr>
                            <w:rPr>
                              <w:rFonts w:ascii="Cambria Math" w:hAnsi="Cambria Math"/>
                              <w:i/>
                            </w:rPr>
                          </m:ctrlPr>
                        </m:sSubSupPr>
                        <m:e>
                          <m:r>
                            <w:rPr>
                              <w:rFonts w:ascii="Cambria Math" w:hAnsi="Cambria Math"/>
                            </w:rPr>
                            <m:t>LC</m:t>
                          </m:r>
                        </m:e>
                        <m:sub>
                          <m:r>
                            <w:rPr>
                              <w:rFonts w:ascii="Cambria Math" w:hAnsi="Cambria Math"/>
                            </w:rPr>
                            <m:t>10</m:t>
                          </m:r>
                        </m:sub>
                        <m:sup>
                          <m:r>
                            <w:rPr>
                              <w:rFonts w:ascii="Cambria Math" w:hAnsi="Cambria Math"/>
                            </w:rPr>
                            <m:t>23</m:t>
                          </m:r>
                        </m:sup>
                      </m:sSubSup>
                      <m:r>
                        <w:rPr>
                          <w:rFonts w:ascii="Cambria Math" w:hAnsi="Cambria Math"/>
                        </w:rPr>
                        <m:t xml:space="preserve">, </m:t>
                      </m:r>
                      <m:r>
                        <w:rPr>
                          <w:rFonts w:ascii="Cambria Math" w:hAnsi="Cambria Math"/>
                        </w:rPr>
                        <m:t>T</m:t>
                      </m:r>
                      <m:r>
                        <w:rPr>
                          <w:rFonts w:ascii="Cambria Math" w:hAnsi="Cambria Math"/>
                        </w:rPr>
                        <m:t>≥23</m:t>
                      </m:r>
                    </m:e>
                  </m:eqArr>
                </m:e>
              </m:d>
            </m:oMath>
          </w:p>
          <w:p w14:paraId="5824D4B0" w14:textId="77777777" w:rsidR="00EF1BA6" w:rsidRDefault="006C38E9" w:rsidP="00A90A24">
            <w:pPr>
              <w:rPr>
                <w:rFonts w:eastAsiaTheme="minorEastAsia"/>
              </w:rPr>
            </w:pPr>
            <m:oMath>
              <m:sSubSup>
                <m:sSubSupPr>
                  <m:ctrlPr>
                    <w:rPr>
                      <w:rFonts w:ascii="Cambria Math" w:eastAsiaTheme="minorEastAsia" w:hAnsi="Cambria Math"/>
                      <w:i/>
                    </w:rPr>
                  </m:ctrlPr>
                </m:sSubSupPr>
                <m:e>
                  <m:r>
                    <w:rPr>
                      <w:rFonts w:ascii="Cambria Math" w:eastAsiaTheme="minorEastAsia" w:hAnsi="Cambria Math"/>
                    </w:rPr>
                    <m:t>S</m:t>
                  </m:r>
                </m:e>
                <m:sub>
                  <m:r>
                    <w:rPr>
                      <w:rFonts w:ascii="Cambria Math" w:eastAsiaTheme="minorEastAsia" w:hAnsi="Cambria Math"/>
                    </w:rPr>
                    <m:t>c</m:t>
                  </m:r>
                  <m:r>
                    <w:rPr>
                      <w:rFonts w:ascii="Cambria Math" w:eastAsiaTheme="minorEastAsia" w:hAnsi="Cambria Math"/>
                    </w:rPr>
                    <m:t>50</m:t>
                  </m:r>
                </m:sub>
                <m:sup/>
              </m:sSubSup>
            </m:oMath>
            <w:r w:rsidR="00EF1BA6">
              <w:rPr>
                <w:rFonts w:eastAsiaTheme="minorEastAsia"/>
              </w:rPr>
              <w:t xml:space="preserve"> = </w:t>
            </w:r>
            <m:oMath>
              <m:d>
                <m:dPr>
                  <m:begChr m:val="{"/>
                  <m:endChr m:val=""/>
                  <m:ctrlPr>
                    <w:rPr>
                      <w:rFonts w:ascii="Cambria Math" w:hAnsi="Cambria Math"/>
                      <w:i/>
                    </w:rPr>
                  </m:ctrlPr>
                </m:dPr>
                <m:e>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LC</m:t>
                          </m:r>
                        </m:e>
                        <m:sub>
                          <m:r>
                            <w:rPr>
                              <w:rFonts w:ascii="Cambria Math" w:hAnsi="Cambria Math"/>
                            </w:rPr>
                            <m:t>50</m:t>
                          </m:r>
                        </m:sub>
                        <m:sup>
                          <m:r>
                            <w:rPr>
                              <w:rFonts w:ascii="Cambria Math" w:hAnsi="Cambria Math"/>
                            </w:rPr>
                            <m:t>23</m:t>
                          </m:r>
                        </m:sup>
                      </m:sSubSup>
                      <m:r>
                        <w:rPr>
                          <w:rFonts w:ascii="Cambria Math" w:hAnsi="Cambria Math"/>
                        </w:rPr>
                        <m:t>-</m:t>
                      </m:r>
                      <m:sSubSup>
                        <m:sSubSupPr>
                          <m:ctrlPr>
                            <w:rPr>
                              <w:rFonts w:ascii="Cambria Math" w:hAnsi="Cambria Math"/>
                              <w:i/>
                            </w:rPr>
                          </m:ctrlPr>
                        </m:sSubSupPr>
                        <m:e>
                          <m:r>
                            <w:rPr>
                              <w:rFonts w:ascii="Cambria Math" w:hAnsi="Cambria Math"/>
                            </w:rPr>
                            <m:t>LC</m:t>
                          </m:r>
                        </m:e>
                        <m:sub>
                          <m:r>
                            <w:rPr>
                              <w:rFonts w:ascii="Cambria Math" w:hAnsi="Cambria Math"/>
                            </w:rPr>
                            <m:t>50</m:t>
                          </m:r>
                        </m:sub>
                        <m:sup>
                          <m:r>
                            <w:rPr>
                              <w:rFonts w:ascii="Cambria Math" w:hAnsi="Cambria Math"/>
                            </w:rPr>
                            <m:t>14</m:t>
                          </m:r>
                        </m:sup>
                      </m:sSubSup>
                    </m:num>
                    <m:den>
                      <m:r>
                        <w:rPr>
                          <w:rFonts w:ascii="Cambria Math" w:hAnsi="Cambria Math"/>
                        </w:rPr>
                        <m:t>23-14</m:t>
                      </m:r>
                    </m:den>
                  </m:f>
                  <m:r>
                    <w:rPr>
                      <w:rFonts w:ascii="Cambria Math" w:hAnsi="Cambria Math"/>
                    </w:rPr>
                    <m:t>)</m:t>
                  </m:r>
                  <m:d>
                    <m:dPr>
                      <m:ctrlPr>
                        <w:rPr>
                          <w:rFonts w:ascii="Cambria Math" w:hAnsi="Cambria Math"/>
                          <w:i/>
                        </w:rPr>
                      </m:ctrlPr>
                    </m:dPr>
                    <m:e>
                      <m:r>
                        <w:rPr>
                          <w:rFonts w:ascii="Cambria Math" w:hAnsi="Cambria Math"/>
                        </w:rPr>
                        <m:t>T</m:t>
                      </m:r>
                      <m:r>
                        <w:rPr>
                          <w:rFonts w:ascii="Cambria Math" w:hAnsi="Cambria Math"/>
                        </w:rPr>
                        <m:t>-14</m:t>
                      </m:r>
                    </m:e>
                  </m:d>
                  <m:r>
                    <w:rPr>
                      <w:rFonts w:ascii="Cambria Math" w:hAnsi="Cambria Math"/>
                    </w:rPr>
                    <m:t>+</m:t>
                  </m:r>
                  <m:sSubSup>
                    <m:sSubSupPr>
                      <m:ctrlPr>
                        <w:rPr>
                          <w:rFonts w:ascii="Cambria Math" w:hAnsi="Cambria Math"/>
                          <w:i/>
                        </w:rPr>
                      </m:ctrlPr>
                    </m:sSubSupPr>
                    <m:e>
                      <m:r>
                        <w:rPr>
                          <w:rFonts w:ascii="Cambria Math" w:hAnsi="Cambria Math"/>
                        </w:rPr>
                        <m:t>LC</m:t>
                      </m:r>
                    </m:e>
                    <m:sub>
                      <m:r>
                        <w:rPr>
                          <w:rFonts w:ascii="Cambria Math" w:hAnsi="Cambria Math"/>
                        </w:rPr>
                        <m:t>50</m:t>
                      </m:r>
                    </m:sub>
                    <m:sup>
                      <m:r>
                        <w:rPr>
                          <w:rFonts w:ascii="Cambria Math" w:hAnsi="Cambria Math"/>
                        </w:rPr>
                        <m:t>14</m:t>
                      </m:r>
                    </m:sup>
                  </m:sSubSup>
                  <m:eqArr>
                    <m:eqArrPr>
                      <m:ctrlPr>
                        <w:rPr>
                          <w:rFonts w:ascii="Cambria Math" w:hAnsi="Cambria Math"/>
                          <w:i/>
                        </w:rPr>
                      </m:ctrlPr>
                    </m:eqArrPr>
                    <m:e>
                      <m:sSubSup>
                        <m:sSubSupPr>
                          <m:ctrlPr>
                            <w:rPr>
                              <w:rFonts w:ascii="Cambria Math" w:hAnsi="Cambria Math"/>
                              <w:i/>
                            </w:rPr>
                          </m:ctrlPr>
                        </m:sSubSupPr>
                        <m:e>
                          <m:r>
                            <w:rPr>
                              <w:rFonts w:ascii="Cambria Math" w:hAnsi="Cambria Math"/>
                            </w:rPr>
                            <m:t>LC</m:t>
                          </m:r>
                        </m:e>
                        <m:sub>
                          <m:r>
                            <w:rPr>
                              <w:rFonts w:ascii="Cambria Math" w:hAnsi="Cambria Math"/>
                            </w:rPr>
                            <m:t>50</m:t>
                          </m:r>
                        </m:sub>
                        <m:sup>
                          <m:r>
                            <w:rPr>
                              <w:rFonts w:ascii="Cambria Math" w:hAnsi="Cambria Math"/>
                            </w:rPr>
                            <m:t>14</m:t>
                          </m:r>
                        </m:sup>
                      </m:sSubSup>
                      <m:r>
                        <w:rPr>
                          <w:rFonts w:ascii="Cambria Math" w:hAnsi="Cambria Math"/>
                        </w:rPr>
                        <m:t>, 0≤</m:t>
                      </m:r>
                      <m:r>
                        <w:rPr>
                          <w:rFonts w:ascii="Cambria Math" w:hAnsi="Cambria Math"/>
                        </w:rPr>
                        <m:t>T</m:t>
                      </m:r>
                      <m:r>
                        <w:rPr>
                          <w:rFonts w:ascii="Cambria Math" w:hAnsi="Cambria Math"/>
                        </w:rPr>
                        <m:t>&lt;14</m:t>
                      </m:r>
                    </m:e>
                    <m:e>
                      <m:r>
                        <w:rPr>
                          <w:rFonts w:ascii="Cambria Math" w:hAnsi="Cambria Math"/>
                        </w:rPr>
                        <m:t>,14≤</m:t>
                      </m:r>
                      <m:r>
                        <w:rPr>
                          <w:rFonts w:ascii="Cambria Math" w:hAnsi="Cambria Math"/>
                        </w:rPr>
                        <m:t>T</m:t>
                      </m:r>
                      <m:r>
                        <w:rPr>
                          <w:rFonts w:ascii="Cambria Math" w:hAnsi="Cambria Math"/>
                        </w:rPr>
                        <m:t>&lt;23</m:t>
                      </m:r>
                      <m:ctrlPr>
                        <w:rPr>
                          <w:rFonts w:ascii="Cambria Math" w:eastAsia="Cambria Math" w:hAnsi="Cambria Math" w:cs="Cambria Math"/>
                          <w:i/>
                        </w:rPr>
                      </m:ctrlPr>
                    </m:e>
                    <m:e>
                      <m:sSubSup>
                        <m:sSubSupPr>
                          <m:ctrlPr>
                            <w:rPr>
                              <w:rFonts w:ascii="Cambria Math" w:hAnsi="Cambria Math"/>
                              <w:i/>
                            </w:rPr>
                          </m:ctrlPr>
                        </m:sSubSupPr>
                        <m:e>
                          <m:r>
                            <w:rPr>
                              <w:rFonts w:ascii="Cambria Math" w:hAnsi="Cambria Math"/>
                            </w:rPr>
                            <m:t>LC</m:t>
                          </m:r>
                        </m:e>
                        <m:sub>
                          <m:r>
                            <w:rPr>
                              <w:rFonts w:ascii="Cambria Math" w:hAnsi="Cambria Math"/>
                            </w:rPr>
                            <m:t>50</m:t>
                          </m:r>
                        </m:sub>
                        <m:sup>
                          <m:r>
                            <w:rPr>
                              <w:rFonts w:ascii="Cambria Math" w:hAnsi="Cambria Math"/>
                            </w:rPr>
                            <m:t>23</m:t>
                          </m:r>
                        </m:sup>
                      </m:sSubSup>
                      <m:r>
                        <w:rPr>
                          <w:rFonts w:ascii="Cambria Math" w:hAnsi="Cambria Math"/>
                        </w:rPr>
                        <m:t xml:space="preserve">, </m:t>
                      </m:r>
                      <m:r>
                        <w:rPr>
                          <w:rFonts w:ascii="Cambria Math" w:hAnsi="Cambria Math"/>
                        </w:rPr>
                        <m:t>T</m:t>
                      </m:r>
                      <m:r>
                        <w:rPr>
                          <w:rFonts w:ascii="Cambria Math" w:hAnsi="Cambria Math"/>
                        </w:rPr>
                        <m:t>≥23</m:t>
                      </m:r>
                    </m:e>
                  </m:eqArr>
                </m:e>
              </m:d>
            </m:oMath>
          </w:p>
        </w:tc>
      </w:tr>
    </w:tbl>
    <w:p w14:paraId="5C68ABCD" w14:textId="77777777" w:rsidR="00EF1BA6" w:rsidRDefault="00EF1BA6" w:rsidP="00EF1BA6">
      <w:r>
        <w:t xml:space="preserve">S: </w:t>
      </w:r>
      <w:proofErr w:type="gramStart"/>
      <w:r>
        <w:t xml:space="preserve">salinity;   </w:t>
      </w:r>
      <w:proofErr w:type="gramEnd"/>
      <m:oMath>
        <m:sSub>
          <m:sSubPr>
            <m:ctrlPr>
              <w:rPr>
                <w:rFonts w:ascii="Cambria Math" w:hAnsi="Cambria Math"/>
                <w:i/>
              </w:rPr>
            </m:ctrlPr>
          </m:sSubPr>
          <m:e>
            <m:r>
              <w:rPr>
                <w:rFonts w:ascii="Cambria Math" w:hAnsi="Cambria Math"/>
              </w:rPr>
              <m:t>S</m:t>
            </m:r>
          </m:e>
          <m:sub>
            <m:r>
              <w:rPr>
                <w:rFonts w:ascii="Cambria Math" w:hAnsi="Cambria Math"/>
              </w:rPr>
              <m:t>c50</m:t>
            </m:r>
          </m:sub>
        </m:sSub>
      </m:oMath>
      <w:r>
        <w:rPr>
          <w:rFonts w:eastAsiaTheme="minorEastAsia"/>
        </w:rPr>
        <w:t xml:space="preserve">: LC50;    </w:t>
      </w:r>
      <m:oMath>
        <m:sSub>
          <m:sSubPr>
            <m:ctrlPr>
              <w:rPr>
                <w:rFonts w:ascii="Cambria Math" w:hAnsi="Cambria Math"/>
                <w:i/>
              </w:rPr>
            </m:ctrlPr>
          </m:sSubPr>
          <m:e>
            <m:r>
              <w:rPr>
                <w:rFonts w:ascii="Cambria Math" w:hAnsi="Cambria Math"/>
              </w:rPr>
              <m:t>S</m:t>
            </m:r>
          </m:e>
          <m:sub>
            <m:r>
              <w:rPr>
                <w:rFonts w:ascii="Cambria Math" w:hAnsi="Cambria Math"/>
              </w:rPr>
              <m:t>c10</m:t>
            </m:r>
          </m:sub>
        </m:sSub>
      </m:oMath>
      <w:r>
        <w:rPr>
          <w:rFonts w:eastAsiaTheme="minorEastAsia"/>
        </w:rPr>
        <w:t>: LC10;    T: temperature</w:t>
      </w:r>
    </w:p>
    <w:p w14:paraId="3693B223" w14:textId="77777777" w:rsidR="00EF1BA6" w:rsidRDefault="00EF1BA6" w:rsidP="00EF1BA6"/>
    <w:p w14:paraId="5B25BA4F" w14:textId="1C07FC49" w:rsidR="00EF1BA6" w:rsidRDefault="00EF1BA6" w:rsidP="00EF1BA6">
      <w:pPr>
        <w:pStyle w:val="Caption"/>
      </w:pPr>
      <w:bookmarkStart w:id="183" w:name="_Ref63689650"/>
      <w:bookmarkStart w:id="184" w:name="_Toc69387739"/>
      <w:r>
        <w:t xml:space="preserve">Table </w:t>
      </w:r>
      <w:r w:rsidR="006C38E9">
        <w:fldChar w:fldCharType="begin"/>
      </w:r>
      <w:r w:rsidR="006C38E9">
        <w:instrText xml:space="preserve"> SEQ Table \* ARABIC </w:instrText>
      </w:r>
      <w:r w:rsidR="006C38E9">
        <w:fldChar w:fldCharType="separate"/>
      </w:r>
      <w:r w:rsidR="00CE5EF5">
        <w:rPr>
          <w:noProof/>
        </w:rPr>
        <w:t>10</w:t>
      </w:r>
      <w:r w:rsidR="006C38E9">
        <w:rPr>
          <w:noProof/>
        </w:rPr>
        <w:fldChar w:fldCharType="end"/>
      </w:r>
      <w:bookmarkEnd w:id="183"/>
      <w:r>
        <w:t xml:space="preserve">. Summary of </w:t>
      </w:r>
      <m:oMath>
        <m:sSubSup>
          <m:sSubSupPr>
            <m:ctrlPr>
              <w:rPr>
                <w:rFonts w:ascii="Cambria Math" w:hAnsi="Cambria Math"/>
                <w:i/>
              </w:rPr>
            </m:ctrlPr>
          </m:sSubSupPr>
          <m:e>
            <m:r>
              <m:rPr>
                <m:sty m:val="bi"/>
              </m:rPr>
              <w:rPr>
                <w:rFonts w:ascii="Cambria Math" w:hAnsi="Cambria Math"/>
              </w:rPr>
              <m:t>LC</m:t>
            </m:r>
          </m:e>
          <m:sub>
            <m:r>
              <m:rPr>
                <m:sty m:val="bi"/>
              </m:rPr>
              <w:rPr>
                <w:rFonts w:ascii="Cambria Math" w:hAnsi="Cambria Math"/>
              </w:rPr>
              <m:t>50</m:t>
            </m:r>
          </m:sub>
          <m:sup/>
        </m:sSubSup>
      </m:oMath>
      <w:r>
        <w:t xml:space="preserve">and </w:t>
      </w:r>
      <m:oMath>
        <m:sSubSup>
          <m:sSubSupPr>
            <m:ctrlPr>
              <w:rPr>
                <w:rFonts w:ascii="Cambria Math" w:hAnsi="Cambria Math"/>
                <w:i/>
              </w:rPr>
            </m:ctrlPr>
          </m:sSubSupPr>
          <m:e>
            <m:r>
              <m:rPr>
                <m:sty m:val="bi"/>
              </m:rPr>
              <w:rPr>
                <w:rFonts w:ascii="Cambria Math" w:hAnsi="Cambria Math"/>
              </w:rPr>
              <m:t>LC</m:t>
            </m:r>
          </m:e>
          <m:sub>
            <m:r>
              <m:rPr>
                <m:sty m:val="bi"/>
              </m:rPr>
              <w:rPr>
                <w:rFonts w:ascii="Cambria Math" w:hAnsi="Cambria Math"/>
              </w:rPr>
              <m:t>10</m:t>
            </m:r>
          </m:sub>
          <m:sup/>
        </m:sSubSup>
      </m:oMath>
      <w:r>
        <w:t xml:space="preserve"> estimates (</w:t>
      </w:r>
      <w:r w:rsidRPr="00377CFB">
        <w:t>expressed</w:t>
      </w:r>
      <w:r>
        <w:t xml:space="preserve"> as ppt) for six species at 14</w:t>
      </w:r>
      <w:r>
        <w:rPr>
          <w:rFonts w:cstheme="minorHAnsi"/>
        </w:rPr>
        <w:t>°</w:t>
      </w:r>
      <w:r>
        <w:t>C (</w:t>
      </w:r>
      <m:oMath>
        <m:sSubSup>
          <m:sSubSupPr>
            <m:ctrlPr>
              <w:rPr>
                <w:rFonts w:ascii="Cambria Math" w:hAnsi="Cambria Math"/>
                <w:i/>
              </w:rPr>
            </m:ctrlPr>
          </m:sSubSupPr>
          <m:e>
            <m:r>
              <m:rPr>
                <m:sty m:val="bi"/>
              </m:rPr>
              <w:rPr>
                <w:rFonts w:ascii="Cambria Math" w:hAnsi="Cambria Math"/>
              </w:rPr>
              <m:t>LC</m:t>
            </m:r>
          </m:e>
          <m:sub/>
          <m:sup>
            <m:r>
              <m:rPr>
                <m:sty m:val="bi"/>
              </m:rPr>
              <w:rPr>
                <w:rFonts w:ascii="Cambria Math" w:hAnsi="Cambria Math"/>
              </w:rPr>
              <m:t>14</m:t>
            </m:r>
          </m:sup>
        </m:sSubSup>
      </m:oMath>
      <w:r>
        <w:rPr>
          <w:rFonts w:eastAsiaTheme="minorEastAsia"/>
        </w:rPr>
        <w:t xml:space="preserve">) </w:t>
      </w:r>
      <w:r>
        <w:t>and 23</w:t>
      </w:r>
      <w:r>
        <w:rPr>
          <w:rFonts w:cstheme="minorHAnsi"/>
        </w:rPr>
        <w:t>°</w:t>
      </w:r>
      <w:r>
        <w:t>C (</w:t>
      </w:r>
      <m:oMath>
        <m:sSubSup>
          <m:sSubSupPr>
            <m:ctrlPr>
              <w:rPr>
                <w:rFonts w:ascii="Cambria Math" w:hAnsi="Cambria Math"/>
                <w:i/>
              </w:rPr>
            </m:ctrlPr>
          </m:sSubSupPr>
          <m:e>
            <m:r>
              <m:rPr>
                <m:sty m:val="bi"/>
              </m:rPr>
              <w:rPr>
                <w:rFonts w:ascii="Cambria Math" w:hAnsi="Cambria Math"/>
              </w:rPr>
              <m:t>LC</m:t>
            </m:r>
          </m:e>
          <m:sub/>
          <m:sup>
            <m:r>
              <m:rPr>
                <m:sty m:val="bi"/>
              </m:rPr>
              <w:rPr>
                <w:rFonts w:ascii="Cambria Math" w:hAnsi="Cambria Math"/>
              </w:rPr>
              <m:t>23</m:t>
            </m:r>
          </m:sup>
        </m:sSubSup>
      </m:oMath>
      <w:r>
        <w:rPr>
          <w:rFonts w:eastAsiaTheme="minorEastAsia"/>
        </w:rPr>
        <w:t xml:space="preserve">) </w:t>
      </w:r>
      <w:r>
        <w:t>temperatures.</w:t>
      </w:r>
      <w:bookmarkEnd w:id="184"/>
      <w:r>
        <w:t xml:space="preserve"> </w:t>
      </w:r>
    </w:p>
    <w:tbl>
      <w:tblPr>
        <w:tblStyle w:val="TableGrid"/>
        <w:tblW w:w="8573" w:type="dxa"/>
        <w:jc w:val="center"/>
        <w:tblLook w:val="04A0" w:firstRow="1" w:lastRow="0" w:firstColumn="1" w:lastColumn="0" w:noHBand="0" w:noVBand="1"/>
      </w:tblPr>
      <w:tblGrid>
        <w:gridCol w:w="2277"/>
        <w:gridCol w:w="1574"/>
        <w:gridCol w:w="1574"/>
        <w:gridCol w:w="1574"/>
        <w:gridCol w:w="1574"/>
      </w:tblGrid>
      <w:tr w:rsidR="00EF1BA6" w14:paraId="1971D720" w14:textId="77777777" w:rsidTr="00A90A24">
        <w:trPr>
          <w:trHeight w:val="283"/>
          <w:jc w:val="center"/>
        </w:trPr>
        <w:tc>
          <w:tcPr>
            <w:tcW w:w="2277" w:type="dxa"/>
            <w:tcBorders>
              <w:top w:val="single" w:sz="4" w:space="0" w:color="auto"/>
              <w:left w:val="single" w:sz="4" w:space="0" w:color="auto"/>
              <w:bottom w:val="single" w:sz="4" w:space="0" w:color="auto"/>
              <w:right w:val="single" w:sz="4" w:space="0" w:color="auto"/>
            </w:tcBorders>
            <w:vAlign w:val="center"/>
            <w:hideMark/>
          </w:tcPr>
          <w:p w14:paraId="5169617C" w14:textId="77777777" w:rsidR="00EF1BA6" w:rsidRDefault="00EF1BA6" w:rsidP="00A90A24">
            <w:r>
              <w:rPr>
                <w:b/>
                <w:bCs/>
              </w:rPr>
              <w:t>Common name</w:t>
            </w:r>
          </w:p>
        </w:tc>
        <w:tc>
          <w:tcPr>
            <w:tcW w:w="1574" w:type="dxa"/>
            <w:tcBorders>
              <w:top w:val="single" w:sz="4" w:space="0" w:color="auto"/>
              <w:left w:val="single" w:sz="4" w:space="0" w:color="auto"/>
              <w:bottom w:val="single" w:sz="4" w:space="0" w:color="auto"/>
              <w:right w:val="single" w:sz="4" w:space="0" w:color="auto"/>
            </w:tcBorders>
            <w:vAlign w:val="center"/>
            <w:hideMark/>
          </w:tcPr>
          <w:p w14:paraId="52CDA464" w14:textId="77777777" w:rsidR="00EF1BA6" w:rsidRDefault="006C38E9" w:rsidP="00A90A24">
            <m:oMathPara>
              <m:oMath>
                <m:sSubSup>
                  <m:sSubSupPr>
                    <m:ctrlPr>
                      <w:rPr>
                        <w:rFonts w:ascii="Cambria Math" w:hAnsi="Cambria Math"/>
                        <w:b/>
                        <w:i/>
                      </w:rPr>
                    </m:ctrlPr>
                  </m:sSubSupPr>
                  <m:e>
                    <m:r>
                      <m:rPr>
                        <m:sty m:val="bi"/>
                      </m:rPr>
                      <w:rPr>
                        <w:rFonts w:ascii="Cambria Math" w:hAnsi="Cambria Math"/>
                      </w:rPr>
                      <m:t>LC</m:t>
                    </m:r>
                  </m:e>
                  <m:sub>
                    <m:r>
                      <m:rPr>
                        <m:sty m:val="bi"/>
                      </m:rPr>
                      <w:rPr>
                        <w:rFonts w:ascii="Cambria Math" w:hAnsi="Cambria Math"/>
                      </w:rPr>
                      <m:t>50</m:t>
                    </m:r>
                  </m:sub>
                  <m:sup>
                    <m:r>
                      <m:rPr>
                        <m:sty m:val="bi"/>
                      </m:rPr>
                      <w:rPr>
                        <w:rFonts w:ascii="Cambria Math" w:hAnsi="Cambria Math"/>
                      </w:rPr>
                      <m:t>14</m:t>
                    </m:r>
                  </m:sup>
                </m:sSubSup>
              </m:oMath>
            </m:oMathPara>
          </w:p>
        </w:tc>
        <w:tc>
          <w:tcPr>
            <w:tcW w:w="1574" w:type="dxa"/>
            <w:tcBorders>
              <w:top w:val="single" w:sz="4" w:space="0" w:color="auto"/>
              <w:left w:val="single" w:sz="4" w:space="0" w:color="auto"/>
              <w:bottom w:val="single" w:sz="4" w:space="0" w:color="auto"/>
              <w:right w:val="single" w:sz="4" w:space="0" w:color="auto"/>
            </w:tcBorders>
            <w:vAlign w:val="center"/>
            <w:hideMark/>
          </w:tcPr>
          <w:p w14:paraId="36288212" w14:textId="77777777" w:rsidR="00EF1BA6" w:rsidRDefault="006C38E9" w:rsidP="00A90A24">
            <m:oMathPara>
              <m:oMath>
                <m:sSubSup>
                  <m:sSubSupPr>
                    <m:ctrlPr>
                      <w:rPr>
                        <w:rFonts w:ascii="Cambria Math" w:hAnsi="Cambria Math"/>
                        <w:b/>
                        <w:i/>
                      </w:rPr>
                    </m:ctrlPr>
                  </m:sSubSupPr>
                  <m:e>
                    <m:r>
                      <m:rPr>
                        <m:sty m:val="bi"/>
                      </m:rPr>
                      <w:rPr>
                        <w:rFonts w:ascii="Cambria Math" w:hAnsi="Cambria Math"/>
                      </w:rPr>
                      <m:t>LC</m:t>
                    </m:r>
                  </m:e>
                  <m:sub>
                    <m:r>
                      <m:rPr>
                        <m:sty m:val="bi"/>
                      </m:rPr>
                      <w:rPr>
                        <w:rFonts w:ascii="Cambria Math" w:hAnsi="Cambria Math"/>
                      </w:rPr>
                      <m:t>50</m:t>
                    </m:r>
                  </m:sub>
                  <m:sup>
                    <m:r>
                      <m:rPr>
                        <m:sty m:val="bi"/>
                      </m:rPr>
                      <w:rPr>
                        <w:rFonts w:ascii="Cambria Math" w:hAnsi="Cambria Math"/>
                      </w:rPr>
                      <m:t>23</m:t>
                    </m:r>
                  </m:sup>
                </m:sSubSup>
              </m:oMath>
            </m:oMathPara>
          </w:p>
        </w:tc>
        <w:tc>
          <w:tcPr>
            <w:tcW w:w="1574" w:type="dxa"/>
            <w:tcBorders>
              <w:top w:val="single" w:sz="4" w:space="0" w:color="auto"/>
              <w:left w:val="single" w:sz="4" w:space="0" w:color="auto"/>
              <w:bottom w:val="single" w:sz="4" w:space="0" w:color="auto"/>
              <w:right w:val="single" w:sz="4" w:space="0" w:color="auto"/>
            </w:tcBorders>
            <w:vAlign w:val="center"/>
            <w:hideMark/>
          </w:tcPr>
          <w:p w14:paraId="4B12BC0A" w14:textId="77777777" w:rsidR="00EF1BA6" w:rsidRDefault="006C38E9" w:rsidP="00A90A24">
            <m:oMathPara>
              <m:oMath>
                <m:sSubSup>
                  <m:sSubSupPr>
                    <m:ctrlPr>
                      <w:rPr>
                        <w:rFonts w:ascii="Cambria Math" w:hAnsi="Cambria Math"/>
                        <w:b/>
                        <w:i/>
                      </w:rPr>
                    </m:ctrlPr>
                  </m:sSubSupPr>
                  <m:e>
                    <m:r>
                      <m:rPr>
                        <m:sty m:val="bi"/>
                      </m:rPr>
                      <w:rPr>
                        <w:rFonts w:ascii="Cambria Math" w:hAnsi="Cambria Math"/>
                      </w:rPr>
                      <m:t>LC</m:t>
                    </m:r>
                  </m:e>
                  <m:sub>
                    <m:r>
                      <m:rPr>
                        <m:sty m:val="bi"/>
                      </m:rPr>
                      <w:rPr>
                        <w:rFonts w:ascii="Cambria Math" w:hAnsi="Cambria Math"/>
                      </w:rPr>
                      <m:t>10</m:t>
                    </m:r>
                  </m:sub>
                  <m:sup>
                    <m:r>
                      <m:rPr>
                        <m:sty m:val="bi"/>
                      </m:rPr>
                      <w:rPr>
                        <w:rFonts w:ascii="Cambria Math" w:hAnsi="Cambria Math"/>
                      </w:rPr>
                      <m:t>14</m:t>
                    </m:r>
                  </m:sup>
                </m:sSubSup>
              </m:oMath>
            </m:oMathPara>
          </w:p>
        </w:tc>
        <w:tc>
          <w:tcPr>
            <w:tcW w:w="1574" w:type="dxa"/>
            <w:tcBorders>
              <w:top w:val="single" w:sz="4" w:space="0" w:color="auto"/>
              <w:left w:val="single" w:sz="4" w:space="0" w:color="auto"/>
              <w:bottom w:val="single" w:sz="4" w:space="0" w:color="auto"/>
              <w:right w:val="single" w:sz="4" w:space="0" w:color="auto"/>
            </w:tcBorders>
            <w:vAlign w:val="center"/>
            <w:hideMark/>
          </w:tcPr>
          <w:p w14:paraId="28C49AC2" w14:textId="77777777" w:rsidR="00EF1BA6" w:rsidRDefault="006C38E9" w:rsidP="00A90A24">
            <m:oMathPara>
              <m:oMath>
                <m:sSubSup>
                  <m:sSubSupPr>
                    <m:ctrlPr>
                      <w:rPr>
                        <w:rFonts w:ascii="Cambria Math" w:hAnsi="Cambria Math"/>
                        <w:b/>
                        <w:i/>
                      </w:rPr>
                    </m:ctrlPr>
                  </m:sSubSupPr>
                  <m:e>
                    <m:r>
                      <m:rPr>
                        <m:sty m:val="bi"/>
                      </m:rPr>
                      <w:rPr>
                        <w:rFonts w:ascii="Cambria Math" w:hAnsi="Cambria Math"/>
                      </w:rPr>
                      <m:t>LC</m:t>
                    </m:r>
                  </m:e>
                  <m:sub>
                    <m:r>
                      <m:rPr>
                        <m:sty m:val="bi"/>
                      </m:rPr>
                      <w:rPr>
                        <w:rFonts w:ascii="Cambria Math" w:hAnsi="Cambria Math"/>
                      </w:rPr>
                      <m:t>10</m:t>
                    </m:r>
                  </m:sub>
                  <m:sup>
                    <m:r>
                      <m:rPr>
                        <m:sty m:val="bi"/>
                      </m:rPr>
                      <w:rPr>
                        <w:rFonts w:ascii="Cambria Math" w:hAnsi="Cambria Math"/>
                      </w:rPr>
                      <m:t>23</m:t>
                    </m:r>
                  </m:sup>
                </m:sSubSup>
              </m:oMath>
            </m:oMathPara>
          </w:p>
        </w:tc>
      </w:tr>
      <w:tr w:rsidR="00EF1BA6" w14:paraId="10E07F55" w14:textId="77777777" w:rsidTr="00A90A24">
        <w:trPr>
          <w:trHeight w:val="263"/>
          <w:jc w:val="center"/>
        </w:trPr>
        <w:tc>
          <w:tcPr>
            <w:tcW w:w="2277" w:type="dxa"/>
            <w:tcBorders>
              <w:top w:val="single" w:sz="4" w:space="0" w:color="auto"/>
              <w:left w:val="single" w:sz="4" w:space="0" w:color="auto"/>
              <w:bottom w:val="single" w:sz="4" w:space="0" w:color="auto"/>
              <w:right w:val="single" w:sz="4" w:space="0" w:color="auto"/>
            </w:tcBorders>
            <w:hideMark/>
          </w:tcPr>
          <w:p w14:paraId="3F56A783" w14:textId="77777777" w:rsidR="00EF1BA6" w:rsidRDefault="00EF1BA6" w:rsidP="00A90A24">
            <w:r>
              <w:t>Mulloway</w:t>
            </w:r>
          </w:p>
        </w:tc>
        <w:tc>
          <w:tcPr>
            <w:tcW w:w="1574" w:type="dxa"/>
            <w:tcBorders>
              <w:top w:val="single" w:sz="4" w:space="0" w:color="auto"/>
              <w:left w:val="single" w:sz="4" w:space="0" w:color="auto"/>
              <w:bottom w:val="single" w:sz="4" w:space="0" w:color="auto"/>
              <w:right w:val="single" w:sz="4" w:space="0" w:color="auto"/>
            </w:tcBorders>
            <w:vAlign w:val="center"/>
            <w:hideMark/>
          </w:tcPr>
          <w:p w14:paraId="7A6531F7" w14:textId="77777777" w:rsidR="00EF1BA6" w:rsidRDefault="00EF1BA6" w:rsidP="00A90A24">
            <w:pPr>
              <w:jc w:val="center"/>
            </w:pPr>
            <w:r>
              <w:t>64</w:t>
            </w:r>
          </w:p>
        </w:tc>
        <w:tc>
          <w:tcPr>
            <w:tcW w:w="1574" w:type="dxa"/>
            <w:tcBorders>
              <w:top w:val="single" w:sz="4" w:space="0" w:color="auto"/>
              <w:left w:val="single" w:sz="4" w:space="0" w:color="auto"/>
              <w:bottom w:val="single" w:sz="4" w:space="0" w:color="auto"/>
              <w:right w:val="single" w:sz="4" w:space="0" w:color="auto"/>
            </w:tcBorders>
            <w:vAlign w:val="center"/>
            <w:hideMark/>
          </w:tcPr>
          <w:p w14:paraId="173AC7B8" w14:textId="77777777" w:rsidR="00EF1BA6" w:rsidRDefault="00EF1BA6" w:rsidP="00A90A24">
            <w:pPr>
              <w:jc w:val="center"/>
            </w:pPr>
            <w:r>
              <w:t>59</w:t>
            </w:r>
          </w:p>
        </w:tc>
        <w:tc>
          <w:tcPr>
            <w:tcW w:w="1574" w:type="dxa"/>
            <w:tcBorders>
              <w:top w:val="single" w:sz="4" w:space="0" w:color="auto"/>
              <w:left w:val="single" w:sz="4" w:space="0" w:color="auto"/>
              <w:bottom w:val="single" w:sz="4" w:space="0" w:color="auto"/>
              <w:right w:val="single" w:sz="4" w:space="0" w:color="auto"/>
            </w:tcBorders>
            <w:vAlign w:val="center"/>
            <w:hideMark/>
          </w:tcPr>
          <w:p w14:paraId="450CA267" w14:textId="77777777" w:rsidR="00EF1BA6" w:rsidRDefault="00EF1BA6" w:rsidP="00A90A24">
            <w:pPr>
              <w:jc w:val="center"/>
            </w:pPr>
            <w:r>
              <w:t>60</w:t>
            </w:r>
          </w:p>
        </w:tc>
        <w:tc>
          <w:tcPr>
            <w:tcW w:w="1574" w:type="dxa"/>
            <w:tcBorders>
              <w:top w:val="single" w:sz="4" w:space="0" w:color="auto"/>
              <w:left w:val="single" w:sz="4" w:space="0" w:color="auto"/>
              <w:bottom w:val="single" w:sz="4" w:space="0" w:color="auto"/>
              <w:right w:val="single" w:sz="4" w:space="0" w:color="auto"/>
            </w:tcBorders>
            <w:vAlign w:val="center"/>
            <w:hideMark/>
          </w:tcPr>
          <w:p w14:paraId="10BF2AFA" w14:textId="77777777" w:rsidR="00EF1BA6" w:rsidRDefault="00EF1BA6" w:rsidP="00A90A24">
            <w:pPr>
              <w:jc w:val="center"/>
            </w:pPr>
            <w:r>
              <w:t>51</w:t>
            </w:r>
          </w:p>
        </w:tc>
      </w:tr>
      <w:tr w:rsidR="00EF1BA6" w14:paraId="785AD6AE" w14:textId="77777777" w:rsidTr="00A90A24">
        <w:trPr>
          <w:trHeight w:val="263"/>
          <w:jc w:val="center"/>
        </w:trPr>
        <w:tc>
          <w:tcPr>
            <w:tcW w:w="2277" w:type="dxa"/>
            <w:tcBorders>
              <w:top w:val="single" w:sz="4" w:space="0" w:color="auto"/>
              <w:left w:val="single" w:sz="4" w:space="0" w:color="auto"/>
              <w:bottom w:val="single" w:sz="4" w:space="0" w:color="auto"/>
              <w:right w:val="single" w:sz="4" w:space="0" w:color="auto"/>
            </w:tcBorders>
            <w:hideMark/>
          </w:tcPr>
          <w:p w14:paraId="0F819070" w14:textId="77777777" w:rsidR="00EF1BA6" w:rsidRDefault="00EF1BA6" w:rsidP="00A90A24">
            <w:r>
              <w:t>Tamar goby</w:t>
            </w:r>
          </w:p>
        </w:tc>
        <w:tc>
          <w:tcPr>
            <w:tcW w:w="1574" w:type="dxa"/>
            <w:tcBorders>
              <w:top w:val="single" w:sz="4" w:space="0" w:color="auto"/>
              <w:left w:val="single" w:sz="4" w:space="0" w:color="auto"/>
              <w:bottom w:val="single" w:sz="4" w:space="0" w:color="auto"/>
              <w:right w:val="single" w:sz="4" w:space="0" w:color="auto"/>
            </w:tcBorders>
            <w:vAlign w:val="center"/>
            <w:hideMark/>
          </w:tcPr>
          <w:p w14:paraId="788EC0C5" w14:textId="77777777" w:rsidR="00EF1BA6" w:rsidRDefault="00EF1BA6" w:rsidP="00A90A24">
            <w:pPr>
              <w:jc w:val="center"/>
            </w:pPr>
            <w:r>
              <w:t>73</w:t>
            </w:r>
          </w:p>
        </w:tc>
        <w:tc>
          <w:tcPr>
            <w:tcW w:w="1574" w:type="dxa"/>
            <w:tcBorders>
              <w:top w:val="single" w:sz="4" w:space="0" w:color="auto"/>
              <w:left w:val="single" w:sz="4" w:space="0" w:color="auto"/>
              <w:bottom w:val="single" w:sz="4" w:space="0" w:color="auto"/>
              <w:right w:val="single" w:sz="4" w:space="0" w:color="auto"/>
            </w:tcBorders>
            <w:vAlign w:val="center"/>
            <w:hideMark/>
          </w:tcPr>
          <w:p w14:paraId="17864C97" w14:textId="77777777" w:rsidR="00EF1BA6" w:rsidRDefault="00EF1BA6" w:rsidP="00A90A24">
            <w:pPr>
              <w:jc w:val="center"/>
            </w:pPr>
            <w:r>
              <w:t>71</w:t>
            </w:r>
          </w:p>
        </w:tc>
        <w:tc>
          <w:tcPr>
            <w:tcW w:w="1574" w:type="dxa"/>
            <w:tcBorders>
              <w:top w:val="single" w:sz="4" w:space="0" w:color="auto"/>
              <w:left w:val="single" w:sz="4" w:space="0" w:color="auto"/>
              <w:bottom w:val="single" w:sz="4" w:space="0" w:color="auto"/>
              <w:right w:val="single" w:sz="4" w:space="0" w:color="auto"/>
            </w:tcBorders>
            <w:vAlign w:val="center"/>
            <w:hideMark/>
          </w:tcPr>
          <w:p w14:paraId="1634FC9F" w14:textId="77777777" w:rsidR="00EF1BA6" w:rsidRDefault="00EF1BA6" w:rsidP="00A90A24">
            <w:pPr>
              <w:jc w:val="center"/>
            </w:pPr>
            <w:r>
              <w:t>68</w:t>
            </w:r>
          </w:p>
        </w:tc>
        <w:tc>
          <w:tcPr>
            <w:tcW w:w="1574" w:type="dxa"/>
            <w:tcBorders>
              <w:top w:val="single" w:sz="4" w:space="0" w:color="auto"/>
              <w:left w:val="single" w:sz="4" w:space="0" w:color="auto"/>
              <w:bottom w:val="single" w:sz="4" w:space="0" w:color="auto"/>
              <w:right w:val="single" w:sz="4" w:space="0" w:color="auto"/>
            </w:tcBorders>
            <w:vAlign w:val="center"/>
            <w:hideMark/>
          </w:tcPr>
          <w:p w14:paraId="09CC2958" w14:textId="77777777" w:rsidR="00EF1BA6" w:rsidRDefault="00EF1BA6" w:rsidP="00A90A24">
            <w:pPr>
              <w:jc w:val="center"/>
            </w:pPr>
            <w:r>
              <w:t>66</w:t>
            </w:r>
          </w:p>
        </w:tc>
      </w:tr>
      <w:tr w:rsidR="00EF1BA6" w14:paraId="60BAAC81" w14:textId="77777777" w:rsidTr="00A90A24">
        <w:trPr>
          <w:trHeight w:val="263"/>
          <w:jc w:val="center"/>
        </w:trPr>
        <w:tc>
          <w:tcPr>
            <w:tcW w:w="2277" w:type="dxa"/>
            <w:tcBorders>
              <w:top w:val="single" w:sz="4" w:space="0" w:color="auto"/>
              <w:left w:val="single" w:sz="4" w:space="0" w:color="auto"/>
              <w:bottom w:val="single" w:sz="4" w:space="0" w:color="auto"/>
              <w:right w:val="single" w:sz="4" w:space="0" w:color="auto"/>
            </w:tcBorders>
            <w:hideMark/>
          </w:tcPr>
          <w:p w14:paraId="4FEAB683" w14:textId="77777777" w:rsidR="00EF1BA6" w:rsidRDefault="00EF1BA6" w:rsidP="00A90A24">
            <w:r>
              <w:t>Black bream</w:t>
            </w:r>
          </w:p>
        </w:tc>
        <w:tc>
          <w:tcPr>
            <w:tcW w:w="1574" w:type="dxa"/>
            <w:tcBorders>
              <w:top w:val="single" w:sz="4" w:space="0" w:color="auto"/>
              <w:left w:val="single" w:sz="4" w:space="0" w:color="auto"/>
              <w:bottom w:val="single" w:sz="4" w:space="0" w:color="auto"/>
              <w:right w:val="single" w:sz="4" w:space="0" w:color="auto"/>
            </w:tcBorders>
            <w:vAlign w:val="center"/>
            <w:hideMark/>
          </w:tcPr>
          <w:p w14:paraId="7A68AF9B" w14:textId="77777777" w:rsidR="00EF1BA6" w:rsidRDefault="00EF1BA6" w:rsidP="00A90A24">
            <w:pPr>
              <w:jc w:val="center"/>
            </w:pPr>
            <w:r>
              <w:t>85</w:t>
            </w:r>
          </w:p>
        </w:tc>
        <w:tc>
          <w:tcPr>
            <w:tcW w:w="1574" w:type="dxa"/>
            <w:tcBorders>
              <w:top w:val="single" w:sz="4" w:space="0" w:color="auto"/>
              <w:left w:val="single" w:sz="4" w:space="0" w:color="auto"/>
              <w:bottom w:val="single" w:sz="4" w:space="0" w:color="auto"/>
              <w:right w:val="single" w:sz="4" w:space="0" w:color="auto"/>
            </w:tcBorders>
            <w:vAlign w:val="center"/>
            <w:hideMark/>
          </w:tcPr>
          <w:p w14:paraId="1D25BC5B" w14:textId="77777777" w:rsidR="00EF1BA6" w:rsidRDefault="00EF1BA6" w:rsidP="00A90A24">
            <w:pPr>
              <w:jc w:val="center"/>
            </w:pPr>
            <w:r>
              <w:t>88</w:t>
            </w:r>
          </w:p>
        </w:tc>
        <w:tc>
          <w:tcPr>
            <w:tcW w:w="1574" w:type="dxa"/>
            <w:tcBorders>
              <w:top w:val="single" w:sz="4" w:space="0" w:color="auto"/>
              <w:left w:val="single" w:sz="4" w:space="0" w:color="auto"/>
              <w:bottom w:val="single" w:sz="4" w:space="0" w:color="auto"/>
              <w:right w:val="single" w:sz="4" w:space="0" w:color="auto"/>
            </w:tcBorders>
            <w:vAlign w:val="center"/>
            <w:hideMark/>
          </w:tcPr>
          <w:p w14:paraId="4BB7AA07" w14:textId="77777777" w:rsidR="00EF1BA6" w:rsidRDefault="00EF1BA6" w:rsidP="00A90A24">
            <w:pPr>
              <w:jc w:val="center"/>
            </w:pPr>
            <w:r>
              <w:t>79</w:t>
            </w:r>
          </w:p>
        </w:tc>
        <w:tc>
          <w:tcPr>
            <w:tcW w:w="1574" w:type="dxa"/>
            <w:tcBorders>
              <w:top w:val="single" w:sz="4" w:space="0" w:color="auto"/>
              <w:left w:val="single" w:sz="4" w:space="0" w:color="auto"/>
              <w:bottom w:val="single" w:sz="4" w:space="0" w:color="auto"/>
              <w:right w:val="single" w:sz="4" w:space="0" w:color="auto"/>
            </w:tcBorders>
            <w:vAlign w:val="center"/>
            <w:hideMark/>
          </w:tcPr>
          <w:p w14:paraId="6002A682" w14:textId="77777777" w:rsidR="00EF1BA6" w:rsidRDefault="00EF1BA6" w:rsidP="00A90A24">
            <w:pPr>
              <w:jc w:val="center"/>
            </w:pPr>
            <w:r>
              <w:t>82</w:t>
            </w:r>
          </w:p>
        </w:tc>
      </w:tr>
      <w:tr w:rsidR="00EF1BA6" w14:paraId="1DE2A8A6" w14:textId="77777777" w:rsidTr="00A90A24">
        <w:trPr>
          <w:trHeight w:val="263"/>
          <w:jc w:val="center"/>
        </w:trPr>
        <w:tc>
          <w:tcPr>
            <w:tcW w:w="2277" w:type="dxa"/>
            <w:tcBorders>
              <w:top w:val="single" w:sz="4" w:space="0" w:color="auto"/>
              <w:left w:val="single" w:sz="4" w:space="0" w:color="auto"/>
              <w:bottom w:val="single" w:sz="4" w:space="0" w:color="auto"/>
              <w:right w:val="single" w:sz="4" w:space="0" w:color="auto"/>
            </w:tcBorders>
            <w:hideMark/>
          </w:tcPr>
          <w:p w14:paraId="7478C48D" w14:textId="77777777" w:rsidR="00EF1BA6" w:rsidRDefault="00EF1BA6" w:rsidP="00A90A24">
            <w:r>
              <w:t>Greenback flounder</w:t>
            </w:r>
          </w:p>
        </w:tc>
        <w:tc>
          <w:tcPr>
            <w:tcW w:w="1574" w:type="dxa"/>
            <w:tcBorders>
              <w:top w:val="single" w:sz="4" w:space="0" w:color="auto"/>
              <w:left w:val="single" w:sz="4" w:space="0" w:color="auto"/>
              <w:bottom w:val="single" w:sz="4" w:space="0" w:color="auto"/>
              <w:right w:val="single" w:sz="4" w:space="0" w:color="auto"/>
            </w:tcBorders>
            <w:vAlign w:val="center"/>
            <w:hideMark/>
          </w:tcPr>
          <w:p w14:paraId="58194072" w14:textId="77777777" w:rsidR="00EF1BA6" w:rsidRDefault="00EF1BA6" w:rsidP="00A90A24">
            <w:pPr>
              <w:jc w:val="center"/>
            </w:pPr>
            <w:r>
              <w:t>88</w:t>
            </w:r>
          </w:p>
        </w:tc>
        <w:tc>
          <w:tcPr>
            <w:tcW w:w="1574" w:type="dxa"/>
            <w:tcBorders>
              <w:top w:val="single" w:sz="4" w:space="0" w:color="auto"/>
              <w:left w:val="single" w:sz="4" w:space="0" w:color="auto"/>
              <w:bottom w:val="single" w:sz="4" w:space="0" w:color="auto"/>
              <w:right w:val="single" w:sz="4" w:space="0" w:color="auto"/>
            </w:tcBorders>
            <w:vAlign w:val="center"/>
            <w:hideMark/>
          </w:tcPr>
          <w:p w14:paraId="5BCA2C8E" w14:textId="77777777" w:rsidR="00EF1BA6" w:rsidRDefault="00EF1BA6" w:rsidP="00A90A24">
            <w:pPr>
              <w:jc w:val="center"/>
            </w:pPr>
            <w:r>
              <w:t>79</w:t>
            </w:r>
          </w:p>
        </w:tc>
        <w:tc>
          <w:tcPr>
            <w:tcW w:w="1574" w:type="dxa"/>
            <w:tcBorders>
              <w:top w:val="single" w:sz="4" w:space="0" w:color="auto"/>
              <w:left w:val="single" w:sz="4" w:space="0" w:color="auto"/>
              <w:bottom w:val="single" w:sz="4" w:space="0" w:color="auto"/>
              <w:right w:val="single" w:sz="4" w:space="0" w:color="auto"/>
            </w:tcBorders>
            <w:vAlign w:val="center"/>
            <w:hideMark/>
          </w:tcPr>
          <w:p w14:paraId="761C26F0" w14:textId="77777777" w:rsidR="00EF1BA6" w:rsidRDefault="00EF1BA6" w:rsidP="00A90A24">
            <w:pPr>
              <w:jc w:val="center"/>
            </w:pPr>
            <w:r>
              <w:t>81</w:t>
            </w:r>
          </w:p>
        </w:tc>
        <w:tc>
          <w:tcPr>
            <w:tcW w:w="1574" w:type="dxa"/>
            <w:tcBorders>
              <w:top w:val="single" w:sz="4" w:space="0" w:color="auto"/>
              <w:left w:val="single" w:sz="4" w:space="0" w:color="auto"/>
              <w:bottom w:val="single" w:sz="4" w:space="0" w:color="auto"/>
              <w:right w:val="single" w:sz="4" w:space="0" w:color="auto"/>
            </w:tcBorders>
            <w:vAlign w:val="center"/>
            <w:hideMark/>
          </w:tcPr>
          <w:p w14:paraId="310EBFD9" w14:textId="77777777" w:rsidR="00EF1BA6" w:rsidRDefault="00EF1BA6" w:rsidP="00A90A24">
            <w:pPr>
              <w:jc w:val="center"/>
            </w:pPr>
            <w:r>
              <w:t>73</w:t>
            </w:r>
          </w:p>
        </w:tc>
      </w:tr>
      <w:tr w:rsidR="00EF1BA6" w14:paraId="6D9FDE52" w14:textId="77777777" w:rsidTr="00A90A24">
        <w:trPr>
          <w:trHeight w:val="263"/>
          <w:jc w:val="center"/>
        </w:trPr>
        <w:tc>
          <w:tcPr>
            <w:tcW w:w="2277" w:type="dxa"/>
            <w:tcBorders>
              <w:top w:val="single" w:sz="4" w:space="0" w:color="auto"/>
              <w:left w:val="single" w:sz="4" w:space="0" w:color="auto"/>
              <w:bottom w:val="single" w:sz="4" w:space="0" w:color="auto"/>
              <w:right w:val="single" w:sz="4" w:space="0" w:color="auto"/>
            </w:tcBorders>
            <w:hideMark/>
          </w:tcPr>
          <w:p w14:paraId="1B6CA05B" w14:textId="77777777" w:rsidR="00EF1BA6" w:rsidRDefault="00EF1BA6" w:rsidP="00A90A24">
            <w:r>
              <w:t>Yelloweye mullet</w:t>
            </w:r>
          </w:p>
        </w:tc>
        <w:tc>
          <w:tcPr>
            <w:tcW w:w="1574" w:type="dxa"/>
            <w:tcBorders>
              <w:top w:val="single" w:sz="4" w:space="0" w:color="auto"/>
              <w:left w:val="single" w:sz="4" w:space="0" w:color="auto"/>
              <w:bottom w:val="single" w:sz="4" w:space="0" w:color="auto"/>
              <w:right w:val="single" w:sz="4" w:space="0" w:color="auto"/>
            </w:tcBorders>
            <w:vAlign w:val="center"/>
            <w:hideMark/>
          </w:tcPr>
          <w:p w14:paraId="31507171" w14:textId="77777777" w:rsidR="00EF1BA6" w:rsidRDefault="00EF1BA6" w:rsidP="00A90A24">
            <w:pPr>
              <w:jc w:val="center"/>
            </w:pPr>
            <w:r>
              <w:t>91</w:t>
            </w:r>
          </w:p>
        </w:tc>
        <w:tc>
          <w:tcPr>
            <w:tcW w:w="1574" w:type="dxa"/>
            <w:tcBorders>
              <w:top w:val="single" w:sz="4" w:space="0" w:color="auto"/>
              <w:left w:val="single" w:sz="4" w:space="0" w:color="auto"/>
              <w:bottom w:val="single" w:sz="4" w:space="0" w:color="auto"/>
              <w:right w:val="single" w:sz="4" w:space="0" w:color="auto"/>
            </w:tcBorders>
            <w:vAlign w:val="center"/>
            <w:hideMark/>
          </w:tcPr>
          <w:p w14:paraId="761CC03C" w14:textId="77777777" w:rsidR="00EF1BA6" w:rsidRDefault="00EF1BA6" w:rsidP="00A90A24">
            <w:pPr>
              <w:jc w:val="center"/>
            </w:pPr>
            <w:r>
              <w:t>82.4*</w:t>
            </w:r>
          </w:p>
        </w:tc>
        <w:tc>
          <w:tcPr>
            <w:tcW w:w="1574" w:type="dxa"/>
            <w:tcBorders>
              <w:top w:val="single" w:sz="4" w:space="0" w:color="auto"/>
              <w:left w:val="single" w:sz="4" w:space="0" w:color="auto"/>
              <w:bottom w:val="single" w:sz="4" w:space="0" w:color="auto"/>
              <w:right w:val="single" w:sz="4" w:space="0" w:color="auto"/>
            </w:tcBorders>
            <w:vAlign w:val="center"/>
            <w:hideMark/>
          </w:tcPr>
          <w:p w14:paraId="4807A2E0" w14:textId="77777777" w:rsidR="00EF1BA6" w:rsidRDefault="00EF1BA6" w:rsidP="00A90A24">
            <w:pPr>
              <w:jc w:val="center"/>
            </w:pPr>
            <w:r>
              <w:t>84</w:t>
            </w:r>
          </w:p>
        </w:tc>
        <w:tc>
          <w:tcPr>
            <w:tcW w:w="1574" w:type="dxa"/>
            <w:tcBorders>
              <w:top w:val="single" w:sz="4" w:space="0" w:color="auto"/>
              <w:left w:val="single" w:sz="4" w:space="0" w:color="auto"/>
              <w:bottom w:val="single" w:sz="4" w:space="0" w:color="auto"/>
              <w:right w:val="single" w:sz="4" w:space="0" w:color="auto"/>
            </w:tcBorders>
            <w:vAlign w:val="center"/>
            <w:hideMark/>
          </w:tcPr>
          <w:p w14:paraId="68004690" w14:textId="77777777" w:rsidR="00EF1BA6" w:rsidRDefault="00EF1BA6" w:rsidP="00A90A24">
            <w:pPr>
              <w:jc w:val="center"/>
            </w:pPr>
            <w:r>
              <w:t>68</w:t>
            </w:r>
          </w:p>
        </w:tc>
      </w:tr>
      <w:tr w:rsidR="00EF1BA6" w14:paraId="0C19A7B0" w14:textId="77777777" w:rsidTr="00A90A24">
        <w:trPr>
          <w:trHeight w:val="263"/>
          <w:jc w:val="center"/>
        </w:trPr>
        <w:tc>
          <w:tcPr>
            <w:tcW w:w="2277" w:type="dxa"/>
            <w:tcBorders>
              <w:top w:val="single" w:sz="4" w:space="0" w:color="auto"/>
              <w:left w:val="single" w:sz="4" w:space="0" w:color="auto"/>
              <w:bottom w:val="single" w:sz="4" w:space="0" w:color="auto"/>
              <w:right w:val="single" w:sz="4" w:space="0" w:color="auto"/>
            </w:tcBorders>
            <w:hideMark/>
          </w:tcPr>
          <w:p w14:paraId="2920F217" w14:textId="77777777" w:rsidR="00EF1BA6" w:rsidRDefault="00EF1BA6" w:rsidP="00A90A24">
            <w:r>
              <w:t>Congolli</w:t>
            </w:r>
          </w:p>
        </w:tc>
        <w:tc>
          <w:tcPr>
            <w:tcW w:w="1574" w:type="dxa"/>
            <w:tcBorders>
              <w:top w:val="single" w:sz="4" w:space="0" w:color="auto"/>
              <w:left w:val="single" w:sz="4" w:space="0" w:color="auto"/>
              <w:bottom w:val="single" w:sz="4" w:space="0" w:color="auto"/>
              <w:right w:val="single" w:sz="4" w:space="0" w:color="auto"/>
            </w:tcBorders>
            <w:vAlign w:val="center"/>
            <w:hideMark/>
          </w:tcPr>
          <w:p w14:paraId="6FF43165" w14:textId="77777777" w:rsidR="00EF1BA6" w:rsidRDefault="00EF1BA6" w:rsidP="00A90A24">
            <w:pPr>
              <w:jc w:val="center"/>
            </w:pPr>
            <w:r>
              <w:t>100</w:t>
            </w:r>
          </w:p>
        </w:tc>
        <w:tc>
          <w:tcPr>
            <w:tcW w:w="1574" w:type="dxa"/>
            <w:tcBorders>
              <w:top w:val="single" w:sz="4" w:space="0" w:color="auto"/>
              <w:left w:val="single" w:sz="4" w:space="0" w:color="auto"/>
              <w:bottom w:val="single" w:sz="4" w:space="0" w:color="auto"/>
              <w:right w:val="single" w:sz="4" w:space="0" w:color="auto"/>
            </w:tcBorders>
            <w:vAlign w:val="center"/>
            <w:hideMark/>
          </w:tcPr>
          <w:p w14:paraId="0617F61E" w14:textId="77777777" w:rsidR="00EF1BA6" w:rsidRDefault="00EF1BA6" w:rsidP="00A90A24">
            <w:pPr>
              <w:jc w:val="center"/>
            </w:pPr>
            <w:r>
              <w:t>94</w:t>
            </w:r>
          </w:p>
        </w:tc>
        <w:tc>
          <w:tcPr>
            <w:tcW w:w="1574" w:type="dxa"/>
            <w:tcBorders>
              <w:top w:val="single" w:sz="4" w:space="0" w:color="auto"/>
              <w:left w:val="single" w:sz="4" w:space="0" w:color="auto"/>
              <w:bottom w:val="single" w:sz="4" w:space="0" w:color="auto"/>
              <w:right w:val="single" w:sz="4" w:space="0" w:color="auto"/>
            </w:tcBorders>
            <w:vAlign w:val="center"/>
            <w:hideMark/>
          </w:tcPr>
          <w:p w14:paraId="60498B47" w14:textId="77777777" w:rsidR="00EF1BA6" w:rsidRDefault="00EF1BA6" w:rsidP="00A90A24">
            <w:pPr>
              <w:jc w:val="center"/>
            </w:pPr>
            <w:r>
              <w:t>90</w:t>
            </w:r>
          </w:p>
        </w:tc>
        <w:tc>
          <w:tcPr>
            <w:tcW w:w="1574" w:type="dxa"/>
            <w:tcBorders>
              <w:top w:val="single" w:sz="4" w:space="0" w:color="auto"/>
              <w:left w:val="single" w:sz="4" w:space="0" w:color="auto"/>
              <w:bottom w:val="single" w:sz="4" w:space="0" w:color="auto"/>
              <w:right w:val="single" w:sz="4" w:space="0" w:color="auto"/>
            </w:tcBorders>
            <w:vAlign w:val="center"/>
            <w:hideMark/>
          </w:tcPr>
          <w:p w14:paraId="00710D58" w14:textId="77777777" w:rsidR="00EF1BA6" w:rsidRDefault="00EF1BA6" w:rsidP="00A90A24">
            <w:pPr>
              <w:jc w:val="center"/>
            </w:pPr>
            <w:r>
              <w:t>87</w:t>
            </w:r>
          </w:p>
        </w:tc>
      </w:tr>
      <w:tr w:rsidR="00EF1BA6" w14:paraId="04C20295" w14:textId="77777777" w:rsidTr="00A90A24">
        <w:trPr>
          <w:trHeight w:val="270"/>
          <w:jc w:val="center"/>
        </w:trPr>
        <w:tc>
          <w:tcPr>
            <w:tcW w:w="2277" w:type="dxa"/>
            <w:tcBorders>
              <w:top w:val="single" w:sz="4" w:space="0" w:color="auto"/>
              <w:left w:val="single" w:sz="4" w:space="0" w:color="auto"/>
              <w:bottom w:val="single" w:sz="4" w:space="0" w:color="auto"/>
              <w:right w:val="single" w:sz="4" w:space="0" w:color="auto"/>
            </w:tcBorders>
            <w:hideMark/>
          </w:tcPr>
          <w:p w14:paraId="4F42BFB0" w14:textId="77777777" w:rsidR="00EF1BA6" w:rsidRDefault="00EF1BA6" w:rsidP="00A90A24">
            <w:r>
              <w:t xml:space="preserve">Smallmouth </w:t>
            </w:r>
            <w:proofErr w:type="spellStart"/>
            <w:r>
              <w:t>hardyhead</w:t>
            </w:r>
            <w:proofErr w:type="spellEnd"/>
          </w:p>
        </w:tc>
        <w:tc>
          <w:tcPr>
            <w:tcW w:w="3148" w:type="dxa"/>
            <w:gridSpan w:val="2"/>
            <w:tcBorders>
              <w:top w:val="single" w:sz="4" w:space="0" w:color="auto"/>
              <w:left w:val="single" w:sz="4" w:space="0" w:color="auto"/>
              <w:bottom w:val="single" w:sz="4" w:space="0" w:color="auto"/>
              <w:right w:val="single" w:sz="4" w:space="0" w:color="auto"/>
            </w:tcBorders>
            <w:vAlign w:val="center"/>
            <w:hideMark/>
          </w:tcPr>
          <w:p w14:paraId="4EC0A37B" w14:textId="77777777" w:rsidR="00EF1BA6" w:rsidRDefault="00EF1BA6" w:rsidP="00A90A24">
            <w:pPr>
              <w:jc w:val="center"/>
            </w:pPr>
            <w:r>
              <w:t>108</w:t>
            </w:r>
          </w:p>
        </w:tc>
        <w:tc>
          <w:tcPr>
            <w:tcW w:w="1574" w:type="dxa"/>
            <w:tcBorders>
              <w:top w:val="single" w:sz="4" w:space="0" w:color="auto"/>
              <w:left w:val="single" w:sz="4" w:space="0" w:color="auto"/>
              <w:bottom w:val="single" w:sz="4" w:space="0" w:color="auto"/>
              <w:right w:val="single" w:sz="4" w:space="0" w:color="auto"/>
            </w:tcBorders>
            <w:vAlign w:val="center"/>
            <w:hideMark/>
          </w:tcPr>
          <w:p w14:paraId="4F4C946D" w14:textId="77777777" w:rsidR="00EF1BA6" w:rsidRDefault="00EF1BA6" w:rsidP="00A90A24">
            <w:pPr>
              <w:jc w:val="center"/>
            </w:pPr>
            <w:r>
              <w:t>100</w:t>
            </w:r>
          </w:p>
        </w:tc>
        <w:tc>
          <w:tcPr>
            <w:tcW w:w="1574" w:type="dxa"/>
            <w:tcBorders>
              <w:top w:val="single" w:sz="4" w:space="0" w:color="auto"/>
              <w:left w:val="single" w:sz="4" w:space="0" w:color="auto"/>
              <w:bottom w:val="single" w:sz="4" w:space="0" w:color="auto"/>
              <w:right w:val="single" w:sz="4" w:space="0" w:color="auto"/>
            </w:tcBorders>
            <w:vAlign w:val="center"/>
            <w:hideMark/>
          </w:tcPr>
          <w:p w14:paraId="47E70545" w14:textId="77777777" w:rsidR="00EF1BA6" w:rsidRDefault="00EF1BA6" w:rsidP="00A90A24">
            <w:pPr>
              <w:jc w:val="center"/>
            </w:pPr>
            <w:r>
              <w:t>97</w:t>
            </w:r>
          </w:p>
        </w:tc>
      </w:tr>
    </w:tbl>
    <w:p w14:paraId="22220D0C" w14:textId="3DAE9D28" w:rsidR="00EF1BA6" w:rsidRDefault="00EF1BA6" w:rsidP="00EF1BA6">
      <w:pPr>
        <w:rPr>
          <w:sz w:val="13"/>
          <w:szCs w:val="11"/>
        </w:rPr>
      </w:pPr>
      <w:r>
        <w:rPr>
          <w:sz w:val="13"/>
          <w:szCs w:val="11"/>
        </w:rPr>
        <w:t xml:space="preserve">      </w:t>
      </w:r>
      <w:r w:rsidRPr="00D26AC0">
        <w:rPr>
          <w:sz w:val="13"/>
          <w:szCs w:val="11"/>
        </w:rPr>
        <w:t>*possibly affected by another unknown water quality factor.</w:t>
      </w:r>
    </w:p>
    <w:p w14:paraId="6ECFE770" w14:textId="77777777" w:rsidR="00B32D8C" w:rsidRPr="00B32D8C" w:rsidRDefault="00B32D8C" w:rsidP="00EF1BA6">
      <w:pPr>
        <w:rPr>
          <w:sz w:val="5"/>
          <w:szCs w:val="3"/>
        </w:rPr>
      </w:pPr>
    </w:p>
    <w:p w14:paraId="0F5B56F6" w14:textId="77777777" w:rsidR="00EF1BA6" w:rsidRDefault="00EF1BA6" w:rsidP="00EF1BA6">
      <w:pPr>
        <w:rPr>
          <w:lang w:eastAsia="en-AU"/>
        </w:rPr>
      </w:pPr>
      <w:r>
        <w:rPr>
          <w:lang w:val="en-US"/>
        </w:rPr>
        <w:t>The Coorong has a long residence time and to account for the longer timescales of water and solute flux, three-year simulations were undertaken to assess habitat. The period simulated was from July 2017 to June 2020 which was chosen as it begins after the large flow event in 2016 “reset” salinity levels in the Coorong and covers three water years (and growing seasons). Rather than dynamically predicting barrage flows based on water levels either side of the structures, this simulation specifies the daily barrage flows based on flow volumes obtained from SA Water (see Section 2.3.1).</w:t>
      </w:r>
    </w:p>
    <w:p w14:paraId="3E7C6CB2" w14:textId="4822A844" w:rsidR="00762384" w:rsidRDefault="00762384" w:rsidP="00762384">
      <w:pPr>
        <w:rPr>
          <w:rFonts w:eastAsiaTheme="majorEastAsia"/>
          <w:lang w:eastAsia="en-AU"/>
        </w:rPr>
      </w:pPr>
    </w:p>
    <w:p w14:paraId="57A9CB11" w14:textId="77777777" w:rsidR="00762384" w:rsidRDefault="00762384" w:rsidP="00762384">
      <w:pPr>
        <w:rPr>
          <w:lang w:eastAsia="en-AU"/>
        </w:rPr>
      </w:pPr>
    </w:p>
    <w:p w14:paraId="5DDED1C7" w14:textId="77777777" w:rsidR="00762384" w:rsidRDefault="00762384">
      <w:pPr>
        <w:spacing w:before="0" w:after="160" w:line="259" w:lineRule="auto"/>
        <w:jc w:val="left"/>
        <w:rPr>
          <w:rFonts w:eastAsiaTheme="majorEastAsia" w:cstheme="majorBidi"/>
          <w:b/>
          <w:i/>
          <w:color w:val="44546A" w:themeColor="text2"/>
          <w:sz w:val="24"/>
          <w:szCs w:val="24"/>
          <w:lang w:eastAsia="en-AU"/>
        </w:rPr>
      </w:pPr>
      <w:r>
        <w:rPr>
          <w:lang w:eastAsia="en-AU"/>
        </w:rPr>
        <w:br w:type="page"/>
      </w:r>
    </w:p>
    <w:p w14:paraId="7DA672F1" w14:textId="27E02B03" w:rsidR="00EF1BA6" w:rsidRDefault="00EF1BA6" w:rsidP="00EF1BA6">
      <w:pPr>
        <w:pStyle w:val="Heading3"/>
        <w:rPr>
          <w:lang w:eastAsia="en-AU"/>
        </w:rPr>
      </w:pPr>
      <w:r>
        <w:rPr>
          <w:lang w:eastAsia="en-AU"/>
        </w:rPr>
        <w:t>Results</w:t>
      </w:r>
    </w:p>
    <w:p w14:paraId="7594794A" w14:textId="77777777" w:rsidR="00EF1BA6" w:rsidRPr="00D07373" w:rsidRDefault="00EF1BA6" w:rsidP="00EF1BA6">
      <w:pPr>
        <w:rPr>
          <w:bCs/>
          <w:i/>
          <w:iCs/>
          <w:u w:val="single"/>
          <w:lang w:eastAsia="en-AU"/>
        </w:rPr>
      </w:pPr>
      <w:proofErr w:type="spellStart"/>
      <w:r w:rsidRPr="00D07373">
        <w:rPr>
          <w:bCs/>
          <w:i/>
          <w:iCs/>
          <w:u w:val="single"/>
          <w:lang w:eastAsia="en-AU"/>
        </w:rPr>
        <w:t>Ruppia</w:t>
      </w:r>
      <w:proofErr w:type="spellEnd"/>
      <w:r w:rsidRPr="00D07373">
        <w:rPr>
          <w:bCs/>
          <w:i/>
          <w:iCs/>
          <w:u w:val="single"/>
          <w:lang w:eastAsia="en-AU"/>
        </w:rPr>
        <w:t xml:space="preserve"> habitat</w:t>
      </w:r>
    </w:p>
    <w:p w14:paraId="5BFE01E5" w14:textId="4F9B2E40" w:rsidR="00EF1BA6" w:rsidRDefault="00EF1BA6" w:rsidP="00EF1BA6">
      <w:pPr>
        <w:rPr>
          <w:lang w:eastAsia="en-AU"/>
        </w:rPr>
      </w:pPr>
      <w:r>
        <w:rPr>
          <w:lang w:eastAsia="en-AU"/>
        </w:rPr>
        <w:t xml:space="preserve">The </w:t>
      </w:r>
      <w:proofErr w:type="spellStart"/>
      <w:r>
        <w:rPr>
          <w:i/>
          <w:iCs/>
          <w:lang w:eastAsia="en-AU"/>
        </w:rPr>
        <w:t>Ruppia</w:t>
      </w:r>
      <w:proofErr w:type="spellEnd"/>
      <w:r>
        <w:rPr>
          <w:i/>
          <w:iCs/>
          <w:lang w:eastAsia="en-AU"/>
        </w:rPr>
        <w:t xml:space="preserve"> </w:t>
      </w:r>
      <w:r>
        <w:rPr>
          <w:lang w:eastAsia="en-AU"/>
        </w:rPr>
        <w:t xml:space="preserve">ecological response model predicts habitat suitability of critical life stages, in response to light, depth, salinity and temperature, which in the end results in a combined probability of sexual life-cycle completion. The requirements for each life stage are quite different, and when they are superimposed together, the areas where life-cycle completion is most likely becomes apparent on the margins of the Coorong lagoons, and the shallow areas around </w:t>
      </w:r>
      <w:proofErr w:type="spellStart"/>
      <w:r>
        <w:rPr>
          <w:lang w:eastAsia="en-AU"/>
        </w:rPr>
        <w:t>Parnka</w:t>
      </w:r>
      <w:proofErr w:type="spellEnd"/>
      <w:r>
        <w:rPr>
          <w:lang w:eastAsia="en-AU"/>
        </w:rPr>
        <w:t xml:space="preserve"> Point (</w:t>
      </w:r>
      <w:r>
        <w:rPr>
          <w:lang w:eastAsia="en-AU"/>
        </w:rPr>
        <w:fldChar w:fldCharType="begin"/>
      </w:r>
      <w:r>
        <w:rPr>
          <w:lang w:eastAsia="en-AU"/>
        </w:rPr>
        <w:instrText xml:space="preserve"> REF _Ref63346019 \h </w:instrText>
      </w:r>
      <w:r>
        <w:rPr>
          <w:lang w:eastAsia="en-AU"/>
        </w:rPr>
      </w:r>
      <w:r>
        <w:rPr>
          <w:lang w:eastAsia="en-AU"/>
        </w:rPr>
        <w:fldChar w:fldCharType="separate"/>
      </w:r>
      <w:r w:rsidR="00CF2251">
        <w:t xml:space="preserve">Figure </w:t>
      </w:r>
      <w:r w:rsidR="00CF2251">
        <w:rPr>
          <w:noProof/>
        </w:rPr>
        <w:t>31</w:t>
      </w:r>
      <w:r>
        <w:rPr>
          <w:lang w:eastAsia="en-AU"/>
        </w:rPr>
        <w:fldChar w:fldCharType="end"/>
      </w:r>
      <w:r>
        <w:rPr>
          <w:lang w:eastAsia="en-AU"/>
        </w:rPr>
        <w:t xml:space="preserve">). By comparing the scenarios with and without environmental water, we note that there is a significant expansion of favourable habitat in the north of the South Lagoon, and along the South Lagoon margins, which is a priority area of </w:t>
      </w:r>
      <w:proofErr w:type="spellStart"/>
      <w:r w:rsidRPr="00D26AC0">
        <w:rPr>
          <w:i/>
          <w:iCs/>
          <w:lang w:eastAsia="en-AU"/>
        </w:rPr>
        <w:t>Ruppia</w:t>
      </w:r>
      <w:proofErr w:type="spellEnd"/>
      <w:r>
        <w:rPr>
          <w:lang w:eastAsia="en-AU"/>
        </w:rPr>
        <w:t xml:space="preserve"> restoration.</w:t>
      </w:r>
    </w:p>
    <w:p w14:paraId="3A9B8B54" w14:textId="769ADE21" w:rsidR="00EF1BA6" w:rsidRDefault="00B713AC" w:rsidP="00EF1BA6">
      <w:pPr>
        <w:rPr>
          <w:lang w:eastAsia="en-AU"/>
        </w:rPr>
      </w:pPr>
      <w:r>
        <w:rPr>
          <w:lang w:eastAsia="en-AU"/>
        </w:rPr>
        <w:t>The overall quality-weighted area of habitat (the suitable area weighted by the cells overall quality) that is able to complete a full sexual reproduction life-cycle, changes over the three years between approximately 25 km</w:t>
      </w:r>
      <w:r>
        <w:rPr>
          <w:szCs w:val="21"/>
          <w:vertAlign w:val="superscript"/>
          <w:lang w:eastAsia="en-AU"/>
        </w:rPr>
        <w:t>2</w:t>
      </w:r>
      <w:r>
        <w:rPr>
          <w:lang w:eastAsia="en-AU"/>
        </w:rPr>
        <w:t xml:space="preserve"> and 40 km</w:t>
      </w:r>
      <w:r>
        <w:rPr>
          <w:szCs w:val="21"/>
          <w:vertAlign w:val="superscript"/>
          <w:lang w:eastAsia="en-AU"/>
        </w:rPr>
        <w:t>2</w:t>
      </w:r>
      <w:r>
        <w:rPr>
          <w:lang w:eastAsia="en-AU"/>
        </w:rPr>
        <w:t>, and this appears to be mainly limited to the area suitable for successful flowering as the suitable area for plant growth is much higher (~150 km</w:t>
      </w:r>
      <w:r>
        <w:rPr>
          <w:szCs w:val="21"/>
          <w:vertAlign w:val="superscript"/>
          <w:lang w:eastAsia="en-AU"/>
        </w:rPr>
        <w:t>2</w:t>
      </w:r>
      <w:r>
        <w:rPr>
          <w:szCs w:val="21"/>
          <w:lang w:eastAsia="en-AU"/>
        </w:rPr>
        <w:t>)</w:t>
      </w:r>
      <w:r>
        <w:rPr>
          <w:lang w:eastAsia="en-AU"/>
        </w:rPr>
        <w:t xml:space="preserve"> </w:t>
      </w:r>
      <w:r w:rsidR="00EF1BA6">
        <w:rPr>
          <w:lang w:eastAsia="en-AU"/>
        </w:rPr>
        <w:t>(</w:t>
      </w:r>
      <w:r w:rsidR="00EF1BA6">
        <w:rPr>
          <w:lang w:eastAsia="en-AU"/>
        </w:rPr>
        <w:fldChar w:fldCharType="begin"/>
      </w:r>
      <w:r w:rsidR="00EF1BA6">
        <w:rPr>
          <w:lang w:eastAsia="en-AU"/>
        </w:rPr>
        <w:instrText xml:space="preserve"> REF _Ref63346029 \h </w:instrText>
      </w:r>
      <w:r w:rsidR="00EF1BA6">
        <w:rPr>
          <w:lang w:eastAsia="en-AU"/>
        </w:rPr>
      </w:r>
      <w:r w:rsidR="00EF1BA6">
        <w:rPr>
          <w:lang w:eastAsia="en-AU"/>
        </w:rPr>
        <w:fldChar w:fldCharType="separate"/>
      </w:r>
      <w:r w:rsidR="00CF2251">
        <w:t xml:space="preserve">Figure </w:t>
      </w:r>
      <w:r w:rsidR="00CF2251">
        <w:rPr>
          <w:noProof/>
        </w:rPr>
        <w:t>32</w:t>
      </w:r>
      <w:r w:rsidR="00EF1BA6">
        <w:rPr>
          <w:lang w:eastAsia="en-AU"/>
        </w:rPr>
        <w:fldChar w:fldCharType="end"/>
      </w:r>
      <w:r w:rsidR="00EF1BA6">
        <w:rPr>
          <w:lang w:eastAsia="en-AU"/>
        </w:rPr>
        <w:t xml:space="preserve">). </w:t>
      </w:r>
      <w:r>
        <w:rPr>
          <w:lang w:eastAsia="en-AU"/>
        </w:rPr>
        <w:t xml:space="preserve">When integrated over the entire Coorong and </w:t>
      </w:r>
      <w:r w:rsidR="000E3F52">
        <w:rPr>
          <w:lang w:eastAsia="en-AU"/>
        </w:rPr>
        <w:t>Murray M</w:t>
      </w:r>
      <w:r>
        <w:rPr>
          <w:lang w:eastAsia="en-AU"/>
        </w:rPr>
        <w:t>outh region, there was not a large difference between scenarios, and it was noted that suitable habitat area for adults appears to be slightly higher in the scenario which has no environmental water delivery</w:t>
      </w:r>
      <w:r w:rsidR="00EF1BA6">
        <w:rPr>
          <w:lang w:eastAsia="en-AU"/>
        </w:rPr>
        <w:t xml:space="preserve"> (</w:t>
      </w:r>
      <w:r w:rsidR="00EF1BA6">
        <w:rPr>
          <w:lang w:eastAsia="en-AU"/>
        </w:rPr>
        <w:fldChar w:fldCharType="begin"/>
      </w:r>
      <w:r w:rsidR="00EF1BA6">
        <w:rPr>
          <w:lang w:eastAsia="en-AU"/>
        </w:rPr>
        <w:instrText xml:space="preserve"> REF _Ref63346029 \h </w:instrText>
      </w:r>
      <w:r w:rsidR="00EF1BA6">
        <w:rPr>
          <w:lang w:eastAsia="en-AU"/>
        </w:rPr>
      </w:r>
      <w:r w:rsidR="00EF1BA6">
        <w:rPr>
          <w:lang w:eastAsia="en-AU"/>
        </w:rPr>
        <w:fldChar w:fldCharType="separate"/>
      </w:r>
      <w:r w:rsidR="00CF2251">
        <w:t xml:space="preserve">Figure </w:t>
      </w:r>
      <w:r w:rsidR="00CF2251">
        <w:rPr>
          <w:noProof/>
        </w:rPr>
        <w:t>32</w:t>
      </w:r>
      <w:r w:rsidR="00EF1BA6">
        <w:rPr>
          <w:lang w:eastAsia="en-AU"/>
        </w:rPr>
        <w:fldChar w:fldCharType="end"/>
      </w:r>
      <w:r w:rsidR="00EF1BA6">
        <w:rPr>
          <w:lang w:eastAsia="en-AU"/>
        </w:rPr>
        <w:t xml:space="preserve">), </w:t>
      </w:r>
      <w:r>
        <w:rPr>
          <w:lang w:eastAsia="en-AU"/>
        </w:rPr>
        <w:t xml:space="preserve">which was counter-intuitive considering the obvious benefits in the expansion of suitable habitat into the South Lagoon in </w:t>
      </w:r>
      <w:r>
        <w:rPr>
          <w:lang w:eastAsia="en-AU"/>
        </w:rPr>
        <w:fldChar w:fldCharType="begin"/>
      </w:r>
      <w:r>
        <w:rPr>
          <w:lang w:eastAsia="en-AU"/>
        </w:rPr>
        <w:instrText xml:space="preserve"> REF _Ref63346019 \h </w:instrText>
      </w:r>
      <w:r>
        <w:rPr>
          <w:lang w:eastAsia="en-AU"/>
        </w:rPr>
      </w:r>
      <w:r>
        <w:rPr>
          <w:lang w:eastAsia="en-AU"/>
        </w:rPr>
        <w:fldChar w:fldCharType="separate"/>
      </w:r>
      <w:r w:rsidR="00CF2251">
        <w:t xml:space="preserve">Figure </w:t>
      </w:r>
      <w:r w:rsidR="00CF2251">
        <w:rPr>
          <w:noProof/>
        </w:rPr>
        <w:t>31</w:t>
      </w:r>
      <w:r>
        <w:rPr>
          <w:lang w:eastAsia="en-AU"/>
        </w:rPr>
        <w:fldChar w:fldCharType="end"/>
      </w:r>
      <w:r>
        <w:rPr>
          <w:lang w:eastAsia="en-AU"/>
        </w:rPr>
        <w:t>. On closer inspection of these results it shows that this was due to freshening of salinity around the barrages</w:t>
      </w:r>
      <w:r w:rsidR="000E3F52">
        <w:rPr>
          <w:lang w:eastAsia="en-AU"/>
        </w:rPr>
        <w:t>,</w:t>
      </w:r>
      <w:r>
        <w:rPr>
          <w:lang w:eastAsia="en-AU"/>
        </w:rPr>
        <w:t xml:space="preserve"> which reduced the suitability of habitat in this location, though we note this is not a traditional area of </w:t>
      </w:r>
      <w:proofErr w:type="spellStart"/>
      <w:r w:rsidRPr="000E3F52">
        <w:rPr>
          <w:i/>
          <w:iCs/>
          <w:lang w:eastAsia="en-AU"/>
        </w:rPr>
        <w:t>Ruppia</w:t>
      </w:r>
      <w:proofErr w:type="spellEnd"/>
      <w:r>
        <w:rPr>
          <w:lang w:eastAsia="en-AU"/>
        </w:rPr>
        <w:t xml:space="preserve"> meadows and it is highlighted that in the area that is the target of management and restoration, there is a notable expansion of suitable area.</w:t>
      </w:r>
    </w:p>
    <w:p w14:paraId="7C3CE6E2" w14:textId="77777777" w:rsidR="00EF1BA6" w:rsidRDefault="00EF1BA6" w:rsidP="00EF1BA6">
      <w:pPr>
        <w:rPr>
          <w:lang w:eastAsia="en-AU"/>
        </w:rPr>
      </w:pPr>
    </w:p>
    <w:p w14:paraId="47727658" w14:textId="77777777" w:rsidR="00EF1BA6" w:rsidRDefault="00EF1BA6" w:rsidP="00EF1BA6">
      <w:pPr>
        <w:rPr>
          <w:lang w:eastAsia="en-AU"/>
        </w:rPr>
      </w:pPr>
    </w:p>
    <w:p w14:paraId="0D32ECC2" w14:textId="77777777" w:rsidR="00EF1BA6" w:rsidRDefault="00EF1BA6" w:rsidP="00EF1BA6">
      <w:pPr>
        <w:rPr>
          <w:lang w:eastAsia="en-AU"/>
        </w:rPr>
      </w:pPr>
    </w:p>
    <w:p w14:paraId="75B17955" w14:textId="77777777" w:rsidR="00EF1BA6" w:rsidRDefault="00EF1BA6" w:rsidP="00EF1BA6">
      <w:pPr>
        <w:spacing w:before="0" w:after="0"/>
        <w:jc w:val="left"/>
        <w:rPr>
          <w:lang w:eastAsia="en-AU"/>
        </w:rPr>
        <w:sectPr w:rsidR="00EF1BA6">
          <w:pgSz w:w="11906" w:h="16838"/>
          <w:pgMar w:top="1440" w:right="1440" w:bottom="1440" w:left="1440" w:header="708" w:footer="708" w:gutter="0"/>
          <w:cols w:space="720"/>
        </w:sectPr>
      </w:pPr>
    </w:p>
    <w:p w14:paraId="3488AE30" w14:textId="77777777" w:rsidR="00EF1BA6" w:rsidRDefault="00EF1BA6" w:rsidP="00EF1BA6">
      <w:pPr>
        <w:rPr>
          <w:lang w:eastAsia="en-AU"/>
        </w:rPr>
      </w:pPr>
      <w:r>
        <w:rPr>
          <w:noProof/>
          <w:lang w:val="en-US"/>
        </w:rPr>
        <mc:AlternateContent>
          <mc:Choice Requires="wps">
            <w:drawing>
              <wp:anchor distT="0" distB="0" distL="114300" distR="114300" simplePos="0" relativeHeight="251687941" behindDoc="0" locked="0" layoutInCell="1" allowOverlap="1" wp14:anchorId="0F985B71" wp14:editId="62F8B2CC">
                <wp:simplePos x="0" y="0"/>
                <wp:positionH relativeFrom="column">
                  <wp:posOffset>8007864</wp:posOffset>
                </wp:positionH>
                <wp:positionV relativeFrom="paragraph">
                  <wp:posOffset>2033835</wp:posOffset>
                </wp:positionV>
                <wp:extent cx="1181378" cy="1254797"/>
                <wp:effectExtent l="0" t="0" r="0" b="0"/>
                <wp:wrapNone/>
                <wp:docPr id="108" name="Text Box 108"/>
                <wp:cNvGraphicFramePr/>
                <a:graphic xmlns:a="http://schemas.openxmlformats.org/drawingml/2006/main">
                  <a:graphicData uri="http://schemas.microsoft.com/office/word/2010/wordprocessingShape">
                    <wps:wsp>
                      <wps:cNvSpPr txBox="1"/>
                      <wps:spPr>
                        <a:xfrm>
                          <a:off x="0" y="0"/>
                          <a:ext cx="1181378" cy="1254797"/>
                        </a:xfrm>
                        <a:prstGeom prst="rect">
                          <a:avLst/>
                        </a:prstGeom>
                        <a:noFill/>
                        <a:ln w="6350">
                          <a:noFill/>
                        </a:ln>
                      </wps:spPr>
                      <wps:txbx>
                        <w:txbxContent>
                          <w:p w14:paraId="3E5B2B80" w14:textId="77777777" w:rsidR="00A24026" w:rsidRPr="00DF253F" w:rsidRDefault="00A24026" w:rsidP="00EF1BA6">
                            <w:pPr>
                              <w:jc w:val="left"/>
                              <w:rPr>
                                <w:rFonts w:asciiTheme="majorHAnsi" w:hAnsiTheme="majorHAnsi" w:cstheme="majorHAnsi"/>
                                <w:sz w:val="16"/>
                                <w:szCs w:val="16"/>
                              </w:rPr>
                            </w:pPr>
                            <w:r>
                              <w:rPr>
                                <w:rFonts w:asciiTheme="majorHAnsi" w:hAnsiTheme="majorHAnsi" w:cstheme="majorHAnsi"/>
                                <w:sz w:val="16"/>
                                <w:szCs w:val="16"/>
                              </w:rPr>
                              <w:t>Loss of habitat in the South Lagoon without eWater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985B71" id="Text Box 108" o:spid="_x0000_s1038" type="#_x0000_t202" style="position:absolute;left:0;text-align:left;margin-left:630.55pt;margin-top:160.15pt;width:93pt;height:98.8pt;z-index:2516879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1/UMgIAAF4EAAAOAAAAZHJzL2Uyb0RvYy54bWysVFFv2jAQfp+0/2D5fSShUNqIULFWTJNQ&#10;WwmmPhvHJpFin2cbEvbrd3YIRd2epr04Z9/5zt/33WX+0KmGHIV1NeiCZqOUEqE5lLXeF/THdvXl&#10;jhLnmS5ZA1oU9CQcfVh8/jRvTS7GUEFTCkswiXZ5awpaeW/yJHG8Eoq5ERih0SnBKuZxa/dJaVmL&#10;2VWTjNP0NmnBlsYCF87h6VPvpIuYX0rB/YuUTnjSFBTf5uNq47oLa7KYs3xvmalqfn4G+4dXKFZr&#10;LHpJ9cQ8Iwdb/5FK1dyCA+lHHFQCUtZcRAyIJks/oNlUzIiIBclx5kKT+39p+fPx1ZK6RO1SlEoz&#10;hSJtRefJV+hIOEOGWuNyDNwYDPUdOjB6OHd4GIB30qrwRUgE/cj16cJvSMfDpewuu5lhGY6+bDyd&#10;zO5nIU/yft1Y578JUCQYBbUoYOSVHdfO96FDSKimYVU3TRSx0aQt6O3NNI0XLh5M3misEUD0jw2W&#10;73ZdD3s8INlBeUKAFvomcYavanzEmjn/yix2BWLCTvcvuMgGsBicLUoqsL/+dh7iUSz0UtJilxXU&#10;/TwwKyhpvmuU8T6bTEJbxs1kOhvjxl57dtcefVCPgI2c4UwZHs0Q75vBlBbUGw7EMlRFF9McaxfU&#10;D+aj73sfB4qL5TIGYSMa5td6Y3hIHWgNFG+7N2bNWQePEj7D0I8s/yBHH9sLsjx4kHXUKhDds3rm&#10;H5s4qn0euDAl1/sY9f5bWPwGAAD//wMAUEsDBBQABgAIAAAAIQC6aWXG4wAAAA0BAAAPAAAAZHJz&#10;L2Rvd25yZXYueG1sTI9NT8MwDIbvSPyHyEjcWNruk9J0mipNSAgOG7twSxuvrWic0mRb4dfjneD4&#10;2o9eP87Wo+3EGQffOlIQTyIQSJUzLdUKDu/bhxUIHzQZ3TlCBd/oYZ3f3mQ6Ne5COzzvQy24hHyq&#10;FTQh9KmUvmrQaj9xPRLvjm6wOnAcamkGfeFy28kkihbS6pb4QqN7LBqsPvcnq+Cl2L7pXZnY1U9X&#10;PL8eN/3X4WOu1P3duHkCEXAMfzBc9VkdcnYq3YmMFx3nZBHHzCqYJtEUxBWZzZY8KhXM4+UjyDyT&#10;/7/IfwEAAP//AwBQSwECLQAUAAYACAAAACEAtoM4kv4AAADhAQAAEwAAAAAAAAAAAAAAAAAAAAAA&#10;W0NvbnRlbnRfVHlwZXNdLnhtbFBLAQItABQABgAIAAAAIQA4/SH/1gAAAJQBAAALAAAAAAAAAAAA&#10;AAAAAC8BAABfcmVscy8ucmVsc1BLAQItABQABgAIAAAAIQDA71/UMgIAAF4EAAAOAAAAAAAAAAAA&#10;AAAAAC4CAABkcnMvZTJvRG9jLnhtbFBLAQItABQABgAIAAAAIQC6aWXG4wAAAA0BAAAPAAAAAAAA&#10;AAAAAAAAAIwEAABkcnMvZG93bnJldi54bWxQSwUGAAAAAAQABADzAAAAnAUAAAAA&#10;" filled="f" stroked="f" strokeweight=".5pt">
                <v:textbox>
                  <w:txbxContent>
                    <w:p w14:paraId="3E5B2B80" w14:textId="77777777" w:rsidR="00A24026" w:rsidRPr="00DF253F" w:rsidRDefault="00A24026" w:rsidP="00EF1BA6">
                      <w:pPr>
                        <w:jc w:val="left"/>
                        <w:rPr>
                          <w:rFonts w:asciiTheme="majorHAnsi" w:hAnsiTheme="majorHAnsi" w:cstheme="majorHAnsi"/>
                          <w:sz w:val="16"/>
                          <w:szCs w:val="16"/>
                        </w:rPr>
                      </w:pPr>
                      <w:r>
                        <w:rPr>
                          <w:rFonts w:asciiTheme="majorHAnsi" w:hAnsiTheme="majorHAnsi" w:cstheme="majorHAnsi"/>
                          <w:sz w:val="16"/>
                          <w:szCs w:val="16"/>
                        </w:rPr>
                        <w:t>Loss of habitat in the South Lagoon without eWater</w:t>
                      </w:r>
                    </w:p>
                  </w:txbxContent>
                </v:textbox>
              </v:shape>
            </w:pict>
          </mc:Fallback>
        </mc:AlternateContent>
      </w:r>
      <w:r>
        <w:rPr>
          <w:noProof/>
          <w:lang w:val="en-US"/>
        </w:rPr>
        <mc:AlternateContent>
          <mc:Choice Requires="wps">
            <w:drawing>
              <wp:anchor distT="0" distB="0" distL="114300" distR="114300" simplePos="0" relativeHeight="251688965" behindDoc="0" locked="0" layoutInCell="1" allowOverlap="1" wp14:anchorId="79F03783" wp14:editId="0F8EA304">
                <wp:simplePos x="0" y="0"/>
                <wp:positionH relativeFrom="column">
                  <wp:posOffset>8119907</wp:posOffset>
                </wp:positionH>
                <wp:positionV relativeFrom="paragraph">
                  <wp:posOffset>2595236</wp:posOffset>
                </wp:positionV>
                <wp:extent cx="254927" cy="220257"/>
                <wp:effectExtent l="25400" t="0" r="12065" b="34290"/>
                <wp:wrapNone/>
                <wp:docPr id="119" name="Straight Arrow Connector 119"/>
                <wp:cNvGraphicFramePr/>
                <a:graphic xmlns:a="http://schemas.openxmlformats.org/drawingml/2006/main">
                  <a:graphicData uri="http://schemas.microsoft.com/office/word/2010/wordprocessingShape">
                    <wps:wsp>
                      <wps:cNvCnPr/>
                      <wps:spPr>
                        <a:xfrm flipH="1">
                          <a:off x="0" y="0"/>
                          <a:ext cx="254927" cy="220257"/>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0A57FA05" id="_x0000_t32" coordsize="21600,21600" o:spt="32" o:oned="t" path="m,l21600,21600e" filled="f">
                <v:path arrowok="t" fillok="f" o:connecttype="none"/>
                <o:lock v:ext="edit" shapetype="t"/>
              </v:shapetype>
              <v:shape id="Straight Arrow Connector 119" o:spid="_x0000_s1026" type="#_x0000_t32" style="position:absolute;margin-left:639.35pt;margin-top:204.35pt;width:20.05pt;height:17.35pt;flip:x;z-index:2516889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eWJ6wEAALYDAAAOAAAAZHJzL2Uyb0RvYy54bWysU8uu0zAQ3SPxD5b3NGmg9xE1vUIthQWC&#10;Shc+YOrYiSW/NDZN+/eM3VBdYIfIwvJ45hzPHJ+sn87WsJPEqL3r+HJRcyad8L12Q8e/f9u/eeAs&#10;JnA9GO9kxy8y8qfN61frKbSy8aM3vURGJC62U+j4mFJoqyqKUVqICx+ko6TyaCFRiEPVI0zEbk3V&#10;1PVdNXnsA3ohY6TT3TXJN4VfKSnSV6WiTMx0nHpLZcWyHvNabdbQDghh1GJuA/6hCwva0aU3qh0k&#10;YD9Q/0VltUAfvUoL4W3lldJClhlommX9xzTPIwRZZiFxYrjJFP8frfhyOiDTPb3d8pEzB5Ye6Tkh&#10;6GFM7D2in9jWO0dCemS5hhSbQmwJuHUHnKMYDpjHPyu0TBkdPhFhEYRGZOei9+WmtzwnJuiwWb17&#10;bO45E5RqmrpZ3Wf26kqT6QLG9FF6y/Km43Hu69bQ9Qo4fY7pCvwFyGDn99oYOofWODZ1/O7tiiwg&#10;gGymDCTa2kCDRzdwBmYg/4qEpenoje4zOoMjDsetQXYC8tB+X9M3t/lbWb56B3G81pVULoPW6kQW&#10;N9p2/CGDZ9Ml0OaD61m6BJI8oQY3GDkzG5eRshh4Hi6LfpU5746+vxT1qxyROYpus5Gz+17GtH/5&#10;u21+AgAA//8DAFBLAwQUAAYACAAAACEA2baPauEAAAANAQAADwAAAGRycy9kb3ducmV2LnhtbEyP&#10;QU+DQBCF7yb+h82YeLNLC2kJsjTa1MSDMRF76HHLjoCys4TdUvTXO5z0Nm/m5c338u1kOzHi4FtH&#10;CpaLCARS5UxLtYLD+9NdCsIHTUZ3jlDBN3rYFtdXuc6Mu9AbjmWoBYeQz7SCJoQ+k9JXDVrtF65H&#10;4tuHG6wOLIdamkFfONx2chVFa2l1S/yh0T3uGqy+yrNV8Dju13v7/HOIPl+O9tXEJR1xp9TtzfRw&#10;DyLgFP7MMOMzOhTMdHJnMl50rFebdMNeBUk0D7MlXqZc58SrJE5AFrn836L4BQAA//8DAFBLAQIt&#10;ABQABgAIAAAAIQC2gziS/gAAAOEBAAATAAAAAAAAAAAAAAAAAAAAAABbQ29udGVudF9UeXBlc10u&#10;eG1sUEsBAi0AFAAGAAgAAAAhADj9If/WAAAAlAEAAAsAAAAAAAAAAAAAAAAALwEAAF9yZWxzLy5y&#10;ZWxzUEsBAi0AFAAGAAgAAAAhAFad5YnrAQAAtgMAAA4AAAAAAAAAAAAAAAAALgIAAGRycy9lMm9E&#10;b2MueG1sUEsBAi0AFAAGAAgAAAAhANm2j2rhAAAADQEAAA8AAAAAAAAAAAAAAAAARQQAAGRycy9k&#10;b3ducmV2LnhtbFBLBQYAAAAABAAEAPMAAABTBQAAAAA=&#10;" strokecolor="red" strokeweight=".5pt">
                <v:stroke endarrow="block" joinstyle="miter"/>
              </v:shape>
            </w:pict>
          </mc:Fallback>
        </mc:AlternateContent>
      </w:r>
      <w:r>
        <w:rPr>
          <w:noProof/>
          <w:lang w:val="en-US"/>
        </w:rPr>
        <mc:AlternateContent>
          <mc:Choice Requires="wps">
            <w:drawing>
              <wp:anchor distT="0" distB="0" distL="114300" distR="114300" simplePos="0" relativeHeight="251686917" behindDoc="0" locked="0" layoutInCell="1" allowOverlap="1" wp14:anchorId="6E107ED5" wp14:editId="09DE9BEE">
                <wp:simplePos x="0" y="0"/>
                <wp:positionH relativeFrom="column">
                  <wp:posOffset>3944546</wp:posOffset>
                </wp:positionH>
                <wp:positionV relativeFrom="paragraph">
                  <wp:posOffset>2335530</wp:posOffset>
                </wp:positionV>
                <wp:extent cx="1181378" cy="1254797"/>
                <wp:effectExtent l="0" t="0" r="0" b="0"/>
                <wp:wrapNone/>
                <wp:docPr id="107" name="Text Box 107"/>
                <wp:cNvGraphicFramePr/>
                <a:graphic xmlns:a="http://schemas.openxmlformats.org/drawingml/2006/main">
                  <a:graphicData uri="http://schemas.microsoft.com/office/word/2010/wordprocessingShape">
                    <wps:wsp>
                      <wps:cNvSpPr txBox="1"/>
                      <wps:spPr>
                        <a:xfrm>
                          <a:off x="0" y="0"/>
                          <a:ext cx="1181378" cy="1254797"/>
                        </a:xfrm>
                        <a:prstGeom prst="rect">
                          <a:avLst/>
                        </a:prstGeom>
                        <a:noFill/>
                        <a:ln w="6350">
                          <a:noFill/>
                        </a:ln>
                      </wps:spPr>
                      <wps:txbx>
                        <w:txbxContent>
                          <w:p w14:paraId="4AA0ACA9" w14:textId="77777777" w:rsidR="00A24026" w:rsidRPr="00DF253F" w:rsidRDefault="00A24026" w:rsidP="00EF1BA6">
                            <w:pPr>
                              <w:jc w:val="left"/>
                              <w:rPr>
                                <w:rFonts w:asciiTheme="majorHAnsi" w:hAnsiTheme="majorHAnsi" w:cstheme="majorHAnsi"/>
                                <w:sz w:val="16"/>
                                <w:szCs w:val="16"/>
                              </w:rPr>
                            </w:pPr>
                            <w:r w:rsidRPr="00DF253F">
                              <w:rPr>
                                <w:rFonts w:asciiTheme="majorHAnsi" w:hAnsiTheme="majorHAnsi" w:cstheme="majorHAnsi"/>
                                <w:sz w:val="16"/>
                                <w:szCs w:val="16"/>
                              </w:rPr>
                              <w:t xml:space="preserve">Expansion </w:t>
                            </w:r>
                            <w:r>
                              <w:rPr>
                                <w:rFonts w:asciiTheme="majorHAnsi" w:hAnsiTheme="majorHAnsi" w:cstheme="majorHAnsi"/>
                                <w:sz w:val="16"/>
                                <w:szCs w:val="16"/>
                              </w:rPr>
                              <w:t>in</w:t>
                            </w:r>
                            <w:r w:rsidRPr="00DF253F">
                              <w:rPr>
                                <w:rFonts w:asciiTheme="majorHAnsi" w:hAnsiTheme="majorHAnsi" w:cstheme="majorHAnsi"/>
                                <w:sz w:val="16"/>
                                <w:szCs w:val="16"/>
                              </w:rPr>
                              <w:t>to South Lagoon</w:t>
                            </w:r>
                            <w:r>
                              <w:rPr>
                                <w:rFonts w:asciiTheme="majorHAnsi" w:hAnsiTheme="majorHAnsi" w:cstheme="majorHAnsi"/>
                                <w:sz w:val="16"/>
                                <w:szCs w:val="16"/>
                              </w:rPr>
                              <w:t>, with eWater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107ED5" id="Text Box 107" o:spid="_x0000_s1039" type="#_x0000_t202" style="position:absolute;left:0;text-align:left;margin-left:310.6pt;margin-top:183.9pt;width:93pt;height:98.8pt;z-index:2516869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WmwNAIAAF4EAAAOAAAAZHJzL2Uyb0RvYy54bWysVF1v2yAUfZ+0/4B4X2zno2mtOFXWKtOk&#10;qq2UTH0mGGJLhsuAxM5+/S44TqNuT9Ne8IX7wT33HLy471RDjsK6GnRBs1FKidAcylrvC/pju/5y&#10;S4nzTJesAS0KehKO3i8/f1q0JhdjqKAphSVYRLu8NQWtvDd5kjheCcXcCIzQ6JRgFfO4tfuktKzF&#10;6qpJxml6k7RgS2OBC+fw9LF30mWsL6Xg/kVKJzxpCoq9+bjauO7CmiwXLN9bZqqan9tg/9CFYrXG&#10;Sy+lHpln5GDrP0qpmltwIP2Ig0pAypqLiAHRZOkHNJuKGRGx4HCcuYzJ/b+y/Pn4akldInfpnBLN&#10;FJK0FZ0nX6Ej4Qwn1BqXY+DGYKjv0IHRw7nDwwC8k1aFL0Ii6MdZny7zDeV4SMpus8kcFcHRl41n&#10;0/ldrJ+8pxvr/DcBigSjoBYJjHNlxyfnsRUMHULCbRrWddNEEhtN2oLeTGZpTLh4MKPRmBhA9M0G&#10;y3e7roc9GZDsoDwhQAu9SJzh6xqbeGLOvzKLqkBMqHT/gotsAC+Ds0VJBfbX385DPJKFXkpaVFlB&#10;3c8Ds4KS5rtGGu+y6TTIMm6ms/kYN/bas7v26IN6ABRyhm/K8GiGeN8MprSg3vBBrMKt6GKa490F&#10;9YP54Hvt44PiYrWKQShEw/yT3hgeSoexhhFvuzdmzZkHjxQ+w6BHln+go4/tCVkdPMg6chUG3U/1&#10;PH8UcaTw/ODCK7nex6j338LyNwAAAP//AwBQSwMEFAAGAAgAAAAhACr5an7iAAAACwEAAA8AAABk&#10;cnMvZG93bnJldi54bWxMj8FOg0AQhu8mvsNmTLzZpSiUIEvTkDQmRg+tvXgb2C0Q2Vlkty369I4n&#10;Pc7Ml3++v1jPdhBnM/nekYLlIgJhqHG6p1bB4W17l4HwAUnj4Mgo+DIe1uX1VYG5dhfamfM+tIJD&#10;yOeooAthzKX0TWcs+oUbDfHt6CaLgceplXrCC4fbQcZRlEqLPfGHDkdTdab52J+sgudq+4q7OrbZ&#10;91A9vRw34+fhPVHq9mbePIIIZg5/MPzqszqU7FS7E2kvBgVpvIwZVXCfrrgDE1m04k2tIEmTB5Bl&#10;If93KH8AAAD//wMAUEsBAi0AFAAGAAgAAAAhALaDOJL+AAAA4QEAABMAAAAAAAAAAAAAAAAAAAAA&#10;AFtDb250ZW50X1R5cGVzXS54bWxQSwECLQAUAAYACAAAACEAOP0h/9YAAACUAQAACwAAAAAAAAAA&#10;AAAAAAAvAQAAX3JlbHMvLnJlbHNQSwECLQAUAAYACAAAACEAr4VpsDQCAABeBAAADgAAAAAAAAAA&#10;AAAAAAAuAgAAZHJzL2Uyb0RvYy54bWxQSwECLQAUAAYACAAAACEAKvlqfuIAAAALAQAADwAAAAAA&#10;AAAAAAAAAACOBAAAZHJzL2Rvd25yZXYueG1sUEsFBgAAAAAEAAQA8wAAAJ0FAAAAAA==&#10;" filled="f" stroked="f" strokeweight=".5pt">
                <v:textbox>
                  <w:txbxContent>
                    <w:p w14:paraId="4AA0ACA9" w14:textId="77777777" w:rsidR="00A24026" w:rsidRPr="00DF253F" w:rsidRDefault="00A24026" w:rsidP="00EF1BA6">
                      <w:pPr>
                        <w:jc w:val="left"/>
                        <w:rPr>
                          <w:rFonts w:asciiTheme="majorHAnsi" w:hAnsiTheme="majorHAnsi" w:cstheme="majorHAnsi"/>
                          <w:sz w:val="16"/>
                          <w:szCs w:val="16"/>
                        </w:rPr>
                      </w:pPr>
                      <w:r w:rsidRPr="00DF253F">
                        <w:rPr>
                          <w:rFonts w:asciiTheme="majorHAnsi" w:hAnsiTheme="majorHAnsi" w:cstheme="majorHAnsi"/>
                          <w:sz w:val="16"/>
                          <w:szCs w:val="16"/>
                        </w:rPr>
                        <w:t xml:space="preserve">Expansion </w:t>
                      </w:r>
                      <w:r>
                        <w:rPr>
                          <w:rFonts w:asciiTheme="majorHAnsi" w:hAnsiTheme="majorHAnsi" w:cstheme="majorHAnsi"/>
                          <w:sz w:val="16"/>
                          <w:szCs w:val="16"/>
                        </w:rPr>
                        <w:t>in</w:t>
                      </w:r>
                      <w:r w:rsidRPr="00DF253F">
                        <w:rPr>
                          <w:rFonts w:asciiTheme="majorHAnsi" w:hAnsiTheme="majorHAnsi" w:cstheme="majorHAnsi"/>
                          <w:sz w:val="16"/>
                          <w:szCs w:val="16"/>
                        </w:rPr>
                        <w:t>to South Lagoon</w:t>
                      </w:r>
                      <w:r>
                        <w:rPr>
                          <w:rFonts w:asciiTheme="majorHAnsi" w:hAnsiTheme="majorHAnsi" w:cstheme="majorHAnsi"/>
                          <w:sz w:val="16"/>
                          <w:szCs w:val="16"/>
                        </w:rPr>
                        <w:t>, with eWater</w:t>
                      </w:r>
                    </w:p>
                  </w:txbxContent>
                </v:textbox>
              </v:shape>
            </w:pict>
          </mc:Fallback>
        </mc:AlternateContent>
      </w:r>
      <w:r>
        <w:rPr>
          <w:noProof/>
          <w:lang w:val="en-US"/>
        </w:rPr>
        <mc:AlternateContent>
          <mc:Choice Requires="wps">
            <w:drawing>
              <wp:anchor distT="0" distB="0" distL="114300" distR="114300" simplePos="0" relativeHeight="251685893" behindDoc="0" locked="0" layoutInCell="1" allowOverlap="1" wp14:anchorId="3C10B854" wp14:editId="687C3133">
                <wp:simplePos x="0" y="0"/>
                <wp:positionH relativeFrom="column">
                  <wp:posOffset>3849860</wp:posOffset>
                </wp:positionH>
                <wp:positionV relativeFrom="paragraph">
                  <wp:posOffset>2756549</wp:posOffset>
                </wp:positionV>
                <wp:extent cx="254927" cy="220257"/>
                <wp:effectExtent l="25400" t="0" r="12065" b="34290"/>
                <wp:wrapNone/>
                <wp:docPr id="106" name="Straight Arrow Connector 106"/>
                <wp:cNvGraphicFramePr/>
                <a:graphic xmlns:a="http://schemas.openxmlformats.org/drawingml/2006/main">
                  <a:graphicData uri="http://schemas.microsoft.com/office/word/2010/wordprocessingShape">
                    <wps:wsp>
                      <wps:cNvCnPr/>
                      <wps:spPr>
                        <a:xfrm flipH="1">
                          <a:off x="0" y="0"/>
                          <a:ext cx="254927" cy="220257"/>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08B7020" id="Straight Arrow Connector 106" o:spid="_x0000_s1026" type="#_x0000_t32" style="position:absolute;margin-left:303.15pt;margin-top:217.05pt;width:20.05pt;height:17.35pt;flip:x;z-index:2516858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JC66wEAALYDAAAOAAAAZHJzL2Uyb0RvYy54bWysU02P0zAQvSPxHyzfabKBdpeo6Qq1FA4I&#10;Ki38gKljJ5b8pbFp2n/P2M1WC9wQOVgez7znmeeX9ePZGnaSGLV3Hb9b1JxJJ3yv3dDxH9/3bx44&#10;iwlcD8Y72fGLjPxx8/rVegqtbPzoTS+REYmL7RQ6PqYU2qqKYpQW4sIH6SipPFpIFOJQ9QgTsVtT&#10;NXW9qiaPfUAvZIx0ursm+abwKyVF+qZUlImZjlNvqaxY1mNeq80a2gEhjFrMbcA/dGFBO7r0RrWD&#10;BOwn6r+orBboo1dpIbytvFJayDIDTXNX/zHN0whBlllInBhuMsX/Ryu+ng7IdE9vV684c2DpkZ4S&#10;gh7GxD4g+oltvXMkpEeWa0ixKcSWgFt3wDmK4YB5/LNCy5TR4TMRFkFoRHYuel9uestzYoIOm+W7&#10;9809Z4JSTVM3y/vMXl1pMl3AmD5Jb1nedDzOfd0aul4Bpy8xXYHPgAx2fq+NoXNojWNTx1dvl2QB&#10;AWQzZSDR1gYaPLqBMzAD+VckLE1Hb3Sf0RkccThuDbITkIf2+5q+uc3fyvLVO4jjta6kchm0Viey&#10;uNG24w8ZPJsugTYfXc/SJZDkCTW4wciZ2biMlMXA83BZ9KvMeXf0/aWoX+WIzFF0m42c3fcypv3L&#10;323zCwAA//8DAFBLAwQUAAYACAAAACEA0qrNy+AAAAALAQAADwAAAGRycy9kb3ducmV2LnhtbEyP&#10;wU7DMAyG70i8Q2QkbiwdraKqNJ1gGhIHhETZYcesMW2hcaom6wpPjznB0fan399fbhY3iBmn0HvS&#10;sF4lIJAab3tqNezfHm9yECEasmbwhBq+MMCmurwoTWH9mV5xrmMrOIRCYTR0MY6FlKHp0Jmw8iMS&#10;39795EzkcWqlncyZw90gb5NESWd64g+dGXHbYfNZn5yGh3mndu7pe598PB/ci01rOuBW6+ur5f4O&#10;RMQl/sHwq8/qULHT0Z/IBjFoUIlKGdWQpdkaBBMqUxmII29UnoOsSvm/Q/UDAAD//wMAUEsBAi0A&#10;FAAGAAgAAAAhALaDOJL+AAAA4QEAABMAAAAAAAAAAAAAAAAAAAAAAFtDb250ZW50X1R5cGVzXS54&#10;bWxQSwECLQAUAAYACAAAACEAOP0h/9YAAACUAQAACwAAAAAAAAAAAAAAAAAvAQAAX3JlbHMvLnJl&#10;bHNQSwECLQAUAAYACAAAACEAxqyQuusBAAC2AwAADgAAAAAAAAAAAAAAAAAuAgAAZHJzL2Uyb0Rv&#10;Yy54bWxQSwECLQAUAAYACAAAACEA0qrNy+AAAAALAQAADwAAAAAAAAAAAAAAAABFBAAAZHJzL2Rv&#10;d25yZXYueG1sUEsFBgAAAAAEAAQA8wAAAFIFAAAAAA==&#10;" strokecolor="red" strokeweight=".5pt">
                <v:stroke endarrow="block" joinstyle="miter"/>
              </v:shape>
            </w:pict>
          </mc:Fallback>
        </mc:AlternateContent>
      </w:r>
      <w:r>
        <w:rPr>
          <w:noProof/>
          <w:lang w:val="en-US"/>
        </w:rPr>
        <mc:AlternateContent>
          <mc:Choice Requires="wps">
            <w:drawing>
              <wp:anchor distT="0" distB="0" distL="114300" distR="114300" simplePos="0" relativeHeight="251684869" behindDoc="0" locked="0" layoutInCell="1" allowOverlap="1" wp14:anchorId="7F7864B0" wp14:editId="48BBBB1C">
                <wp:simplePos x="0" y="0"/>
                <wp:positionH relativeFrom="column">
                  <wp:posOffset>6312868</wp:posOffset>
                </wp:positionH>
                <wp:positionV relativeFrom="paragraph">
                  <wp:posOffset>904768</wp:posOffset>
                </wp:positionV>
                <wp:extent cx="533956" cy="307025"/>
                <wp:effectExtent l="0" t="25400" r="38100" b="23495"/>
                <wp:wrapNone/>
                <wp:docPr id="105" name="Straight Arrow Connector 105"/>
                <wp:cNvGraphicFramePr/>
                <a:graphic xmlns:a="http://schemas.openxmlformats.org/drawingml/2006/main">
                  <a:graphicData uri="http://schemas.microsoft.com/office/word/2010/wordprocessingShape">
                    <wps:wsp>
                      <wps:cNvCnPr/>
                      <wps:spPr>
                        <a:xfrm flipV="1">
                          <a:off x="0" y="0"/>
                          <a:ext cx="533956" cy="30702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26DCC146" id="Straight Arrow Connector 105" o:spid="_x0000_s1026" type="#_x0000_t32" style="position:absolute;margin-left:497.1pt;margin-top:71.25pt;width:42.05pt;height:24.2pt;flip:y;z-index:251684869;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709QEAAMoDAAAOAAAAZHJzL2Uyb0RvYy54bWysU02P0zAQvSPxHyzfabKtWpao6Qq1LBcE&#10;K+3CfdZxEkv+0oxp2n/P2M1WC9wQOVh2JvP83puX7d3JWXHUSCb4Vt4saim0V6Ezfmjl96f7d7dS&#10;UALfgQ1et/KsSd7t3r7ZTrHRyzAG22kUDOKpmWIrx5RiU1WkRu2AFiFqz8U+oIPERxyqDmFidGer&#10;ZV1vqilgFzEoTcRvD5ei3BX8vtcqfet70knYVjK3VFYs63Neq90WmgEhjkbNNOAfWDgwni+9Qh0g&#10;gfiJ5i8oZxQGCn1aqOCq0PdG6aKB1dzUf6h5HCHqooXNoXi1if4frPp6fEBhOp5dvZbCg+MhPSYE&#10;M4xJfEQMk9gH79nIgCJ/w45NkRpu3PsHnE8UHzDLP/XoRG9N/MGAxRCWKE7F7/PVb31KQvHL9Wr1&#10;Yb2RQnFpVb+vlwW9usBkuIiUPuvgRN60kmZeV0KXK+D4hRIT4caXhtzsw72xtgzYejG1crNacwQU&#10;cMx6C4m3LrJw8oMUYAfOr0pYSFOwpsvdGYfOtLcojsAR4uR1YXpiAVJYoMQFVlWebAwz+K010zkA&#10;jZfmUrokzpnEsbfGtfL22g1NAmM/+U6kc+QxJDTgB6tnZOszG11CPQvOg7hYn3fPoTuXiVT5xIEp&#10;hOZw50S+PvP+9S+4+wUAAP//AwBQSwMEFAAGAAgAAAAhAHJXwyXfAAAADAEAAA8AAABkcnMvZG93&#10;bnJldi54bWxMj0FOwzAQRfdI3MEaJHbUbmhIHeJUCNQDUBDt0o2HJEo8jmy3DbfHXcFuRv/pz5tq&#10;M9uRndGH3pGC5UIAQ2qc6alV8PmxfVgDC1GT0aMjVPCDATb17U2lS+Mu9I7nXWxZKqFQagVdjFPJ&#10;eWg6tDos3ISUsm/nrY5p9S03Xl9SuR15JsQTt7qndKHTE7522Ay7k1WwbYdi2eeNfPNiCF/7Q14M&#10;OCl1fze/PAOLOMc/GK76SR3q5HR0JzKBjQqkXGUJTcEqy4FdCVGsH4Ed0ySFBF5X/P8T9S8AAAD/&#10;/wMAUEsBAi0AFAAGAAgAAAAhALaDOJL+AAAA4QEAABMAAAAAAAAAAAAAAAAAAAAAAFtDb250ZW50&#10;X1R5cGVzXS54bWxQSwECLQAUAAYACAAAACEAOP0h/9YAAACUAQAACwAAAAAAAAAAAAAAAAAvAQAA&#10;X3JlbHMvLnJlbHNQSwECLQAUAAYACAAAACEAvrLO9PUBAADKAwAADgAAAAAAAAAAAAAAAAAuAgAA&#10;ZHJzL2Uyb0RvYy54bWxQSwECLQAUAAYACAAAACEAclfDJd8AAAAMAQAADwAAAAAAAAAAAAAAAABP&#10;BAAAZHJzL2Rvd25yZXYueG1sUEsFBgAAAAAEAAQA8wAAAFsFAAAAAA==&#10;" strokecolor="windowText" strokeweight=".5pt">
                <v:stroke endarrow="block" joinstyle="miter"/>
              </v:shape>
            </w:pict>
          </mc:Fallback>
        </mc:AlternateContent>
      </w:r>
      <w:r>
        <w:rPr>
          <w:noProof/>
          <w:lang w:val="en-US"/>
        </w:rPr>
        <mc:AlternateContent>
          <mc:Choice Requires="wps">
            <w:drawing>
              <wp:anchor distT="0" distB="0" distL="114300" distR="114300" simplePos="0" relativeHeight="251683845" behindDoc="0" locked="0" layoutInCell="1" allowOverlap="1" wp14:anchorId="6505EEB9" wp14:editId="2FA408F9">
                <wp:simplePos x="0" y="0"/>
                <wp:positionH relativeFrom="column">
                  <wp:posOffset>2182546</wp:posOffset>
                </wp:positionH>
                <wp:positionV relativeFrom="paragraph">
                  <wp:posOffset>1161355</wp:posOffset>
                </wp:positionV>
                <wp:extent cx="533956" cy="307025"/>
                <wp:effectExtent l="0" t="25400" r="38100" b="23495"/>
                <wp:wrapNone/>
                <wp:docPr id="96" name="Straight Arrow Connector 96"/>
                <wp:cNvGraphicFramePr/>
                <a:graphic xmlns:a="http://schemas.openxmlformats.org/drawingml/2006/main">
                  <a:graphicData uri="http://schemas.microsoft.com/office/word/2010/wordprocessingShape">
                    <wps:wsp>
                      <wps:cNvCnPr/>
                      <wps:spPr>
                        <a:xfrm flipV="1">
                          <a:off x="0" y="0"/>
                          <a:ext cx="533956" cy="30702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7D9FBBB8" id="Straight Arrow Connector 96" o:spid="_x0000_s1026" type="#_x0000_t32" style="position:absolute;margin-left:171.85pt;margin-top:91.45pt;width:42.05pt;height:24.2pt;flip:y;z-index:251683845;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fsF9AEAAMgDAAAOAAAAZHJzL2Uyb0RvYy54bWysU02P0zAQvSPxHyzfabKtWnajpivUslwQ&#10;rLQL91nHSSz5SzOmaf89YzdUC9wQOVi2x+953vPL9v7krDhqJBN8K28WtRTaq9AZP7Ty2/PDu1sp&#10;KIHvwAavW3nWJO93b99sp9joZRiD7TQKJvHUTLGVY0qxqSpSo3ZAixC152If0EHiJQ5VhzAxu7PV&#10;sq431RSwixiUJuLdw6Uod4W/77VKX/uedBK2ldxbKiOW8SWP1W4LzYAQR6PmNuAfunBgPF96pTpA&#10;AvEDzV9UzigMFPq0UMFVoe+N0kUDq7mp/1DzNELURQubQ/FqE/0/WvXl+IjCdK2820jhwfEbPSUE&#10;M4xJfEAMk9gH79nHgIKPsF9TpIZhe/+I84riI2bxpx6d6K2J3zkKxQ4WKE7F7fPVbX1KQvHmerW6&#10;W/Olikur+n29XGf26kKT6SJS+qSDE3nSSprbuvZzuQKOnyldgL8AGezDg7GW96GxXkyt3KzWHAAF&#10;HLLeQuKpiyyb/CAF2IHTqxKWpilY02V0BtOZ9hbFEThAnLsuTM8sQAoLlLjAqso3t/4bNLdzABov&#10;4FLKx6BxJnHorXGtvL2ioUlg7EffiXSO/AoJDfjB6pnZ+ozUJdKz4PwQF+vz7CV05/IiVV5xXIqX&#10;c7RzHl+vef76B9z9BAAA//8DAFBLAwQUAAYACAAAACEAT3dIDN8AAAALAQAADwAAAGRycy9kb3du&#10;cmV2LnhtbEyPy07DMBBF90j8gzVI7KjzaEkb4lQI1A+gINqlGw9JlHgc2W4b/p5hBcvRPbpzbrWd&#10;7Sgu6EPvSEG6SEAgNc701Cr4eN89rEGEqMno0REq+MYA2/r2ptKlcVd6w8s+toJLKJRaQRfjVEoZ&#10;mg6tDgs3IXH25bzVkU/fSuP1lcvtKLMkeZRW98QfOj3hS4fNsD9bBbt2KNJ+1WxefTKEz8NxVQw4&#10;KXV/Nz8/gYg4xz8YfvVZHWp2OrkzmSBGBfkyLxjlYJ1tQDCxzAoec1KQ5WkOsq7k/w31DwAAAP//&#10;AwBQSwECLQAUAAYACAAAACEAtoM4kv4AAADhAQAAEwAAAAAAAAAAAAAAAAAAAAAAW0NvbnRlbnRf&#10;VHlwZXNdLnhtbFBLAQItABQABgAIAAAAIQA4/SH/1gAAAJQBAAALAAAAAAAAAAAAAAAAAC8BAABf&#10;cmVscy8ucmVsc1BLAQItABQABgAIAAAAIQDKUfsF9AEAAMgDAAAOAAAAAAAAAAAAAAAAAC4CAABk&#10;cnMvZTJvRG9jLnhtbFBLAQItABQABgAIAAAAIQBPd0gM3wAAAAsBAAAPAAAAAAAAAAAAAAAAAE4E&#10;AABkcnMvZG93bnJldi54bWxQSwUGAAAAAAQABADzAAAAWgUAAAAA&#10;" strokecolor="windowText" strokeweight=".5pt">
                <v:stroke endarrow="block" joinstyle="miter"/>
              </v:shape>
            </w:pict>
          </mc:Fallback>
        </mc:AlternateContent>
      </w:r>
      <w:r>
        <w:rPr>
          <w:noProof/>
          <w:lang w:val="en-US"/>
        </w:rPr>
        <mc:AlternateContent>
          <mc:Choice Requires="wps">
            <w:drawing>
              <wp:anchor distT="0" distB="0" distL="114300" distR="114300" simplePos="0" relativeHeight="251682821" behindDoc="0" locked="0" layoutInCell="1" allowOverlap="1" wp14:anchorId="42F90329" wp14:editId="65FB1967">
                <wp:simplePos x="0" y="0"/>
                <wp:positionH relativeFrom="column">
                  <wp:posOffset>4347210</wp:posOffset>
                </wp:positionH>
                <wp:positionV relativeFrom="paragraph">
                  <wp:posOffset>-46355</wp:posOffset>
                </wp:positionV>
                <wp:extent cx="588010" cy="408940"/>
                <wp:effectExtent l="0" t="0" r="2540" b="0"/>
                <wp:wrapNone/>
                <wp:docPr id="117" name="Text Box 117"/>
                <wp:cNvGraphicFramePr/>
                <a:graphic xmlns:a="http://schemas.openxmlformats.org/drawingml/2006/main">
                  <a:graphicData uri="http://schemas.microsoft.com/office/word/2010/wordprocessingShape">
                    <wps:wsp>
                      <wps:cNvSpPr txBox="1"/>
                      <wps:spPr>
                        <a:xfrm>
                          <a:off x="0" y="0"/>
                          <a:ext cx="588010" cy="408940"/>
                        </a:xfrm>
                        <a:prstGeom prst="rect">
                          <a:avLst/>
                        </a:prstGeom>
                        <a:solidFill>
                          <a:sysClr val="window" lastClr="FFFFFF"/>
                        </a:solidFill>
                        <a:ln w="6350">
                          <a:noFill/>
                        </a:ln>
                      </wps:spPr>
                      <wps:txbx>
                        <w:txbxContent>
                          <w:p w14:paraId="110C9D19" w14:textId="77777777" w:rsidR="00A24026" w:rsidRDefault="00A24026" w:rsidP="00F8184E">
                            <w:pPr>
                              <w:pStyle w:val="Captions"/>
                            </w:pPr>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2F90329" id="Text Box 117" o:spid="_x0000_s1040" type="#_x0000_t202" style="position:absolute;left:0;text-align:left;margin-left:342.3pt;margin-top:-3.65pt;width:46.3pt;height:32.2pt;z-index:2516828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wvKTgIAAJUEAAAOAAAAZHJzL2Uyb0RvYy54bWysVE1vGjEQvVfqf7B8LwsUEoJYIkpEVQkl&#10;kUKVs/F6YSWvx7UNu/TX99kLSZr2VJWDGc+M5+O9mZ3dtrVmR+V8RSbng16fM2UkFZXZ5fz7ZvVp&#10;wpkPwhRCk1E5PynPb+cfP8waO1VD2pMulGMIYvy0sTnfh2CnWeblXtXC98gqA2NJrhYBV7fLCica&#10;RK91Nuz3r7KGXGEdSeU9tHedkc9T/LJUMjyUpVeB6ZyjtpBOl85tPLP5TEx3Tth9Jc9liH+oohaV&#10;QdKXUHciCHZw1R+h6ko68lSGnqQ6o7KspEo9oJtB/103T3thVeoF4Hj7ApP/f2Hl/fHRsaoAd4Nr&#10;zoyoQdJGtYF9oZZFHRBqrJ/C8cnCNbQwwPui91DGxtvS1fEfLTHYgfXpBd8YTkI5nkzQJGcSplF/&#10;cjNK+Gevj63z4auimkUh5w70JVTFce0DCoHrxSXm8qSrYlVpnS4nv9SOHQWYxoAU1HCmhQ9Q5nyV&#10;frFmhPjtmTasyfnV53E/ZTIU43V+2sA99t71GKXQbtsOrdEFgC0VJ+DiqJstb+WqQvVrpH4UDsOE&#10;hrEg4QFHqQnJ6Cxxtif382/66A+OYeWswXDm3P84CKfQ0TcD9m8GI2DHQrqMxtdDXNxby/atxRzq&#10;JQGVAVbRyiRG/6AvYumofsYeLWJWmISRyJ3zcBGXoVsZ7KFUi0VywvxaEdbmycoYOlIQudm0z8LZ&#10;M4EBzN/TZYzF9B2PnW98aWhxCFRWieQIdIfqGX/MfiLuvKdxud7ek9fr12T+CwAA//8DAFBLAwQU&#10;AAYACAAAACEAMIEdT+IAAAAJAQAADwAAAGRycy9kb3ducmV2LnhtbEyPUUvDMBSF3wX/Q7iCb1u6&#10;qc2ovR0iig4s0yr4mjXXttokJcnWul9vfNLHy/k457v5etI9O5DznTUIi3kCjExtVWcahLfX+9kK&#10;mA/SKNlbQwjf5GFdnJ7kMlN2NC90qELDYonxmURoQxgyzn3dkpZ+bgcyMfuwTssQT9dw5eQYy3XP&#10;l0mSci07ExdaOdBtS/VXtdcI72P14Labzefz8Fget8eqfKK7EvH8bLq5BhZoCn8w/OpHdSii087u&#10;jfKsR0hXl2lEEWbiAlgEhBBLYDuEK7EAXuT8/wfFDwAAAP//AwBQSwECLQAUAAYACAAAACEAtoM4&#10;kv4AAADhAQAAEwAAAAAAAAAAAAAAAAAAAAAAW0NvbnRlbnRfVHlwZXNdLnhtbFBLAQItABQABgAI&#10;AAAAIQA4/SH/1gAAAJQBAAALAAAAAAAAAAAAAAAAAC8BAABfcmVscy8ucmVsc1BLAQItABQABgAI&#10;AAAAIQBJ6wvKTgIAAJUEAAAOAAAAAAAAAAAAAAAAAC4CAABkcnMvZTJvRG9jLnhtbFBLAQItABQA&#10;BgAIAAAAIQAwgR1P4gAAAAkBAAAPAAAAAAAAAAAAAAAAAKgEAABkcnMvZG93bnJldi54bWxQSwUG&#10;AAAAAAQABADzAAAAtwUAAAAA&#10;" fillcolor="window" stroked="f" strokeweight=".5pt">
                <v:textbox>
                  <w:txbxContent>
                    <w:p w14:paraId="110C9D19" w14:textId="77777777" w:rsidR="00A24026" w:rsidRDefault="00A24026" w:rsidP="00F8184E">
                      <w:pPr>
                        <w:pStyle w:val="Captions"/>
                      </w:pPr>
                      <w:r>
                        <w:t>(b)</w:t>
                      </w:r>
                    </w:p>
                  </w:txbxContent>
                </v:textbox>
              </v:shape>
            </w:pict>
          </mc:Fallback>
        </mc:AlternateContent>
      </w:r>
      <w:r>
        <w:rPr>
          <w:noProof/>
          <w:lang w:val="en-US"/>
        </w:rPr>
        <mc:AlternateContent>
          <mc:Choice Requires="wps">
            <w:drawing>
              <wp:anchor distT="0" distB="0" distL="114300" distR="114300" simplePos="0" relativeHeight="251681797" behindDoc="0" locked="0" layoutInCell="1" allowOverlap="1" wp14:anchorId="6D0A78A1" wp14:editId="45C2AE20">
                <wp:simplePos x="0" y="0"/>
                <wp:positionH relativeFrom="column">
                  <wp:posOffset>31750</wp:posOffset>
                </wp:positionH>
                <wp:positionV relativeFrom="paragraph">
                  <wp:posOffset>-44450</wp:posOffset>
                </wp:positionV>
                <wp:extent cx="588010" cy="408940"/>
                <wp:effectExtent l="0" t="0" r="2540" b="0"/>
                <wp:wrapNone/>
                <wp:docPr id="114" name="Text Box 114"/>
                <wp:cNvGraphicFramePr/>
                <a:graphic xmlns:a="http://schemas.openxmlformats.org/drawingml/2006/main">
                  <a:graphicData uri="http://schemas.microsoft.com/office/word/2010/wordprocessingShape">
                    <wps:wsp>
                      <wps:cNvSpPr txBox="1"/>
                      <wps:spPr>
                        <a:xfrm>
                          <a:off x="0" y="0"/>
                          <a:ext cx="588010" cy="408940"/>
                        </a:xfrm>
                        <a:prstGeom prst="rect">
                          <a:avLst/>
                        </a:prstGeom>
                        <a:solidFill>
                          <a:sysClr val="window" lastClr="FFFFFF"/>
                        </a:solidFill>
                        <a:ln w="6350">
                          <a:noFill/>
                        </a:ln>
                      </wps:spPr>
                      <wps:txbx>
                        <w:txbxContent>
                          <w:p w14:paraId="38EBB6B2" w14:textId="77777777" w:rsidR="00A24026" w:rsidRDefault="00A24026" w:rsidP="00F8184E">
                            <w:pPr>
                              <w:pStyle w:val="Captions"/>
                            </w:pPr>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D0A78A1" id="Text Box 114" o:spid="_x0000_s1041" type="#_x0000_t202" style="position:absolute;left:0;text-align:left;margin-left:2.5pt;margin-top:-3.5pt;width:46.3pt;height:32.2pt;z-index:2516817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O9pTwIAAJUEAAAOAAAAZHJzL2Uyb0RvYy54bWysVE1vGjEQvVfqf7B8LwsUUrJiiWgiqkoo&#10;iUSinI3XG1byelzbsEt/fZ+9kKRpT1U5mPHMeD7em9n5VddodlDO12QKPhoMOVNGUlmb54I/Pqw+&#10;zTjzQZhSaDKq4Efl+dXi44d5a3M1ph3pUjmGIMbnrS34LgSbZ5mXO9UIPyCrDIwVuUYEXN1zVjrR&#10;Inqjs/FweJG15ErrSCrvob3pjXyR4leVkuGuqrwKTBcctYV0unRu45kt5iJ/dsLuankqQ/xDFY2o&#10;DZK+hLoRQbC9q/8I1dTSkacqDCQ1GVVVLVXqAd2Mhu+62eyEVakXgOPtC0z+/4WVt4d7x+oS3I0m&#10;nBnRgKQH1QX2lToWdUCotT6H48bCNXQwwPus91DGxrvKNfEfLTHYgfXxBd8YTkI5nc3QJGcSpslw&#10;djlJ+Gevj63z4ZuihkWh4A70JVTFYe0DCoHr2SXm8qTrclVrnS5Hf60dOwgwjQEpqeVMCx+gLPgq&#10;/WLNCPHbM21YW/CLz9NhymQoxuv9tIF77L3vMUqh23Y9WtMzAFsqj8DFUT9b3spVjerXSH0vHIYJ&#10;DWNBwh2OShOS0UnibEfu59/00R8cw8pZi+EsuP+xF06ho+8G7F+OJsCOhXSZTL+McXFvLdu3FrNv&#10;rgmojLCKViYx+gd9FitHzRP2aBmzwiSMRO6Ch7N4HfqVwR5KtVwmJ8yvFWFtNlbG0JGCyM1D9ySc&#10;PREYwPwtncdY5O947H3jS0PLfaCqTiRHoHtUT/hj9hNxpz2Ny/X2nrxevyaLXwAAAP//AwBQSwME&#10;FAAGAAgAAAAhAK4bB97fAAAABgEAAA8AAABkcnMvZG93bnJldi54bWxMj0FPwzAMhe9I/IfISNy2&#10;FAQrlKYTQiCYtGpQkLhmjWkLjVMl2Vr26zEnOFnPz3rvc76cbC/26EPnSMHZPAGBVDvTUaPg7fVh&#10;dgUiRE1G945QwTcGWBbHR7nOjBvpBfdVbASHUMi0gjbGIZMy1C1aHeZuQGLvw3mrI0vfSOP1yOG2&#10;l+dJspBWd8QNrR7wrsX6q9pZBe9j9eg3q9Xn8/BUHjaHqlzjfanU6cl0ewMi4hT/juEXn9GhYKat&#10;25EJoldwyZ9EBbOUJ9vX6QLEltfpBcgil//xix8AAAD//wMAUEsBAi0AFAAGAAgAAAAhALaDOJL+&#10;AAAA4QEAABMAAAAAAAAAAAAAAAAAAAAAAFtDb250ZW50X1R5cGVzXS54bWxQSwECLQAUAAYACAAA&#10;ACEAOP0h/9YAAACUAQAACwAAAAAAAAAAAAAAAAAvAQAAX3JlbHMvLnJlbHNQSwECLQAUAAYACAAA&#10;ACEA6rTvaU8CAACVBAAADgAAAAAAAAAAAAAAAAAuAgAAZHJzL2Uyb0RvYy54bWxQSwECLQAUAAYA&#10;CAAAACEArhsH3t8AAAAGAQAADwAAAAAAAAAAAAAAAACpBAAAZHJzL2Rvd25yZXYueG1sUEsFBgAA&#10;AAAEAAQA8wAAALUFAAAAAA==&#10;" fillcolor="window" stroked="f" strokeweight=".5pt">
                <v:textbox>
                  <w:txbxContent>
                    <w:p w14:paraId="38EBB6B2" w14:textId="77777777" w:rsidR="00A24026" w:rsidRDefault="00A24026" w:rsidP="00F8184E">
                      <w:pPr>
                        <w:pStyle w:val="Captions"/>
                      </w:pPr>
                      <w:r>
                        <w:t>(a)</w:t>
                      </w:r>
                    </w:p>
                  </w:txbxContent>
                </v:textbox>
              </v:shape>
            </w:pict>
          </mc:Fallback>
        </mc:AlternateContent>
      </w:r>
      <w:r>
        <w:rPr>
          <w:lang w:eastAsia="en-AU"/>
        </w:rPr>
        <w:t xml:space="preserve">     </w:t>
      </w:r>
      <w:r>
        <w:rPr>
          <w:noProof/>
          <w:lang w:val="en-US"/>
        </w:rPr>
        <w:drawing>
          <wp:inline distT="0" distB="0" distL="0" distR="0" wp14:anchorId="589EE25B" wp14:editId="625EAA01">
            <wp:extent cx="3966210" cy="4405630"/>
            <wp:effectExtent l="0" t="0" r="0" b="0"/>
            <wp:docPr id="59" name="Picture 5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iagram&#10;&#10;Description automatically generated"/>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3966210" cy="4405630"/>
                    </a:xfrm>
                    <a:prstGeom prst="rect">
                      <a:avLst/>
                    </a:prstGeom>
                    <a:noFill/>
                    <a:ln>
                      <a:noFill/>
                    </a:ln>
                  </pic:spPr>
                </pic:pic>
              </a:graphicData>
            </a:graphic>
          </wp:inline>
        </w:drawing>
      </w:r>
      <w:r>
        <w:rPr>
          <w:lang w:eastAsia="en-AU"/>
        </w:rPr>
        <w:t xml:space="preserve">       </w:t>
      </w:r>
      <w:r>
        <w:rPr>
          <w:noProof/>
          <w:lang w:val="en-US"/>
        </w:rPr>
        <w:drawing>
          <wp:inline distT="0" distB="0" distL="0" distR="0" wp14:anchorId="64ACC63F" wp14:editId="533E4F94">
            <wp:extent cx="4084955" cy="4548505"/>
            <wp:effectExtent l="0" t="0" r="0" b="4445"/>
            <wp:docPr id="54" name="Picture 54" descr="A picture containing text, smoke, long, colorfu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A picture containing text, smoke, long, colorful&#10;&#10;Description automatically generated"/>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4084955" cy="4548505"/>
                    </a:xfrm>
                    <a:prstGeom prst="rect">
                      <a:avLst/>
                    </a:prstGeom>
                    <a:noFill/>
                    <a:ln>
                      <a:noFill/>
                    </a:ln>
                  </pic:spPr>
                </pic:pic>
              </a:graphicData>
            </a:graphic>
          </wp:inline>
        </w:drawing>
      </w:r>
    </w:p>
    <w:p w14:paraId="7A8F2819" w14:textId="221057F1" w:rsidR="00EF1BA6" w:rsidRPr="00A229CC" w:rsidRDefault="00EF1BA6" w:rsidP="00EF1BA6">
      <w:pPr>
        <w:pStyle w:val="Caption"/>
      </w:pPr>
      <w:bookmarkStart w:id="185" w:name="_Ref63346019"/>
      <w:bookmarkStart w:id="186" w:name="_Toc69387695"/>
      <w:r>
        <w:t xml:space="preserve">Figure </w:t>
      </w:r>
      <w:r w:rsidR="006C38E9">
        <w:fldChar w:fldCharType="begin"/>
      </w:r>
      <w:r w:rsidR="006C38E9">
        <w:instrText xml:space="preserve"> SEQ Figure \* ARABIC </w:instrText>
      </w:r>
      <w:r w:rsidR="006C38E9">
        <w:fldChar w:fldCharType="separate"/>
      </w:r>
      <w:r w:rsidR="00996426">
        <w:rPr>
          <w:noProof/>
        </w:rPr>
        <w:t>31</w:t>
      </w:r>
      <w:r w:rsidR="006C38E9">
        <w:rPr>
          <w:noProof/>
        </w:rPr>
        <w:fldChar w:fldCharType="end"/>
      </w:r>
      <w:bookmarkEnd w:id="185"/>
      <w:r>
        <w:t xml:space="preserve">. Comparison of </w:t>
      </w:r>
      <w:proofErr w:type="spellStart"/>
      <w:r w:rsidRPr="00C86AD1">
        <w:rPr>
          <w:i/>
          <w:iCs/>
        </w:rPr>
        <w:t>Ruppia</w:t>
      </w:r>
      <w:proofErr w:type="spellEnd"/>
      <w:r>
        <w:t xml:space="preserve"> HSI (habitat suitability index) values under (a) “All water” (base-case) conditions and (b) no environmental water since 2017 (No eWater 3yrs). The index is computed for each stage of the </w:t>
      </w:r>
      <w:proofErr w:type="gramStart"/>
      <w:r>
        <w:t>life-cycle</w:t>
      </w:r>
      <w:proofErr w:type="gramEnd"/>
      <w:r>
        <w:t xml:space="preserve">, and the overall suitability is based on where all life-stage requirements are met. More saline conditions in </w:t>
      </w:r>
      <w:r w:rsidR="00826117">
        <w:t>‘no eWater’ s</w:t>
      </w:r>
      <w:r>
        <w:t>cenario leads to a loss of good habitat in the South Lagoon that meets the requirements of all life-stages.</w:t>
      </w:r>
      <w:bookmarkEnd w:id="186"/>
    </w:p>
    <w:p w14:paraId="61023DEB" w14:textId="77777777" w:rsidR="00EF1BA6" w:rsidRDefault="00EF1BA6" w:rsidP="00EF1BA6">
      <w:pPr>
        <w:rPr>
          <w:lang w:eastAsia="en-AU"/>
        </w:rPr>
      </w:pPr>
    </w:p>
    <w:p w14:paraId="2E0E3D82" w14:textId="77777777" w:rsidR="00EF1BA6" w:rsidRDefault="00EF1BA6" w:rsidP="00EF1BA6">
      <w:pPr>
        <w:spacing w:before="0" w:after="0"/>
        <w:jc w:val="left"/>
        <w:rPr>
          <w:lang w:eastAsia="en-AU"/>
        </w:rPr>
        <w:sectPr w:rsidR="00EF1BA6">
          <w:pgSz w:w="16820" w:h="11900" w:orient="landscape"/>
          <w:pgMar w:top="1440" w:right="1440" w:bottom="1440" w:left="1440" w:header="708" w:footer="708" w:gutter="0"/>
          <w:cols w:space="708"/>
        </w:sectPr>
      </w:pPr>
    </w:p>
    <w:p w14:paraId="735A7599" w14:textId="0796F9D9" w:rsidR="00EF1BA6" w:rsidRDefault="00EF1BA6" w:rsidP="00EF1BA6">
      <w:pPr>
        <w:rPr>
          <w:lang w:eastAsia="en-AU"/>
        </w:rPr>
      </w:pPr>
      <w:r>
        <w:rPr>
          <w:lang w:eastAsia="en-AU"/>
        </w:rPr>
        <w:t xml:space="preserve">The performance of seed production and overall sexual reproduction is moderately better in 2018-19 and 2019-20 with environmental flows (as seen in the “All water” and “No </w:t>
      </w:r>
      <w:proofErr w:type="spellStart"/>
      <w:r>
        <w:rPr>
          <w:lang w:eastAsia="en-AU"/>
        </w:rPr>
        <w:t>eWater</w:t>
      </w:r>
      <w:proofErr w:type="spellEnd"/>
      <w:r>
        <w:rPr>
          <w:lang w:eastAsia="en-AU"/>
        </w:rPr>
        <w:t xml:space="preserve">” simulations: </w:t>
      </w:r>
      <w:r>
        <w:rPr>
          <w:lang w:eastAsia="en-AU"/>
        </w:rPr>
        <w:fldChar w:fldCharType="begin"/>
      </w:r>
      <w:r>
        <w:rPr>
          <w:lang w:eastAsia="en-AU"/>
        </w:rPr>
        <w:instrText xml:space="preserve"> REF _Ref63346019 \h </w:instrText>
      </w:r>
      <w:r>
        <w:rPr>
          <w:lang w:eastAsia="en-AU"/>
        </w:rPr>
      </w:r>
      <w:r>
        <w:rPr>
          <w:lang w:eastAsia="en-AU"/>
        </w:rPr>
        <w:fldChar w:fldCharType="separate"/>
      </w:r>
      <w:r w:rsidR="00CF2251">
        <w:t xml:space="preserve">Figure </w:t>
      </w:r>
      <w:r w:rsidR="00CF2251">
        <w:rPr>
          <w:noProof/>
        </w:rPr>
        <w:t>31</w:t>
      </w:r>
      <w:r>
        <w:rPr>
          <w:lang w:eastAsia="en-AU"/>
        </w:rPr>
        <w:fldChar w:fldCharType="end"/>
      </w:r>
      <w:r>
        <w:rPr>
          <w:lang w:eastAsia="en-AU"/>
        </w:rPr>
        <w:t>).</w:t>
      </w:r>
    </w:p>
    <w:p w14:paraId="705E5275" w14:textId="77777777" w:rsidR="00EF1BA6" w:rsidRDefault="00EF1BA6" w:rsidP="00EF1BA6">
      <w:pPr>
        <w:rPr>
          <w:lang w:eastAsia="en-AU"/>
        </w:rPr>
      </w:pPr>
      <w:r>
        <w:rPr>
          <w:noProof/>
          <w:lang w:val="en-US"/>
        </w:rPr>
        <w:drawing>
          <wp:inline distT="0" distB="0" distL="0" distR="0" wp14:anchorId="187FC1CD" wp14:editId="783A9190">
            <wp:extent cx="6100868" cy="2695575"/>
            <wp:effectExtent l="0" t="0" r="0" b="0"/>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 name="Picture 1054"/>
                    <pic:cNvPicPr/>
                  </pic:nvPicPr>
                  <pic:blipFill>
                    <a:blip r:embed="rId81" cstate="email">
                      <a:extLst>
                        <a:ext uri="{28A0092B-C50C-407E-A947-70E740481C1C}">
                          <a14:useLocalDpi xmlns:a14="http://schemas.microsoft.com/office/drawing/2010/main"/>
                        </a:ext>
                      </a:extLst>
                    </a:blip>
                    <a:stretch>
                      <a:fillRect/>
                    </a:stretch>
                  </pic:blipFill>
                  <pic:spPr>
                    <a:xfrm>
                      <a:off x="0" y="0"/>
                      <a:ext cx="6101291" cy="2695762"/>
                    </a:xfrm>
                    <a:prstGeom prst="rect">
                      <a:avLst/>
                    </a:prstGeom>
                  </pic:spPr>
                </pic:pic>
              </a:graphicData>
            </a:graphic>
          </wp:inline>
        </w:drawing>
      </w:r>
    </w:p>
    <w:p w14:paraId="6D8E57A6" w14:textId="72633ACD" w:rsidR="00EF1BA6" w:rsidRDefault="00EF1BA6" w:rsidP="00EF1BA6">
      <w:pPr>
        <w:pStyle w:val="Caption"/>
        <w:rPr>
          <w:lang w:eastAsia="en-AU"/>
        </w:rPr>
      </w:pPr>
      <w:bookmarkStart w:id="187" w:name="_Ref63346029"/>
      <w:bookmarkStart w:id="188" w:name="_Toc69387696"/>
      <w:r>
        <w:t xml:space="preserve">Figure </w:t>
      </w:r>
      <w:r w:rsidR="006C38E9">
        <w:fldChar w:fldCharType="begin"/>
      </w:r>
      <w:r w:rsidR="006C38E9">
        <w:instrText xml:space="preserve"> SEQ Figure \* ARAB</w:instrText>
      </w:r>
      <w:r w:rsidR="006C38E9">
        <w:instrText xml:space="preserve">IC </w:instrText>
      </w:r>
      <w:r w:rsidR="006C38E9">
        <w:fldChar w:fldCharType="separate"/>
      </w:r>
      <w:r w:rsidR="00996426">
        <w:rPr>
          <w:noProof/>
        </w:rPr>
        <w:t>32</w:t>
      </w:r>
      <w:r w:rsidR="006C38E9">
        <w:rPr>
          <w:noProof/>
        </w:rPr>
        <w:fldChar w:fldCharType="end"/>
      </w:r>
      <w:bookmarkEnd w:id="187"/>
      <w:r>
        <w:t>.</w:t>
      </w:r>
      <w:r>
        <w:rPr>
          <w:lang w:eastAsia="en-AU"/>
        </w:rPr>
        <w:t xml:space="preserve"> Habitat area suitable for </w:t>
      </w:r>
      <w:proofErr w:type="spellStart"/>
      <w:r>
        <w:rPr>
          <w:i/>
          <w:lang w:eastAsia="en-AU"/>
        </w:rPr>
        <w:t>Ruppia</w:t>
      </w:r>
      <w:proofErr w:type="spellEnd"/>
      <w:r>
        <w:rPr>
          <w:i/>
          <w:lang w:eastAsia="en-AU"/>
        </w:rPr>
        <w:t xml:space="preserve"> tuberosa</w:t>
      </w:r>
      <w:r w:rsidRPr="00C86AD1">
        <w:rPr>
          <w:lang w:eastAsia="en-AU"/>
        </w:rPr>
        <w:t xml:space="preserve"> (overall and individual life stages), comparing the </w:t>
      </w:r>
      <w:r>
        <w:rPr>
          <w:lang w:eastAsia="en-AU"/>
        </w:rPr>
        <w:t>“All water” (b</w:t>
      </w:r>
      <w:r w:rsidRPr="00C86AD1">
        <w:rPr>
          <w:lang w:eastAsia="en-AU"/>
        </w:rPr>
        <w:t>ase-case</w:t>
      </w:r>
      <w:r>
        <w:rPr>
          <w:lang w:eastAsia="en-AU"/>
        </w:rPr>
        <w:t>)</w:t>
      </w:r>
      <w:r w:rsidRPr="00C86AD1">
        <w:rPr>
          <w:lang w:eastAsia="en-AU"/>
        </w:rPr>
        <w:t xml:space="preserve"> and without environmental water (</w:t>
      </w:r>
      <w:r>
        <w:rPr>
          <w:lang w:eastAsia="en-AU"/>
        </w:rPr>
        <w:t xml:space="preserve">“No </w:t>
      </w:r>
      <w:proofErr w:type="spellStart"/>
      <w:r>
        <w:rPr>
          <w:lang w:eastAsia="en-AU"/>
        </w:rPr>
        <w:t>eWater</w:t>
      </w:r>
      <w:proofErr w:type="spellEnd"/>
      <w:r>
        <w:rPr>
          <w:lang w:eastAsia="en-AU"/>
        </w:rPr>
        <w:t>”</w:t>
      </w:r>
      <w:r w:rsidRPr="00C86AD1">
        <w:rPr>
          <w:lang w:eastAsia="en-AU"/>
        </w:rPr>
        <w:t xml:space="preserve"> and </w:t>
      </w:r>
      <w:r>
        <w:rPr>
          <w:lang w:eastAsia="en-AU"/>
        </w:rPr>
        <w:t xml:space="preserve">“No </w:t>
      </w:r>
      <w:proofErr w:type="spellStart"/>
      <w:r>
        <w:rPr>
          <w:lang w:eastAsia="en-AU"/>
        </w:rPr>
        <w:t>eWater</w:t>
      </w:r>
      <w:proofErr w:type="spellEnd"/>
      <w:r>
        <w:rPr>
          <w:lang w:eastAsia="en-AU"/>
        </w:rPr>
        <w:t xml:space="preserve"> 3 </w:t>
      </w:r>
      <w:proofErr w:type="spellStart"/>
      <w:r>
        <w:rPr>
          <w:lang w:eastAsia="en-AU"/>
        </w:rPr>
        <w:t>yrs</w:t>
      </w:r>
      <w:proofErr w:type="spellEnd"/>
      <w:r w:rsidR="00B713AC" w:rsidRPr="00C86AD1">
        <w:rPr>
          <w:lang w:eastAsia="en-AU"/>
        </w:rPr>
        <w:t>)</w:t>
      </w:r>
      <w:r w:rsidR="00B713AC">
        <w:rPr>
          <w:lang w:eastAsia="en-AU"/>
        </w:rPr>
        <w:t>.</w:t>
      </w:r>
      <w:bookmarkStart w:id="189" w:name="_Toc64646593"/>
      <w:bookmarkEnd w:id="188"/>
      <w:r w:rsidR="00B713AC" w:rsidRPr="008F353D">
        <w:t xml:space="preserve"> </w:t>
      </w:r>
      <w:bookmarkEnd w:id="189"/>
    </w:p>
    <w:p w14:paraId="08C572F8" w14:textId="77777777" w:rsidR="00EF1BA6" w:rsidRDefault="00EF1BA6" w:rsidP="00EF1BA6">
      <w:pPr>
        <w:pStyle w:val="Heading4"/>
      </w:pPr>
      <w:bookmarkStart w:id="190" w:name="_Hlk64584240"/>
      <w:r>
        <w:t>Fish habitat</w:t>
      </w:r>
    </w:p>
    <w:p w14:paraId="19D84AB8" w14:textId="4542C7FD" w:rsidR="00EF1BA6" w:rsidRDefault="00EF1BA6" w:rsidP="00EF1BA6">
      <w:r>
        <w:t xml:space="preserve">Environmental flows led to fresher conditions in the Coorong and an expansion of suitable fish habitat area; an example of the </w:t>
      </w:r>
      <w:r w:rsidR="009D2976">
        <w:t xml:space="preserve">new </w:t>
      </w:r>
      <w:r>
        <w:t>habitat area created by environmental water is shown as a map for mulloway (</w:t>
      </w:r>
      <w:r>
        <w:fldChar w:fldCharType="begin"/>
      </w:r>
      <w:r>
        <w:instrText xml:space="preserve"> REF _Ref63346058 \h </w:instrText>
      </w:r>
      <w:r>
        <w:fldChar w:fldCharType="separate"/>
      </w:r>
      <w:r w:rsidR="00CF2251">
        <w:t xml:space="preserve">Figure </w:t>
      </w:r>
      <w:r w:rsidR="00CF2251">
        <w:rPr>
          <w:noProof/>
        </w:rPr>
        <w:t>33</w:t>
      </w:r>
      <w:r>
        <w:fldChar w:fldCharType="end"/>
      </w:r>
      <w:r>
        <w:t>). Maps for other species have different ranges but similar overall patterns.</w:t>
      </w:r>
      <w:r w:rsidR="009D2976">
        <w:t xml:space="preserve"> </w:t>
      </w:r>
      <w:r w:rsidR="000E3F52">
        <w:t>T</w:t>
      </w:r>
      <w:r w:rsidR="009D2976">
        <w:t xml:space="preserve">his analysis shows the </w:t>
      </w:r>
      <w:r w:rsidR="009D2976">
        <w:sym w:font="Symbol" w:char="F044"/>
      </w:r>
      <w:r w:rsidR="009D2976">
        <w:t xml:space="preserve">HSI, that is the change between scenarios; in this case a value of 1 represents an area that was unsuitable under the “No </w:t>
      </w:r>
      <w:proofErr w:type="spellStart"/>
      <w:r w:rsidR="009D2976">
        <w:t>ewater</w:t>
      </w:r>
      <w:proofErr w:type="spellEnd"/>
      <w:r w:rsidR="009D2976">
        <w:t xml:space="preserve">” scenario becoming fully suitable under the “All water” scenario. </w:t>
      </w:r>
      <w:r>
        <w:t xml:space="preserve"> </w:t>
      </w:r>
    </w:p>
    <w:bookmarkEnd w:id="190"/>
    <w:p w14:paraId="19B73848" w14:textId="21D2D17F" w:rsidR="00EF1BA6" w:rsidRDefault="00EF1BA6" w:rsidP="00EF1BA6">
      <w:r>
        <w:t xml:space="preserve">To summarise the suitable habitat area for each species, the sum of viable habitat for each scenario was computed. </w:t>
      </w:r>
      <w:r>
        <w:fldChar w:fldCharType="begin"/>
      </w:r>
      <w:r>
        <w:instrText xml:space="preserve"> REF _Ref63346066 \h </w:instrText>
      </w:r>
      <w:r>
        <w:fldChar w:fldCharType="separate"/>
      </w:r>
      <w:r w:rsidR="00CF2251">
        <w:t xml:space="preserve">Figure </w:t>
      </w:r>
      <w:r w:rsidR="00CF2251">
        <w:rPr>
          <w:noProof/>
        </w:rPr>
        <w:t>34</w:t>
      </w:r>
      <w:r>
        <w:fldChar w:fldCharType="end"/>
      </w:r>
      <w:r>
        <w:t xml:space="preserve"> shows the suitable fish habitat averaged over all months in each year. Without environmental water (No eWater 3yrs) the habitat suitable for mulloway would have contracted by 17% in 2017-18, 34% by 2018-19 and 40% in 2019-20 (</w:t>
      </w:r>
      <w:r>
        <w:fldChar w:fldCharType="begin"/>
      </w:r>
      <w:r>
        <w:instrText xml:space="preserve"> REF _Ref63346066 \h </w:instrText>
      </w:r>
      <w:r>
        <w:fldChar w:fldCharType="separate"/>
      </w:r>
      <w:r w:rsidR="00CF2251">
        <w:t xml:space="preserve">Figure </w:t>
      </w:r>
      <w:r w:rsidR="00CF2251">
        <w:rPr>
          <w:noProof/>
        </w:rPr>
        <w:t>34</w:t>
      </w:r>
      <w:r>
        <w:fldChar w:fldCharType="end"/>
      </w:r>
      <w:r>
        <w:t xml:space="preserve">). </w:t>
      </w:r>
      <w:r w:rsidR="009D2976">
        <w:t>Note that care should be taken in interpreting these habitat areas, bearing in mind other ecological constraints on population recovery are not captured in the index formulation.</w:t>
      </w:r>
    </w:p>
    <w:p w14:paraId="24F6E7EB" w14:textId="77777777" w:rsidR="00EF1BA6" w:rsidRDefault="00EF1BA6" w:rsidP="00EF1BA6"/>
    <w:p w14:paraId="2F2BD9F8" w14:textId="77777777" w:rsidR="00EF1BA6" w:rsidRDefault="00EF1BA6" w:rsidP="00EF1BA6">
      <w:pPr>
        <w:spacing w:before="0" w:after="0"/>
        <w:jc w:val="left"/>
        <w:sectPr w:rsidR="00EF1BA6">
          <w:pgSz w:w="11906" w:h="16838"/>
          <w:pgMar w:top="1440" w:right="1440" w:bottom="1440" w:left="1440" w:header="708" w:footer="708" w:gutter="0"/>
          <w:cols w:space="720"/>
        </w:sectPr>
      </w:pPr>
    </w:p>
    <w:p w14:paraId="4055D064" w14:textId="77777777" w:rsidR="00EF1BA6" w:rsidRDefault="00EF1BA6" w:rsidP="00EF1BA6">
      <w:r>
        <w:rPr>
          <w:noProof/>
          <w:lang w:val="en-US"/>
        </w:rPr>
        <w:drawing>
          <wp:inline distT="0" distB="0" distL="0" distR="0" wp14:anchorId="79EF3513" wp14:editId="68D40C2A">
            <wp:extent cx="8841750" cy="3835020"/>
            <wp:effectExtent l="0" t="0" r="0" b="0"/>
            <wp:docPr id="37" name="Picture 37"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hart, diagram&#10;&#10;Description automatically generated"/>
                    <pic:cNvPicPr>
                      <a:picLocks noChangeAspect="1" noChangeArrowheads="1"/>
                    </pic:cNvPicPr>
                  </pic:nvPicPr>
                  <pic:blipFill rotWithShape="1">
                    <a:blip r:embed="rId82" cstate="email">
                      <a:extLst>
                        <a:ext uri="{28A0092B-C50C-407E-A947-70E740481C1C}">
                          <a14:useLocalDpi xmlns:a14="http://schemas.microsoft.com/office/drawing/2010/main"/>
                        </a:ext>
                      </a:extLst>
                    </a:blip>
                    <a:srcRect/>
                    <a:stretch/>
                  </pic:blipFill>
                  <pic:spPr bwMode="auto">
                    <a:xfrm>
                      <a:off x="0" y="0"/>
                      <a:ext cx="8879612" cy="3851442"/>
                    </a:xfrm>
                    <a:prstGeom prst="rect">
                      <a:avLst/>
                    </a:prstGeom>
                    <a:no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728693D" w14:textId="62240F10" w:rsidR="00EF1BA6" w:rsidRDefault="00EF1BA6" w:rsidP="00EF1BA6">
      <w:pPr>
        <w:pStyle w:val="Caption"/>
        <w:rPr>
          <w:lang w:eastAsia="en-AU"/>
        </w:rPr>
      </w:pPr>
      <w:bookmarkStart w:id="191" w:name="_Ref63346058"/>
      <w:bookmarkStart w:id="192" w:name="_Toc69387697"/>
      <w:bookmarkStart w:id="193" w:name="_Hlk64579586"/>
      <w:r>
        <w:t xml:space="preserve">Figure </w:t>
      </w:r>
      <w:r w:rsidR="006C38E9">
        <w:fldChar w:fldCharType="begin"/>
      </w:r>
      <w:r w:rsidR="006C38E9">
        <w:instrText xml:space="preserve"> SEQ Figure \* ARABIC </w:instrText>
      </w:r>
      <w:r w:rsidR="006C38E9">
        <w:fldChar w:fldCharType="separate"/>
      </w:r>
      <w:r w:rsidR="00996426">
        <w:rPr>
          <w:noProof/>
        </w:rPr>
        <w:t>33</w:t>
      </w:r>
      <w:r w:rsidR="006C38E9">
        <w:rPr>
          <w:noProof/>
        </w:rPr>
        <w:fldChar w:fldCharType="end"/>
      </w:r>
      <w:bookmarkEnd w:id="191"/>
      <w:r>
        <w:t>.</w:t>
      </w:r>
      <w:r>
        <w:rPr>
          <w:lang w:eastAsia="en-AU"/>
        </w:rPr>
        <w:t xml:space="preserve"> </w:t>
      </w:r>
      <w:r w:rsidR="009D2976">
        <w:rPr>
          <w:lang w:eastAsia="en-AU"/>
        </w:rPr>
        <w:t>Monthly habitat area “gained” for mulloway due to environmental water delivery (calculated as the difference between habitat in the “All water” (base-case) and “no eWater 3yrs” scenario</w:t>
      </w:r>
      <w:r w:rsidR="008E30B3">
        <w:rPr>
          <w:lang w:eastAsia="en-AU"/>
        </w:rPr>
        <w:t>)</w:t>
      </w:r>
      <w:r w:rsidR="009D2976">
        <w:rPr>
          <w:lang w:eastAsia="en-AU"/>
        </w:rPr>
        <w:t>. Large areas of the South Lagoon have an increase in habitat quality of</w:t>
      </w:r>
      <w:r w:rsidR="008E30B3">
        <w:rPr>
          <w:lang w:eastAsia="en-AU"/>
        </w:rPr>
        <w:t xml:space="preserve"> a maximum of</w:t>
      </w:r>
      <w:r w:rsidR="009D2976">
        <w:rPr>
          <w:lang w:eastAsia="en-AU"/>
        </w:rPr>
        <w:t xml:space="preserve"> 1, highlighting areas that would not be viable without environmental water, but became suitable due to the ongoing water delivery since 2017-18</w:t>
      </w:r>
      <w:bookmarkStart w:id="194" w:name="_Hlk67387878"/>
      <w:r w:rsidR="009D2976">
        <w:rPr>
          <w:lang w:eastAsia="en-AU"/>
        </w:rPr>
        <w:t xml:space="preserve">. The improvement in habitat score means salinity and temperature conditions are suitable for </w:t>
      </w:r>
      <w:r w:rsidR="008E30B3">
        <w:rPr>
          <w:lang w:eastAsia="en-AU"/>
        </w:rPr>
        <w:t>m</w:t>
      </w:r>
      <w:r w:rsidR="009D2976">
        <w:rPr>
          <w:lang w:eastAsia="en-AU"/>
        </w:rPr>
        <w:t xml:space="preserve">ulloway. Other features of the environment such as food resources, appropriate sediment will also determine whether mulloway expand into a habitat. It may take some time for ecosystem restoration to </w:t>
      </w:r>
      <w:r w:rsidR="00E549EA">
        <w:rPr>
          <w:lang w:eastAsia="en-AU"/>
        </w:rPr>
        <w:t xml:space="preserve">reach </w:t>
      </w:r>
      <w:r w:rsidR="009D2976">
        <w:rPr>
          <w:lang w:eastAsia="en-AU"/>
        </w:rPr>
        <w:t>a point where fish populations are supported in the expanded habitat.</w:t>
      </w:r>
      <w:bookmarkEnd w:id="192"/>
      <w:bookmarkEnd w:id="194"/>
    </w:p>
    <w:bookmarkEnd w:id="193"/>
    <w:p w14:paraId="245A2BFE" w14:textId="77777777" w:rsidR="00EF1BA6" w:rsidRDefault="00EF1BA6" w:rsidP="00EF1BA6"/>
    <w:p w14:paraId="32567927" w14:textId="77777777" w:rsidR="00EF1BA6" w:rsidRDefault="00EF1BA6" w:rsidP="00EF1BA6"/>
    <w:p w14:paraId="3A72AAC1" w14:textId="77777777" w:rsidR="00EF1BA6" w:rsidRDefault="00EF1BA6" w:rsidP="00EF1BA6">
      <w:pPr>
        <w:spacing w:before="0" w:after="0"/>
        <w:jc w:val="left"/>
        <w:sectPr w:rsidR="00EF1BA6">
          <w:pgSz w:w="16820" w:h="11900" w:orient="landscape"/>
          <w:pgMar w:top="1440" w:right="1440" w:bottom="1440" w:left="1440" w:header="708" w:footer="708" w:gutter="0"/>
          <w:cols w:space="708"/>
        </w:sectPr>
      </w:pPr>
    </w:p>
    <w:p w14:paraId="5C0D82EE" w14:textId="08957084" w:rsidR="00EF1BA6" w:rsidRDefault="00EF1BA6" w:rsidP="00EF1BA6">
      <w:r>
        <w:t xml:space="preserve">A similar trend is evident for black bream, Tamar goby, greenback flounder, yelloweye mullet, congolli and smallmouth </w:t>
      </w:r>
      <w:proofErr w:type="spellStart"/>
      <w:r>
        <w:t>hardyhead</w:t>
      </w:r>
      <w:proofErr w:type="spellEnd"/>
      <w:r>
        <w:t>. Three years without environmental water reduced suitable black bream habitat by 45% (</w:t>
      </w:r>
      <w:r>
        <w:fldChar w:fldCharType="begin"/>
      </w:r>
      <w:r>
        <w:instrText xml:space="preserve"> REF _Ref63346066 \h </w:instrText>
      </w:r>
      <w:r>
        <w:fldChar w:fldCharType="separate"/>
      </w:r>
      <w:r w:rsidR="00CF2251">
        <w:t xml:space="preserve">Figure </w:t>
      </w:r>
      <w:r w:rsidR="00CF2251">
        <w:rPr>
          <w:noProof/>
        </w:rPr>
        <w:t>34</w:t>
      </w:r>
      <w:r>
        <w:fldChar w:fldCharType="end"/>
      </w:r>
      <w:r>
        <w:t xml:space="preserve">). This scenario commenced after high flow in 2016-17. If the starting conditions were more </w:t>
      </w:r>
      <w:proofErr w:type="gramStart"/>
      <w:r>
        <w:t>saline</w:t>
      </w:r>
      <w:proofErr w:type="gramEnd"/>
      <w:r>
        <w:t xml:space="preserve"> then we could expect a more rapid contraction in suitable habitat if no environmental water was available.</w:t>
      </w:r>
    </w:p>
    <w:p w14:paraId="0D64D5FB" w14:textId="0B22AF51" w:rsidR="00EF1BA6" w:rsidRDefault="00EF1BA6" w:rsidP="00EF1BA6">
      <w:r>
        <w:t xml:space="preserve">If we consider just one year (2019-20) without environmental water (“No eWater”), the suitable habitat area contracted by between 5 and 17% for the seven fish species within that period. Mulloway habitat was the most sensitive to a single one-year reduction in environmental water. Smallmouth </w:t>
      </w:r>
      <w:proofErr w:type="spellStart"/>
      <w:r>
        <w:t>hardyhead</w:t>
      </w:r>
      <w:proofErr w:type="spellEnd"/>
      <w:r>
        <w:t xml:space="preserve"> can tolerate very saline conditions and their habitat was least affected by the one-year reduction in environmental water. </w:t>
      </w:r>
    </w:p>
    <w:p w14:paraId="7071B8C6" w14:textId="77777777" w:rsidR="00EF1BA6" w:rsidRDefault="00EF1BA6" w:rsidP="00EF1BA6"/>
    <w:p w14:paraId="55CA85C8" w14:textId="77777777" w:rsidR="00EF1BA6" w:rsidRDefault="00EF1BA6" w:rsidP="00EF1BA6">
      <w:r>
        <w:rPr>
          <w:noProof/>
        </w:rPr>
        <w:drawing>
          <wp:inline distT="0" distB="0" distL="0" distR="0" wp14:anchorId="29E3A79D" wp14:editId="1DA1EB48">
            <wp:extent cx="6016113" cy="1782305"/>
            <wp:effectExtent l="0" t="0" r="3810" b="0"/>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 name="Picture 1055"/>
                    <pic:cNvPicPr/>
                  </pic:nvPicPr>
                  <pic:blipFill>
                    <a:blip r:embed="rId83" cstate="email">
                      <a:extLst>
                        <a:ext uri="{28A0092B-C50C-407E-A947-70E740481C1C}">
                          <a14:useLocalDpi xmlns:a14="http://schemas.microsoft.com/office/drawing/2010/main"/>
                        </a:ext>
                      </a:extLst>
                    </a:blip>
                    <a:stretch>
                      <a:fillRect/>
                    </a:stretch>
                  </pic:blipFill>
                  <pic:spPr>
                    <a:xfrm>
                      <a:off x="0" y="0"/>
                      <a:ext cx="6016113" cy="1782305"/>
                    </a:xfrm>
                    <a:prstGeom prst="rect">
                      <a:avLst/>
                    </a:prstGeom>
                  </pic:spPr>
                </pic:pic>
              </a:graphicData>
            </a:graphic>
          </wp:inline>
        </w:drawing>
      </w:r>
      <w:r>
        <w:rPr>
          <w:noProof/>
        </w:rPr>
        <w:drawing>
          <wp:inline distT="0" distB="0" distL="0" distR="0" wp14:anchorId="67CBFA4D" wp14:editId="174E5150">
            <wp:extent cx="6042269" cy="1790054"/>
            <wp:effectExtent l="0" t="0" r="3175" b="1270"/>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Picture 1056"/>
                    <pic:cNvPicPr/>
                  </pic:nvPicPr>
                  <pic:blipFill>
                    <a:blip r:embed="rId84" cstate="email">
                      <a:extLst>
                        <a:ext uri="{28A0092B-C50C-407E-A947-70E740481C1C}">
                          <a14:useLocalDpi xmlns:a14="http://schemas.microsoft.com/office/drawing/2010/main"/>
                        </a:ext>
                      </a:extLst>
                    </a:blip>
                    <a:stretch>
                      <a:fillRect/>
                    </a:stretch>
                  </pic:blipFill>
                  <pic:spPr>
                    <a:xfrm>
                      <a:off x="0" y="0"/>
                      <a:ext cx="6079078" cy="1800959"/>
                    </a:xfrm>
                    <a:prstGeom prst="rect">
                      <a:avLst/>
                    </a:prstGeom>
                  </pic:spPr>
                </pic:pic>
              </a:graphicData>
            </a:graphic>
          </wp:inline>
        </w:drawing>
      </w:r>
    </w:p>
    <w:p w14:paraId="557B1B41" w14:textId="77777777" w:rsidR="00EF1BA6" w:rsidRDefault="00EF1BA6" w:rsidP="00EF1BA6"/>
    <w:p w14:paraId="06140B59" w14:textId="6CE87180" w:rsidR="00E91B1B" w:rsidRDefault="00EF1BA6" w:rsidP="00E91B1B">
      <w:pPr>
        <w:pStyle w:val="Caption"/>
        <w:rPr>
          <w:lang w:eastAsia="en-AU"/>
        </w:rPr>
      </w:pPr>
      <w:bookmarkStart w:id="195" w:name="_Ref63346066"/>
      <w:bookmarkStart w:id="196" w:name="_Toc69387698"/>
      <w:r>
        <w:t xml:space="preserve">Figure </w:t>
      </w:r>
      <w:r w:rsidR="006C38E9">
        <w:fldChar w:fldCharType="begin"/>
      </w:r>
      <w:r w:rsidR="006C38E9">
        <w:instrText xml:space="preserve"> SEQ Figure \* ARABIC </w:instrText>
      </w:r>
      <w:r w:rsidR="006C38E9">
        <w:fldChar w:fldCharType="separate"/>
      </w:r>
      <w:r w:rsidR="00996426">
        <w:rPr>
          <w:noProof/>
        </w:rPr>
        <w:t>34</w:t>
      </w:r>
      <w:r w:rsidR="006C38E9">
        <w:rPr>
          <w:noProof/>
        </w:rPr>
        <w:fldChar w:fldCharType="end"/>
      </w:r>
      <w:bookmarkEnd w:id="195"/>
      <w:r>
        <w:t xml:space="preserve">. </w:t>
      </w:r>
      <w:r>
        <w:rPr>
          <w:lang w:eastAsia="en-AU"/>
        </w:rPr>
        <w:t xml:space="preserve">Habitat area of juvenile stages of key fish species for the three scenarios (top). Change in area (%) that would have been in the case of no environmental water is shown in the bottom panel. Environmental water </w:t>
      </w:r>
      <w:r w:rsidR="00E549EA">
        <w:rPr>
          <w:lang w:eastAsia="en-AU"/>
        </w:rPr>
        <w:t>provides</w:t>
      </w:r>
      <w:r>
        <w:rPr>
          <w:lang w:eastAsia="en-AU"/>
        </w:rPr>
        <w:t xml:space="preserve"> a large habitat expansion for all species and this increases year on </w:t>
      </w:r>
      <w:r w:rsidR="009D2976">
        <w:rPr>
          <w:lang w:eastAsia="en-AU"/>
        </w:rPr>
        <w:t>year. The environmental water modifies the salinity conditions to be expanding the habitat that the fish can exploit. Other features such as food resources and appropriate sediment will also influence whether fish are able to exploit the available habitat.</w:t>
      </w:r>
      <w:bookmarkEnd w:id="196"/>
    </w:p>
    <w:p w14:paraId="6ED15F08" w14:textId="4A04164B" w:rsidR="00EF1BA6" w:rsidRDefault="00EF1BA6" w:rsidP="00EF1BA6">
      <w:pPr>
        <w:pStyle w:val="Caption"/>
        <w:rPr>
          <w:lang w:eastAsia="en-AU"/>
        </w:rPr>
      </w:pPr>
    </w:p>
    <w:p w14:paraId="7137AE9D" w14:textId="77777777" w:rsidR="00EF1BA6" w:rsidRDefault="00EF1BA6" w:rsidP="00EF1BA6">
      <w:pPr>
        <w:spacing w:before="0" w:after="160" w:line="256" w:lineRule="auto"/>
        <w:jc w:val="left"/>
        <w:rPr>
          <w:rFonts w:eastAsiaTheme="majorEastAsia" w:cstheme="majorBidi"/>
          <w:b/>
          <w:i/>
          <w:color w:val="44546A" w:themeColor="text2"/>
          <w:sz w:val="24"/>
          <w:szCs w:val="24"/>
        </w:rPr>
      </w:pPr>
      <w:r>
        <w:br w:type="page"/>
      </w:r>
    </w:p>
    <w:p w14:paraId="0032AEDB" w14:textId="77777777" w:rsidR="00EF1BA6" w:rsidRDefault="00EF1BA6" w:rsidP="00EF1BA6">
      <w:pPr>
        <w:pStyle w:val="Heading3"/>
      </w:pPr>
      <w:r>
        <w:t>Evaluation</w:t>
      </w:r>
    </w:p>
    <w:p w14:paraId="336AB7BD" w14:textId="04B1C399" w:rsidR="00EF1BA6" w:rsidRDefault="00EF1BA6" w:rsidP="00EF1BA6">
      <w:bookmarkStart w:id="197" w:name="_Hlk59151248"/>
      <w:r>
        <w:t xml:space="preserve">The evaluation approach, including assessment criteria, is described in the evaluation section for Hydraulic Regime (Section </w:t>
      </w:r>
      <w:r>
        <w:fldChar w:fldCharType="begin"/>
      </w:r>
      <w:r>
        <w:instrText xml:space="preserve"> REF _Ref35872226 \r \h  \* MERGEFORMAT </w:instrText>
      </w:r>
      <w:r>
        <w:fldChar w:fldCharType="separate"/>
      </w:r>
      <w:r w:rsidR="00241910">
        <w:t>2.1</w:t>
      </w:r>
      <w:r>
        <w:fldChar w:fldCharType="end"/>
      </w:r>
      <w:r>
        <w:t>).</w:t>
      </w:r>
    </w:p>
    <w:bookmarkEnd w:id="197"/>
    <w:p w14:paraId="20179FA3" w14:textId="77777777" w:rsidR="00EF1BA6" w:rsidRDefault="00EF1BA6" w:rsidP="00F8184E">
      <w:pPr>
        <w:pStyle w:val="Captions"/>
      </w:pPr>
      <w:r>
        <w:t xml:space="preserve">Table </w:t>
      </w:r>
      <w:r>
        <w:rPr>
          <w:noProof/>
        </w:rPr>
        <w:t>11.</w:t>
      </w:r>
      <w:r>
        <w:t xml:space="preserve"> Coorong habitat evaluation questions and answers. CEW = Commonwealth environmental water, eWater = environmental water.</w:t>
      </w:r>
    </w:p>
    <w:tbl>
      <w:tblPr>
        <w:tblW w:w="487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63"/>
        <w:gridCol w:w="2294"/>
        <w:gridCol w:w="1843"/>
        <w:gridCol w:w="1983"/>
      </w:tblGrid>
      <w:tr w:rsidR="00EF1BA6" w14:paraId="5A8206D1" w14:textId="77777777" w:rsidTr="00A90A24">
        <w:trPr>
          <w:cantSplit/>
          <w:trHeight w:val="20"/>
          <w:tblHeader/>
        </w:trPr>
        <w:tc>
          <w:tcPr>
            <w:tcW w:w="1516" w:type="pct"/>
            <w:vMerge w:val="restart"/>
            <w:tcBorders>
              <w:top w:val="single" w:sz="4" w:space="0" w:color="auto"/>
              <w:left w:val="single" w:sz="4" w:space="0" w:color="auto"/>
              <w:bottom w:val="single" w:sz="4" w:space="0" w:color="auto"/>
              <w:right w:val="single" w:sz="4" w:space="0" w:color="auto"/>
            </w:tcBorders>
            <w:hideMark/>
          </w:tcPr>
          <w:p w14:paraId="4553E723" w14:textId="77777777" w:rsidR="00EF1BA6" w:rsidRDefault="00EF1BA6" w:rsidP="00A90A24">
            <w:pPr>
              <w:jc w:val="center"/>
              <w:rPr>
                <w:rFonts w:cs="Arial"/>
                <w:b/>
                <w:sz w:val="19"/>
                <w:szCs w:val="19"/>
              </w:rPr>
            </w:pPr>
            <w:bookmarkStart w:id="198" w:name="_Hlk64584639"/>
            <w:r>
              <w:rPr>
                <w:rFonts w:cs="Arial"/>
                <w:b/>
                <w:sz w:val="19"/>
                <w:szCs w:val="19"/>
              </w:rPr>
              <w:t xml:space="preserve">CEWO evaluation questions </w:t>
            </w:r>
          </w:p>
        </w:tc>
        <w:tc>
          <w:tcPr>
            <w:tcW w:w="3484" w:type="pct"/>
            <w:gridSpan w:val="3"/>
            <w:tcBorders>
              <w:top w:val="single" w:sz="4" w:space="0" w:color="auto"/>
              <w:left w:val="single" w:sz="4" w:space="0" w:color="auto"/>
              <w:bottom w:val="single" w:sz="4" w:space="0" w:color="auto"/>
              <w:right w:val="single" w:sz="4" w:space="0" w:color="auto"/>
            </w:tcBorders>
            <w:vAlign w:val="bottom"/>
          </w:tcPr>
          <w:p w14:paraId="3ED70906" w14:textId="77777777" w:rsidR="00EF1BA6" w:rsidRDefault="00EF1BA6" w:rsidP="00A90A24">
            <w:pPr>
              <w:jc w:val="center"/>
              <w:rPr>
                <w:rFonts w:cs="Arial"/>
                <w:b/>
                <w:sz w:val="19"/>
                <w:szCs w:val="19"/>
              </w:rPr>
            </w:pPr>
            <w:r>
              <w:rPr>
                <w:rFonts w:cs="Arial"/>
                <w:b/>
                <w:sz w:val="19"/>
                <w:szCs w:val="19"/>
              </w:rPr>
              <w:t>Outcomes of CEW delivery</w:t>
            </w:r>
          </w:p>
        </w:tc>
      </w:tr>
      <w:tr w:rsidR="00EF1BA6" w14:paraId="1B668C64" w14:textId="77777777" w:rsidTr="00A90A24">
        <w:trPr>
          <w:cantSplit/>
          <w:trHeight w:val="2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94C5F62" w14:textId="77777777" w:rsidR="00EF1BA6" w:rsidRDefault="00EF1BA6" w:rsidP="00A90A24">
            <w:pPr>
              <w:spacing w:before="0" w:after="0" w:line="256" w:lineRule="auto"/>
              <w:jc w:val="left"/>
              <w:rPr>
                <w:rFonts w:cs="Arial"/>
                <w:b/>
                <w:sz w:val="19"/>
                <w:szCs w:val="19"/>
              </w:rPr>
            </w:pPr>
          </w:p>
        </w:tc>
        <w:tc>
          <w:tcPr>
            <w:tcW w:w="1306" w:type="pct"/>
            <w:tcBorders>
              <w:top w:val="single" w:sz="4" w:space="0" w:color="auto"/>
              <w:left w:val="single" w:sz="4" w:space="0" w:color="auto"/>
              <w:bottom w:val="single" w:sz="4" w:space="0" w:color="auto"/>
              <w:right w:val="single" w:sz="4" w:space="0" w:color="auto"/>
            </w:tcBorders>
            <w:vAlign w:val="bottom"/>
            <w:hideMark/>
          </w:tcPr>
          <w:p w14:paraId="11F41C2E" w14:textId="77777777" w:rsidR="00EF1BA6" w:rsidRDefault="00EF1BA6" w:rsidP="00A90A24">
            <w:pPr>
              <w:jc w:val="center"/>
              <w:rPr>
                <w:rFonts w:cs="Arial"/>
                <w:b/>
                <w:sz w:val="19"/>
                <w:szCs w:val="19"/>
              </w:rPr>
            </w:pPr>
            <w:r>
              <w:rPr>
                <w:rFonts w:cs="Arial"/>
                <w:b/>
                <w:sz w:val="19"/>
                <w:szCs w:val="19"/>
              </w:rPr>
              <w:t>2017-18</w:t>
            </w:r>
          </w:p>
        </w:tc>
        <w:tc>
          <w:tcPr>
            <w:tcW w:w="1049" w:type="pct"/>
            <w:tcBorders>
              <w:top w:val="single" w:sz="4" w:space="0" w:color="auto"/>
              <w:left w:val="single" w:sz="4" w:space="0" w:color="auto"/>
              <w:bottom w:val="single" w:sz="4" w:space="0" w:color="auto"/>
              <w:right w:val="single" w:sz="4" w:space="0" w:color="auto"/>
            </w:tcBorders>
            <w:vAlign w:val="bottom"/>
            <w:hideMark/>
          </w:tcPr>
          <w:p w14:paraId="5CE9C190" w14:textId="77777777" w:rsidR="00EF1BA6" w:rsidRDefault="00EF1BA6" w:rsidP="00A90A24">
            <w:pPr>
              <w:jc w:val="center"/>
              <w:rPr>
                <w:rFonts w:cs="Arial"/>
                <w:b/>
                <w:sz w:val="19"/>
                <w:szCs w:val="19"/>
              </w:rPr>
            </w:pPr>
            <w:r>
              <w:rPr>
                <w:rFonts w:cs="Arial"/>
                <w:b/>
                <w:sz w:val="19"/>
                <w:szCs w:val="19"/>
              </w:rPr>
              <w:t>2018-19</w:t>
            </w:r>
          </w:p>
        </w:tc>
        <w:tc>
          <w:tcPr>
            <w:tcW w:w="1129" w:type="pct"/>
            <w:tcBorders>
              <w:top w:val="single" w:sz="4" w:space="0" w:color="auto"/>
              <w:left w:val="single" w:sz="4" w:space="0" w:color="auto"/>
              <w:bottom w:val="single" w:sz="4" w:space="0" w:color="auto"/>
              <w:right w:val="single" w:sz="4" w:space="0" w:color="auto"/>
            </w:tcBorders>
            <w:hideMark/>
          </w:tcPr>
          <w:p w14:paraId="0EB39BA4" w14:textId="77777777" w:rsidR="00EF1BA6" w:rsidRDefault="00EF1BA6" w:rsidP="00A90A24">
            <w:pPr>
              <w:jc w:val="center"/>
              <w:rPr>
                <w:rFonts w:cs="Arial"/>
                <w:b/>
                <w:sz w:val="19"/>
                <w:szCs w:val="19"/>
              </w:rPr>
            </w:pPr>
            <w:r>
              <w:rPr>
                <w:rFonts w:cs="Arial"/>
                <w:b/>
                <w:sz w:val="19"/>
                <w:szCs w:val="19"/>
              </w:rPr>
              <w:t>2019-20</w:t>
            </w:r>
          </w:p>
        </w:tc>
      </w:tr>
      <w:bookmarkEnd w:id="198"/>
      <w:tr w:rsidR="00EF1BA6" w14:paraId="0727EB88" w14:textId="77777777" w:rsidTr="007535A2">
        <w:trPr>
          <w:cantSplit/>
          <w:trHeight w:val="818"/>
        </w:trPr>
        <w:tc>
          <w:tcPr>
            <w:tcW w:w="1516" w:type="pct"/>
            <w:tcBorders>
              <w:top w:val="single" w:sz="4" w:space="0" w:color="auto"/>
              <w:left w:val="single" w:sz="4" w:space="0" w:color="auto"/>
              <w:bottom w:val="single" w:sz="4" w:space="0" w:color="auto"/>
              <w:right w:val="single" w:sz="4" w:space="0" w:color="auto"/>
            </w:tcBorders>
            <w:hideMark/>
          </w:tcPr>
          <w:p w14:paraId="48249971" w14:textId="77777777" w:rsidR="00EF1BA6" w:rsidRDefault="00EF1BA6" w:rsidP="00A90A24">
            <w:pPr>
              <w:jc w:val="left"/>
              <w:rPr>
                <w:color w:val="auto"/>
                <w:sz w:val="19"/>
                <w:szCs w:val="19"/>
              </w:rPr>
            </w:pPr>
            <w:r>
              <w:rPr>
                <w:sz w:val="19"/>
                <w:szCs w:val="19"/>
              </w:rPr>
              <w:t xml:space="preserve">What did CEW contribute to improving </w:t>
            </w:r>
            <w:proofErr w:type="spellStart"/>
            <w:r>
              <w:rPr>
                <w:i/>
                <w:sz w:val="19"/>
                <w:szCs w:val="19"/>
              </w:rPr>
              <w:t>Ruppia</w:t>
            </w:r>
            <w:proofErr w:type="spellEnd"/>
            <w:r>
              <w:rPr>
                <w:i/>
                <w:sz w:val="19"/>
                <w:szCs w:val="19"/>
              </w:rPr>
              <w:t xml:space="preserve"> tuberosa</w:t>
            </w:r>
            <w:r>
              <w:rPr>
                <w:sz w:val="19"/>
                <w:szCs w:val="19"/>
              </w:rPr>
              <w:t xml:space="preserve"> habitat in the Coorong? </w:t>
            </w:r>
          </w:p>
        </w:tc>
        <w:tc>
          <w:tcPr>
            <w:tcW w:w="3484" w:type="pct"/>
            <w:gridSpan w:val="3"/>
            <w:tcBorders>
              <w:top w:val="single" w:sz="4" w:space="0" w:color="auto"/>
              <w:left w:val="single" w:sz="4" w:space="0" w:color="auto"/>
              <w:bottom w:val="single" w:sz="4" w:space="0" w:color="auto"/>
              <w:right w:val="single" w:sz="4" w:space="0" w:color="auto"/>
            </w:tcBorders>
            <w:shd w:val="clear" w:color="auto" w:fill="70AD47" w:themeFill="accent6"/>
            <w:hideMark/>
          </w:tcPr>
          <w:p w14:paraId="3F1F57F9" w14:textId="77777777" w:rsidR="00EF1BA6" w:rsidRDefault="00EF1BA6" w:rsidP="00A90A24">
            <w:pPr>
              <w:jc w:val="left"/>
              <w:rPr>
                <w:sz w:val="19"/>
                <w:szCs w:val="19"/>
              </w:rPr>
            </w:pPr>
            <w:r>
              <w:rPr>
                <w:sz w:val="19"/>
                <w:szCs w:val="19"/>
              </w:rPr>
              <w:t xml:space="preserve">Habitat suitable for overall sexual life-cycle completion of </w:t>
            </w:r>
            <w:proofErr w:type="spellStart"/>
            <w:r w:rsidRPr="00ED3172">
              <w:rPr>
                <w:i/>
                <w:iCs/>
                <w:sz w:val="19"/>
                <w:szCs w:val="19"/>
              </w:rPr>
              <w:t>Ruppia</w:t>
            </w:r>
            <w:proofErr w:type="spellEnd"/>
            <w:r>
              <w:rPr>
                <w:sz w:val="19"/>
                <w:szCs w:val="19"/>
              </w:rPr>
              <w:t xml:space="preserve"> was significantly improved with eWater. It was estimated that adult </w:t>
            </w:r>
            <w:proofErr w:type="spellStart"/>
            <w:r w:rsidRPr="00ED3172">
              <w:rPr>
                <w:i/>
                <w:iCs/>
                <w:sz w:val="19"/>
                <w:szCs w:val="19"/>
              </w:rPr>
              <w:t>Ruppia</w:t>
            </w:r>
            <w:proofErr w:type="spellEnd"/>
            <w:r>
              <w:rPr>
                <w:sz w:val="19"/>
                <w:szCs w:val="19"/>
              </w:rPr>
              <w:t xml:space="preserve"> were not favoured by eWater, however, this was due to model sensitivity to the minimum salinity threshold value, and a loss of potential area in the Murray Mouth, which is not generally a management target. Habitat suitable for seed production was 20% greater with eWater than without eWater.</w:t>
            </w:r>
          </w:p>
          <w:p w14:paraId="307EAFB8" w14:textId="77777777" w:rsidR="00EF1BA6" w:rsidRDefault="00EF1BA6" w:rsidP="00A90A24">
            <w:pPr>
              <w:jc w:val="left"/>
              <w:rPr>
                <w:sz w:val="19"/>
                <w:szCs w:val="19"/>
              </w:rPr>
            </w:pPr>
            <w:r>
              <w:rPr>
                <w:sz w:val="19"/>
                <w:szCs w:val="19"/>
              </w:rPr>
              <w:t>When looking at the maps of suitable area, the benefit of eWater is pronounced in critical areas of the South Lagoon, highlighting the importance of eWater to the ecological restoration of the Coorong.</w:t>
            </w:r>
          </w:p>
        </w:tc>
      </w:tr>
      <w:tr w:rsidR="00EF1BA6" w14:paraId="4E39274F" w14:textId="77777777" w:rsidTr="00A90A24">
        <w:trPr>
          <w:cantSplit/>
          <w:trHeight w:val="2970"/>
        </w:trPr>
        <w:tc>
          <w:tcPr>
            <w:tcW w:w="1516" w:type="pct"/>
            <w:tcBorders>
              <w:top w:val="single" w:sz="4" w:space="0" w:color="auto"/>
              <w:left w:val="single" w:sz="4" w:space="0" w:color="auto"/>
              <w:bottom w:val="single" w:sz="4" w:space="0" w:color="auto"/>
              <w:right w:val="single" w:sz="4" w:space="0" w:color="auto"/>
            </w:tcBorders>
            <w:hideMark/>
          </w:tcPr>
          <w:p w14:paraId="21837109" w14:textId="77777777" w:rsidR="00EF1BA6" w:rsidRDefault="00EF1BA6" w:rsidP="00A90A24">
            <w:pPr>
              <w:jc w:val="left"/>
              <w:rPr>
                <w:color w:val="auto"/>
                <w:sz w:val="19"/>
                <w:szCs w:val="19"/>
              </w:rPr>
            </w:pPr>
            <w:r>
              <w:rPr>
                <w:sz w:val="19"/>
                <w:szCs w:val="19"/>
              </w:rPr>
              <w:t>What did CEW contribute to improving fish habitat in the Coorong?</w:t>
            </w:r>
          </w:p>
        </w:tc>
        <w:tc>
          <w:tcPr>
            <w:tcW w:w="3484" w:type="pct"/>
            <w:gridSpan w:val="3"/>
            <w:tcBorders>
              <w:top w:val="single" w:sz="4" w:space="0" w:color="auto"/>
              <w:left w:val="single" w:sz="4" w:space="0" w:color="auto"/>
              <w:bottom w:val="single" w:sz="4" w:space="0" w:color="auto"/>
              <w:right w:val="single" w:sz="4" w:space="0" w:color="auto"/>
            </w:tcBorders>
            <w:shd w:val="clear" w:color="auto" w:fill="B4C6E7" w:themeFill="accent5" w:themeFillTint="66"/>
            <w:hideMark/>
          </w:tcPr>
          <w:p w14:paraId="4A943BB0" w14:textId="77777777" w:rsidR="00EF1BA6" w:rsidRDefault="00EF1BA6" w:rsidP="00A90A24">
            <w:pPr>
              <w:jc w:val="left"/>
              <w:rPr>
                <w:sz w:val="19"/>
                <w:szCs w:val="19"/>
              </w:rPr>
            </w:pPr>
            <w:r>
              <w:rPr>
                <w:sz w:val="19"/>
                <w:szCs w:val="19"/>
              </w:rPr>
              <w:t>eWater</w:t>
            </w:r>
            <w:r w:rsidRPr="0098371B">
              <w:rPr>
                <w:sz w:val="19"/>
                <w:szCs w:val="19"/>
              </w:rPr>
              <w:t xml:space="preserve"> lead to fresher conditions in the Coorong and an expansion of suitable fish habitat area throughout the year. Without eWater</w:t>
            </w:r>
            <w:r>
              <w:rPr>
                <w:sz w:val="19"/>
                <w:szCs w:val="19"/>
              </w:rPr>
              <w:t>,</w:t>
            </w:r>
            <w:r w:rsidRPr="0098371B">
              <w:rPr>
                <w:sz w:val="19"/>
                <w:szCs w:val="19"/>
              </w:rPr>
              <w:t xml:space="preserve"> the habitat suitable for mulloway would have contracted by 17% in 2017-18, 34% by 2018-19</w:t>
            </w:r>
            <w:r>
              <w:rPr>
                <w:sz w:val="19"/>
                <w:szCs w:val="19"/>
              </w:rPr>
              <w:t>,</w:t>
            </w:r>
            <w:r w:rsidRPr="0098371B">
              <w:rPr>
                <w:sz w:val="19"/>
                <w:szCs w:val="19"/>
              </w:rPr>
              <w:t xml:space="preserve"> and 40% in 2019-20. A similar trend is evident for black bream, Tamar goby, greenback flounder, yelloweye mullet, congolli and smallmouth </w:t>
            </w:r>
            <w:proofErr w:type="spellStart"/>
            <w:r w:rsidRPr="0098371B">
              <w:rPr>
                <w:sz w:val="19"/>
                <w:szCs w:val="19"/>
              </w:rPr>
              <w:t>hardyhead</w:t>
            </w:r>
            <w:proofErr w:type="spellEnd"/>
            <w:r w:rsidRPr="0098371B">
              <w:rPr>
                <w:sz w:val="19"/>
                <w:szCs w:val="19"/>
              </w:rPr>
              <w:t>.</w:t>
            </w:r>
            <w:r>
              <w:rPr>
                <w:sz w:val="19"/>
                <w:szCs w:val="19"/>
              </w:rPr>
              <w:t xml:space="preserve"> </w:t>
            </w:r>
          </w:p>
          <w:p w14:paraId="33C2AB7A" w14:textId="77777777" w:rsidR="00EF1BA6" w:rsidRPr="0098371B" w:rsidRDefault="00EF1BA6" w:rsidP="00A90A24">
            <w:pPr>
              <w:jc w:val="left"/>
              <w:rPr>
                <w:sz w:val="19"/>
                <w:szCs w:val="19"/>
              </w:rPr>
            </w:pPr>
            <w:r>
              <w:rPr>
                <w:sz w:val="19"/>
                <w:szCs w:val="19"/>
              </w:rPr>
              <w:t>A major expansion of suitable habitat into the South Coorong is critically important to restore biodiversity in this recovering ecosystem.</w:t>
            </w:r>
          </w:p>
        </w:tc>
      </w:tr>
    </w:tbl>
    <w:p w14:paraId="01A5E030" w14:textId="77777777" w:rsidR="00EF1BA6" w:rsidRPr="00AE4E36" w:rsidRDefault="00EF1BA6" w:rsidP="00EF1BA6">
      <w:pPr>
        <w:spacing w:before="0" w:after="0" w:line="240" w:lineRule="auto"/>
        <w:jc w:val="left"/>
        <w:rPr>
          <w:color w:val="auto"/>
          <w:kern w:val="0"/>
          <w:sz w:val="19"/>
          <w:szCs w:val="19"/>
          <w:lang w:bidi="en-US"/>
        </w:rPr>
      </w:pPr>
    </w:p>
    <w:p w14:paraId="539646C9" w14:textId="77777777" w:rsidR="00EF1BA6" w:rsidRDefault="00EF1BA6" w:rsidP="00EF1BA6">
      <w:pPr>
        <w:spacing w:before="0" w:after="0" w:line="240" w:lineRule="auto"/>
        <w:jc w:val="left"/>
        <w:rPr>
          <w:color w:val="auto"/>
          <w:kern w:val="0"/>
          <w:sz w:val="19"/>
          <w:szCs w:val="19"/>
          <w:lang w:val="en-US" w:bidi="en-US"/>
        </w:rPr>
      </w:pPr>
      <w:r>
        <w:rPr>
          <w:color w:val="auto"/>
          <w:kern w:val="0"/>
          <w:sz w:val="19"/>
          <w:szCs w:val="19"/>
          <w:lang w:val="en-US" w:bidi="en-US"/>
        </w:rPr>
        <w:t>Contribution (to what extent CEW contributed towards the outcome, with the significance of the outcome considered):</w:t>
      </w:r>
    </w:p>
    <w:tbl>
      <w:tblPr>
        <w:tblW w:w="7278" w:type="dxa"/>
        <w:tblLook w:val="04A0" w:firstRow="1" w:lastRow="0" w:firstColumn="1" w:lastColumn="0" w:noHBand="0" w:noVBand="1"/>
      </w:tblPr>
      <w:tblGrid>
        <w:gridCol w:w="222"/>
        <w:gridCol w:w="1066"/>
        <w:gridCol w:w="222"/>
        <w:gridCol w:w="1069"/>
        <w:gridCol w:w="222"/>
        <w:gridCol w:w="1704"/>
        <w:gridCol w:w="222"/>
        <w:gridCol w:w="727"/>
        <w:gridCol w:w="222"/>
        <w:gridCol w:w="1144"/>
        <w:gridCol w:w="222"/>
        <w:gridCol w:w="1210"/>
      </w:tblGrid>
      <w:tr w:rsidR="00EF1BA6" w14:paraId="5B7CA969" w14:textId="77777777" w:rsidTr="00A90A24">
        <w:tc>
          <w:tcPr>
            <w:tcW w:w="222" w:type="dxa"/>
            <w:shd w:val="clear" w:color="auto" w:fill="D9D9D9" w:themeFill="background1" w:themeFillShade="D9"/>
          </w:tcPr>
          <w:p w14:paraId="47267373" w14:textId="77777777" w:rsidR="00EF1BA6" w:rsidRDefault="00EF1BA6" w:rsidP="00A90A24">
            <w:pPr>
              <w:rPr>
                <w:sz w:val="19"/>
                <w:szCs w:val="19"/>
              </w:rPr>
            </w:pPr>
          </w:p>
        </w:tc>
        <w:tc>
          <w:tcPr>
            <w:tcW w:w="1066" w:type="dxa"/>
            <w:vAlign w:val="center"/>
            <w:hideMark/>
          </w:tcPr>
          <w:p w14:paraId="2927CD55" w14:textId="77777777" w:rsidR="00EF1BA6" w:rsidRDefault="00EF1BA6" w:rsidP="00A90A24">
            <w:pPr>
              <w:rPr>
                <w:sz w:val="19"/>
                <w:szCs w:val="19"/>
              </w:rPr>
            </w:pPr>
            <w:r>
              <w:rPr>
                <w:sz w:val="19"/>
                <w:szCs w:val="19"/>
              </w:rPr>
              <w:t>Unknown</w:t>
            </w:r>
          </w:p>
        </w:tc>
        <w:tc>
          <w:tcPr>
            <w:tcW w:w="222" w:type="dxa"/>
            <w:shd w:val="clear" w:color="auto" w:fill="FF0000"/>
            <w:vAlign w:val="center"/>
          </w:tcPr>
          <w:p w14:paraId="76FD0573" w14:textId="77777777" w:rsidR="00EF1BA6" w:rsidRDefault="00EF1BA6" w:rsidP="00A90A24">
            <w:pPr>
              <w:rPr>
                <w:sz w:val="19"/>
                <w:szCs w:val="19"/>
              </w:rPr>
            </w:pPr>
          </w:p>
        </w:tc>
        <w:tc>
          <w:tcPr>
            <w:tcW w:w="1069" w:type="dxa"/>
            <w:vAlign w:val="center"/>
            <w:hideMark/>
          </w:tcPr>
          <w:p w14:paraId="63C7093B" w14:textId="77777777" w:rsidR="00EF1BA6" w:rsidRDefault="00EF1BA6" w:rsidP="00A90A24">
            <w:pPr>
              <w:rPr>
                <w:sz w:val="19"/>
                <w:szCs w:val="19"/>
              </w:rPr>
            </w:pPr>
            <w:r>
              <w:rPr>
                <w:sz w:val="19"/>
                <w:szCs w:val="19"/>
              </w:rPr>
              <w:t>Negative</w:t>
            </w:r>
          </w:p>
        </w:tc>
        <w:tc>
          <w:tcPr>
            <w:tcW w:w="222" w:type="dxa"/>
            <w:shd w:val="clear" w:color="auto" w:fill="E2EFD9" w:themeFill="accent6" w:themeFillTint="33"/>
            <w:vAlign w:val="center"/>
          </w:tcPr>
          <w:p w14:paraId="65BA1165" w14:textId="77777777" w:rsidR="00EF1BA6" w:rsidRDefault="00EF1BA6" w:rsidP="00A90A24">
            <w:pPr>
              <w:rPr>
                <w:sz w:val="19"/>
                <w:szCs w:val="19"/>
              </w:rPr>
            </w:pPr>
          </w:p>
        </w:tc>
        <w:tc>
          <w:tcPr>
            <w:tcW w:w="1704" w:type="dxa"/>
            <w:vAlign w:val="center"/>
            <w:hideMark/>
          </w:tcPr>
          <w:p w14:paraId="2E3A3E49" w14:textId="77777777" w:rsidR="00EF1BA6" w:rsidRDefault="00EF1BA6" w:rsidP="00A90A24">
            <w:pPr>
              <w:rPr>
                <w:sz w:val="19"/>
                <w:szCs w:val="19"/>
              </w:rPr>
            </w:pPr>
            <w:r>
              <w:rPr>
                <w:sz w:val="19"/>
                <w:szCs w:val="19"/>
              </w:rPr>
              <w:t>None/negligible</w:t>
            </w:r>
          </w:p>
        </w:tc>
        <w:tc>
          <w:tcPr>
            <w:tcW w:w="222" w:type="dxa"/>
            <w:shd w:val="clear" w:color="auto" w:fill="A8D08D" w:themeFill="accent6" w:themeFillTint="99"/>
            <w:vAlign w:val="center"/>
          </w:tcPr>
          <w:p w14:paraId="0B745442" w14:textId="77777777" w:rsidR="00EF1BA6" w:rsidRDefault="00EF1BA6" w:rsidP="00A90A24">
            <w:pPr>
              <w:rPr>
                <w:sz w:val="19"/>
                <w:szCs w:val="19"/>
              </w:rPr>
            </w:pPr>
          </w:p>
        </w:tc>
        <w:tc>
          <w:tcPr>
            <w:tcW w:w="727" w:type="dxa"/>
            <w:vAlign w:val="center"/>
            <w:hideMark/>
          </w:tcPr>
          <w:p w14:paraId="08D1245F" w14:textId="77777777" w:rsidR="00EF1BA6" w:rsidRDefault="00EF1BA6" w:rsidP="00A90A24">
            <w:pPr>
              <w:rPr>
                <w:sz w:val="19"/>
                <w:szCs w:val="19"/>
              </w:rPr>
            </w:pPr>
            <w:r>
              <w:rPr>
                <w:sz w:val="19"/>
                <w:szCs w:val="19"/>
              </w:rPr>
              <w:t>Minor</w:t>
            </w:r>
          </w:p>
        </w:tc>
        <w:tc>
          <w:tcPr>
            <w:tcW w:w="222" w:type="dxa"/>
            <w:shd w:val="clear" w:color="auto" w:fill="70AD47" w:themeFill="accent6"/>
            <w:vAlign w:val="center"/>
          </w:tcPr>
          <w:p w14:paraId="5A6D136C" w14:textId="77777777" w:rsidR="00EF1BA6" w:rsidRDefault="00EF1BA6" w:rsidP="00A90A24">
            <w:pPr>
              <w:rPr>
                <w:sz w:val="19"/>
                <w:szCs w:val="19"/>
              </w:rPr>
            </w:pPr>
          </w:p>
        </w:tc>
        <w:tc>
          <w:tcPr>
            <w:tcW w:w="1144" w:type="dxa"/>
            <w:vAlign w:val="center"/>
            <w:hideMark/>
          </w:tcPr>
          <w:p w14:paraId="258EF7F1" w14:textId="77777777" w:rsidR="00EF1BA6" w:rsidRDefault="00EF1BA6" w:rsidP="00A90A24">
            <w:pPr>
              <w:rPr>
                <w:sz w:val="19"/>
                <w:szCs w:val="19"/>
              </w:rPr>
            </w:pPr>
            <w:r>
              <w:rPr>
                <w:sz w:val="19"/>
                <w:szCs w:val="19"/>
              </w:rPr>
              <w:t>Moderate</w:t>
            </w:r>
          </w:p>
        </w:tc>
        <w:tc>
          <w:tcPr>
            <w:tcW w:w="222" w:type="dxa"/>
            <w:shd w:val="clear" w:color="auto" w:fill="5B9BD5" w:themeFill="accent1"/>
          </w:tcPr>
          <w:p w14:paraId="78CAACFE" w14:textId="77777777" w:rsidR="00EF1BA6" w:rsidRDefault="00EF1BA6" w:rsidP="00A90A24">
            <w:pPr>
              <w:rPr>
                <w:sz w:val="19"/>
                <w:szCs w:val="19"/>
              </w:rPr>
            </w:pPr>
          </w:p>
        </w:tc>
        <w:tc>
          <w:tcPr>
            <w:tcW w:w="236" w:type="dxa"/>
            <w:vAlign w:val="center"/>
            <w:hideMark/>
          </w:tcPr>
          <w:p w14:paraId="125B8151" w14:textId="77777777" w:rsidR="00EF1BA6" w:rsidRDefault="00EF1BA6" w:rsidP="00A90A24">
            <w:pPr>
              <w:jc w:val="left"/>
              <w:rPr>
                <w:sz w:val="19"/>
                <w:szCs w:val="19"/>
              </w:rPr>
            </w:pPr>
            <w:r>
              <w:rPr>
                <w:sz w:val="19"/>
                <w:szCs w:val="19"/>
              </w:rPr>
              <w:t>Substantial</w:t>
            </w:r>
          </w:p>
        </w:tc>
      </w:tr>
    </w:tbl>
    <w:p w14:paraId="587C08B2" w14:textId="77777777" w:rsidR="00EF1BA6" w:rsidRDefault="00EF1BA6" w:rsidP="00EF1BA6"/>
    <w:p w14:paraId="29666F8E" w14:textId="77777777" w:rsidR="00EF1BA6" w:rsidRDefault="00EF1BA6" w:rsidP="00EF1BA6">
      <w:pPr>
        <w:pStyle w:val="Heading3"/>
      </w:pPr>
      <w:r w:rsidRPr="00A229CC">
        <w:t>Discussion</w:t>
      </w:r>
    </w:p>
    <w:p w14:paraId="59D25AB9" w14:textId="77777777" w:rsidR="00EF1BA6" w:rsidRDefault="00EF1BA6" w:rsidP="00EF1BA6">
      <w:r>
        <w:rPr>
          <w:lang w:eastAsia="en-AU"/>
        </w:rPr>
        <w:t>Salinity is a key determinant of habitat suitability in the Coorong, and</w:t>
      </w:r>
      <w:r>
        <w:t xml:space="preserve"> is primarily a function of riverine inflows, seawater ingress and tidal movement. When barrage flows are low, seawater enters the Murray Mouth and more salt is then transported to the Coorong. Environmental water contributed 100% of flow over the barrages in 2018-19 and 2019-20. It is evident that environmental water is critical for maintaining appropriate salinity in the Coorong and maintaining suitable habitat. If environmental water had not been delivered in 2019-20, an additional 1.7 million tonnes of salt would have accumulated in the South Lagoon.</w:t>
      </w:r>
    </w:p>
    <w:p w14:paraId="75EF57A0" w14:textId="77777777" w:rsidR="00EF1BA6" w:rsidRPr="000805C8" w:rsidRDefault="00EF1BA6" w:rsidP="00EF1BA6">
      <w:pPr>
        <w:rPr>
          <w:lang w:eastAsia="en-AU"/>
        </w:rPr>
      </w:pPr>
      <w:r>
        <w:t xml:space="preserve">The area of suitable habitat for </w:t>
      </w:r>
      <w:proofErr w:type="spellStart"/>
      <w:r w:rsidRPr="00ED3172">
        <w:rPr>
          <w:i/>
          <w:iCs/>
        </w:rPr>
        <w:t>Ruppia</w:t>
      </w:r>
      <w:proofErr w:type="spellEnd"/>
      <w:r>
        <w:t xml:space="preserve"> sexual reproduction increased over the three-year period from approximately 20 to 40 km</w:t>
      </w:r>
      <w:r>
        <w:rPr>
          <w:szCs w:val="21"/>
          <w:vertAlign w:val="superscript"/>
        </w:rPr>
        <w:t>2</w:t>
      </w:r>
      <w:r>
        <w:rPr>
          <w:szCs w:val="21"/>
        </w:rPr>
        <w:t>,</w:t>
      </w:r>
      <w:r>
        <w:t xml:space="preserve"> </w:t>
      </w:r>
      <w:r>
        <w:rPr>
          <w:lang w:eastAsia="en-AU"/>
        </w:rPr>
        <w:t xml:space="preserve">largely attributable to an anticipated improvement in flowering success. The salinity at the commencement of the simulation is likely to have an impact on the habitat suitability area. The large flows in 2016-17 would have ‘reset’ salinity in the Coorong which progressively became more saline moving the salinity to above the minimum threshold ranges set for habitat suitability. With additional environmental water, this return above the minimum salinity happened quicker. Care needs to be taken when interpreting this result as prolonged conditions with no barrage flow are detrimental to the system and the habitat suitability will be highly dependent on the antecedent flow. When looking at the habitat maps, it was noted the overall habitat area hadn’t </w:t>
      </w:r>
      <w:r w:rsidRPr="000805C8">
        <w:rPr>
          <w:lang w:eastAsia="en-AU"/>
        </w:rPr>
        <w:t>changed significantly, but that there was a significant improvement in the South Lagoon, which is a critical target for restoration.</w:t>
      </w:r>
    </w:p>
    <w:p w14:paraId="7A018EF5" w14:textId="5A352B62" w:rsidR="00EF1BA6" w:rsidRDefault="00EF1BA6" w:rsidP="00EF1BA6">
      <w:pPr>
        <w:rPr>
          <w:lang w:eastAsia="en-AU"/>
        </w:rPr>
      </w:pPr>
      <w:r w:rsidRPr="000805C8">
        <w:rPr>
          <w:lang w:eastAsia="en-AU"/>
        </w:rPr>
        <w:t>The suitable habitat area for adult</w:t>
      </w:r>
      <w:r>
        <w:rPr>
          <w:lang w:eastAsia="en-AU"/>
        </w:rPr>
        <w:t xml:space="preserve"> plants</w:t>
      </w:r>
      <w:r w:rsidRPr="000805C8">
        <w:rPr>
          <w:lang w:eastAsia="en-AU"/>
        </w:rPr>
        <w:t xml:space="preserve"> appears to be slightly higher with no environmental water delivery. This contradicts the hypothesis that environmental flows favour </w:t>
      </w:r>
      <w:proofErr w:type="spellStart"/>
      <w:r w:rsidRPr="000805C8">
        <w:rPr>
          <w:i/>
          <w:lang w:eastAsia="en-AU"/>
        </w:rPr>
        <w:t>Ruppia</w:t>
      </w:r>
      <w:proofErr w:type="spellEnd"/>
      <w:r w:rsidRPr="000805C8">
        <w:rPr>
          <w:lang w:eastAsia="en-AU"/>
        </w:rPr>
        <w:t xml:space="preserve"> growth, and the observations noted above about the expansion of suitable area into the South Lagoon. </w:t>
      </w:r>
      <w:r w:rsidR="009D2976" w:rsidRPr="000805C8">
        <w:rPr>
          <w:lang w:eastAsia="en-AU"/>
        </w:rPr>
        <w:t>The fact that the area of favourable habitat increases 2018</w:t>
      </w:r>
      <w:r w:rsidR="009D2976">
        <w:rPr>
          <w:lang w:eastAsia="en-AU"/>
        </w:rPr>
        <w:t>-19</w:t>
      </w:r>
      <w:r w:rsidR="009D2976" w:rsidRPr="000805C8">
        <w:rPr>
          <w:lang w:eastAsia="en-AU"/>
        </w:rPr>
        <w:t xml:space="preserve"> over the 2017</w:t>
      </w:r>
      <w:r w:rsidR="009D2976">
        <w:rPr>
          <w:lang w:eastAsia="en-AU"/>
        </w:rPr>
        <w:t>-18</w:t>
      </w:r>
      <w:r w:rsidR="009D2976" w:rsidRPr="000805C8">
        <w:rPr>
          <w:lang w:eastAsia="en-AU"/>
        </w:rPr>
        <w:t xml:space="preserve"> area in the base case scenario suggests that it is the minimum salinity threshold that is leading to this result. </w:t>
      </w:r>
      <w:r w:rsidRPr="000805C8">
        <w:rPr>
          <w:lang w:eastAsia="en-AU"/>
        </w:rPr>
        <w:t xml:space="preserve">Following the large flow of 2016-17 the Coorong was fresher but steadily became more saline with the lower river flow over the barrages in subsequent years. This appears to have slightly improved the condition for </w:t>
      </w:r>
      <w:proofErr w:type="spellStart"/>
      <w:r w:rsidRPr="000805C8">
        <w:rPr>
          <w:i/>
          <w:lang w:eastAsia="en-AU"/>
        </w:rPr>
        <w:t>Ruppia</w:t>
      </w:r>
      <w:proofErr w:type="spellEnd"/>
      <w:r w:rsidRPr="000805C8">
        <w:rPr>
          <w:lang w:eastAsia="en-AU"/>
        </w:rPr>
        <w:t>. Further sensitivity testing of the model to the minimum salinity threshold concentration will occur in subsequent years when more flow scenarios are available. This result highlights the importance of using multiple years of flow in the Coorong modelling as the Coorong has ‘memory’ and salinity is a function of historical salt loading as well as annual inputs and outputs.</w:t>
      </w:r>
    </w:p>
    <w:p w14:paraId="28D63455" w14:textId="77777777" w:rsidR="00EF1BA6" w:rsidRDefault="00EF1BA6" w:rsidP="00EF1BA6">
      <w:pPr>
        <w:rPr>
          <w:lang w:eastAsia="en-AU"/>
        </w:rPr>
      </w:pPr>
      <w:r w:rsidRPr="00E016ED">
        <w:rPr>
          <w:lang w:eastAsia="en-AU"/>
        </w:rPr>
        <w:t xml:space="preserve">The estuarine fish species that inhabit the Coorong vary slightly in their tolerance to salinity with yellow-eye mullet, congolli and smallmouth </w:t>
      </w:r>
      <w:proofErr w:type="spellStart"/>
      <w:r w:rsidRPr="00E016ED">
        <w:rPr>
          <w:lang w:eastAsia="en-AU"/>
        </w:rPr>
        <w:t>hardyhead</w:t>
      </w:r>
      <w:proofErr w:type="spellEnd"/>
      <w:r w:rsidRPr="00E016ED">
        <w:rPr>
          <w:lang w:eastAsia="en-AU"/>
        </w:rPr>
        <w:t xml:space="preserve"> able to tolerate more saline conditions.</w:t>
      </w:r>
      <w:r>
        <w:rPr>
          <w:lang w:eastAsia="en-AU"/>
        </w:rPr>
        <w:t xml:space="preserve"> Fish differ from </w:t>
      </w:r>
      <w:proofErr w:type="spellStart"/>
      <w:r w:rsidRPr="000805C8">
        <w:rPr>
          <w:i/>
          <w:iCs/>
          <w:lang w:eastAsia="en-AU"/>
        </w:rPr>
        <w:t>Ruppia</w:t>
      </w:r>
      <w:proofErr w:type="spellEnd"/>
      <w:r>
        <w:rPr>
          <w:lang w:eastAsia="en-AU"/>
        </w:rPr>
        <w:t xml:space="preserve"> in that they can move in response to changing salinity and habitat suitability. It is generally considered advantageous to have a greater area of habitat with suitable water quality (e.g. salinity) and abundant food resources to support the maintenance of fish populations. Estuaries are important feeding, spawning, </w:t>
      </w:r>
      <w:proofErr w:type="gramStart"/>
      <w:r>
        <w:rPr>
          <w:lang w:eastAsia="en-AU"/>
        </w:rPr>
        <w:t>nursery</w:t>
      </w:r>
      <w:proofErr w:type="gramEnd"/>
      <w:r>
        <w:rPr>
          <w:lang w:eastAsia="en-AU"/>
        </w:rPr>
        <w:t xml:space="preserve"> and refuge grounds for many estuarine dependent fish species (Bice </w:t>
      </w:r>
      <w:r w:rsidRPr="00313918">
        <w:rPr>
          <w:i/>
          <w:iCs/>
          <w:lang w:eastAsia="en-AU"/>
        </w:rPr>
        <w:t>et al.</w:t>
      </w:r>
      <w:r>
        <w:rPr>
          <w:lang w:eastAsia="en-AU"/>
        </w:rPr>
        <w:t xml:space="preserve"> 2018). Without environmental water, fish habitat contracts quickly and significantly. Even after the high flow year in 2016-17, if there was no environmental water in 2017-18, significant habitat contraction would have occurred. As mulloway and Tamar goby have the smallest area of suitable habitat, this contraction would have the most profound impact on these species, followed by black bream, greenback flounder and yellow-eye mullet. Habitat for the more salinity tolerant congolli and smallmouth </w:t>
      </w:r>
      <w:proofErr w:type="spellStart"/>
      <w:r>
        <w:rPr>
          <w:lang w:eastAsia="en-AU"/>
        </w:rPr>
        <w:t>hardyhead</w:t>
      </w:r>
      <w:proofErr w:type="spellEnd"/>
      <w:r>
        <w:rPr>
          <w:lang w:eastAsia="en-AU"/>
        </w:rPr>
        <w:t xml:space="preserve"> would not have changed as significantly in 2017-18 as for the other species. Consecutive years of no environmental water reduced suitable habitat by up to 45% within three years and even the highly salt-tolerant smallmouth </w:t>
      </w:r>
      <w:proofErr w:type="spellStart"/>
      <w:r>
        <w:rPr>
          <w:lang w:eastAsia="en-AU"/>
        </w:rPr>
        <w:t>hardyhead</w:t>
      </w:r>
      <w:proofErr w:type="spellEnd"/>
      <w:r>
        <w:rPr>
          <w:lang w:eastAsia="en-AU"/>
        </w:rPr>
        <w:t xml:space="preserve"> experienced a &gt;20% contraction of suitable habitat.</w:t>
      </w:r>
    </w:p>
    <w:p w14:paraId="3CA266F0" w14:textId="77777777" w:rsidR="00EF1BA6" w:rsidRDefault="00EF1BA6" w:rsidP="00EF1BA6">
      <w:pPr>
        <w:pStyle w:val="Heading3"/>
      </w:pPr>
      <w:r>
        <w:t>Management implications</w:t>
      </w:r>
    </w:p>
    <w:p w14:paraId="4369C574" w14:textId="0CB40395" w:rsidR="009D2976" w:rsidRDefault="009D2976" w:rsidP="009D2976">
      <w:pPr>
        <w:rPr>
          <w:lang w:eastAsia="en-AU"/>
        </w:rPr>
      </w:pPr>
      <w:r>
        <w:rPr>
          <w:lang w:eastAsia="en-AU"/>
        </w:rPr>
        <w:t xml:space="preserve">Flow over the barrages is critical to maintain sexual reproduction of </w:t>
      </w:r>
      <w:proofErr w:type="spellStart"/>
      <w:r w:rsidRPr="0011556C">
        <w:rPr>
          <w:i/>
          <w:iCs/>
          <w:lang w:eastAsia="en-AU"/>
        </w:rPr>
        <w:t>Ruppia</w:t>
      </w:r>
      <w:proofErr w:type="spellEnd"/>
      <w:r>
        <w:rPr>
          <w:lang w:eastAsia="en-AU"/>
        </w:rPr>
        <w:t xml:space="preserve">. The starting salinity conditions are important and environmental flows could be tailored to improve </w:t>
      </w:r>
      <w:proofErr w:type="spellStart"/>
      <w:r>
        <w:rPr>
          <w:i/>
          <w:lang w:eastAsia="en-AU"/>
        </w:rPr>
        <w:t>Ruppia</w:t>
      </w:r>
      <w:proofErr w:type="spellEnd"/>
      <w:r>
        <w:rPr>
          <w:lang w:eastAsia="en-AU"/>
        </w:rPr>
        <w:t xml:space="preserve"> habitat suitability. These environmental flows would need to consider the health of </w:t>
      </w:r>
      <w:proofErr w:type="spellStart"/>
      <w:r w:rsidRPr="0011556C">
        <w:rPr>
          <w:i/>
          <w:iCs/>
          <w:lang w:eastAsia="en-AU"/>
        </w:rPr>
        <w:t>Ruppia</w:t>
      </w:r>
      <w:proofErr w:type="spellEnd"/>
      <w:r>
        <w:rPr>
          <w:lang w:eastAsia="en-AU"/>
        </w:rPr>
        <w:t xml:space="preserve"> in the system, the extent of </w:t>
      </w:r>
      <w:proofErr w:type="spellStart"/>
      <w:r>
        <w:rPr>
          <w:i/>
          <w:lang w:eastAsia="en-AU"/>
        </w:rPr>
        <w:t>Ruppia</w:t>
      </w:r>
      <w:proofErr w:type="spellEnd"/>
      <w:r>
        <w:rPr>
          <w:lang w:eastAsia="en-AU"/>
        </w:rPr>
        <w:t xml:space="preserve"> cover and the prevailing salinity. </w:t>
      </w:r>
      <w:r w:rsidRPr="00DE13C5">
        <w:rPr>
          <w:lang w:eastAsia="en-AU"/>
        </w:rPr>
        <w:t>The model could</w:t>
      </w:r>
      <w:r>
        <w:rPr>
          <w:lang w:eastAsia="en-AU"/>
        </w:rPr>
        <w:t xml:space="preserve"> potentially</w:t>
      </w:r>
      <w:r w:rsidRPr="00DE13C5">
        <w:rPr>
          <w:lang w:eastAsia="en-AU"/>
        </w:rPr>
        <w:t xml:space="preserve"> be used to optimise environmental water delivery through the barrages to maximise the area of suitable </w:t>
      </w:r>
      <w:proofErr w:type="spellStart"/>
      <w:r w:rsidRPr="004714E9">
        <w:rPr>
          <w:i/>
          <w:iCs/>
          <w:lang w:eastAsia="en-AU"/>
        </w:rPr>
        <w:t>Ruppia</w:t>
      </w:r>
      <w:proofErr w:type="spellEnd"/>
      <w:r w:rsidRPr="00DE13C5">
        <w:rPr>
          <w:lang w:eastAsia="en-AU"/>
        </w:rPr>
        <w:t xml:space="preserve"> habitat based on the volume of water available</w:t>
      </w:r>
      <w:r>
        <w:rPr>
          <w:lang w:eastAsia="en-AU"/>
        </w:rPr>
        <w:t>.</w:t>
      </w:r>
    </w:p>
    <w:p w14:paraId="54AB8C35" w14:textId="77777777" w:rsidR="00EF1BA6" w:rsidRDefault="00EF1BA6" w:rsidP="00EF1BA6">
      <w:pPr>
        <w:rPr>
          <w:lang w:eastAsia="en-AU"/>
        </w:rPr>
      </w:pPr>
      <w:r>
        <w:rPr>
          <w:lang w:eastAsia="en-AU"/>
        </w:rPr>
        <w:t xml:space="preserve">The area of suitable estuarine fish habitat is very sensitive to river flow over the barrages. </w:t>
      </w:r>
      <w:r>
        <w:t>Environmental flows lead to fresher conditions in the Coorong and an expansion of suitable fish habitat area. Without environmental flows, the suitable habitat contracts for a range of fish species (</w:t>
      </w:r>
      <w:proofErr w:type="gramStart"/>
      <w:r>
        <w:t>e.g.</w:t>
      </w:r>
      <w:proofErr w:type="gramEnd"/>
      <w:r>
        <w:t xml:space="preserve"> mulloway, black bream, Tamar goby, greenback flounder, yellow-eye mullet and congolli). Smallmouth </w:t>
      </w:r>
      <w:proofErr w:type="spellStart"/>
      <w:r>
        <w:t>hardyhead</w:t>
      </w:r>
      <w:proofErr w:type="spellEnd"/>
      <w:r>
        <w:t xml:space="preserve"> are more salt-tolerant and their habitat also contracts with no environmental water but the major impact on habitat suitability took one year longer to manifest than the other species. To maintain suitable habitat for the range of estuarine species, environmental flows should be maintained to support barrage releases every year. Without environmental flows in 2019-20, there would have been an 18% contraction in suitable habitat for mulloway in the Coorong. Three years with environmental flows would have reduced mulloway habitat by 40%.</w:t>
      </w:r>
    </w:p>
    <w:p w14:paraId="5E6CFECF" w14:textId="77777777" w:rsidR="00BF0952" w:rsidRDefault="00BF0952" w:rsidP="00BF0952">
      <w:pPr>
        <w:pStyle w:val="Heading3"/>
      </w:pPr>
      <w:r w:rsidRPr="00A229CC">
        <w:t>Conclusion</w:t>
      </w:r>
      <w:r>
        <w:t xml:space="preserve"> </w:t>
      </w:r>
    </w:p>
    <w:p w14:paraId="1D7C6D81" w14:textId="741FB695" w:rsidR="00EF1BA6" w:rsidRDefault="00EF1BA6" w:rsidP="00EF1BA6">
      <w:r>
        <w:t xml:space="preserve">Environmental water contributed to a significant increase in the area of suitable habitat for estuarine fish and improve habitat suitability for </w:t>
      </w:r>
      <w:proofErr w:type="spellStart"/>
      <w:r w:rsidRPr="004737F9">
        <w:rPr>
          <w:i/>
          <w:iCs/>
        </w:rPr>
        <w:t>Ruppia</w:t>
      </w:r>
      <w:proofErr w:type="spellEnd"/>
      <w:r>
        <w:t xml:space="preserve"> to complete sexual </w:t>
      </w:r>
      <w:proofErr w:type="gramStart"/>
      <w:r>
        <w:t>life-cycle</w:t>
      </w:r>
      <w:proofErr w:type="gramEnd"/>
      <w:r>
        <w:t xml:space="preserve"> in the Coorong. Environmental flows reduce salt import into the Murray Mouth and provide fresh water to the Coorong, which together maintain salinity conditions in the Coorong that expand the area of habitat suitable or fish. Environmental flows create conditions suitable for sexual reproduction of </w:t>
      </w:r>
      <w:proofErr w:type="spellStart"/>
      <w:r w:rsidRPr="0011556C">
        <w:rPr>
          <w:i/>
          <w:iCs/>
        </w:rPr>
        <w:t>Ruppia</w:t>
      </w:r>
      <w:proofErr w:type="spellEnd"/>
      <w:r>
        <w:t xml:space="preserve">. The suitable habitat for adult </w:t>
      </w:r>
      <w:proofErr w:type="spellStart"/>
      <w:r>
        <w:rPr>
          <w:i/>
        </w:rPr>
        <w:t>Ruppia</w:t>
      </w:r>
      <w:proofErr w:type="spellEnd"/>
      <w:r>
        <w:t xml:space="preserve"> was </w:t>
      </w:r>
      <w:r w:rsidR="004156EF">
        <w:t xml:space="preserve">overall neutral with </w:t>
      </w:r>
      <w:r>
        <w:t xml:space="preserve">environmental water than without environmental water. This may be a function of the starting conditions which were relatively ‘fresh’ following the high flows of 2016-17, and uncertainty around the lower salinity tolerance given the fresher conditions with environmental water. Habitat becomes more suitable in subsequent years. From the Millennium Drought, there is clear evidence that prolonged periods with no flow over the barrages create extreme hyper-saline conditions in the South Lagoon that are detrimental to </w:t>
      </w:r>
      <w:proofErr w:type="spellStart"/>
      <w:r>
        <w:rPr>
          <w:i/>
        </w:rPr>
        <w:t>Ruppia</w:t>
      </w:r>
      <w:proofErr w:type="spellEnd"/>
      <w:r>
        <w:rPr>
          <w:i/>
        </w:rPr>
        <w:t>,</w:t>
      </w:r>
      <w:r w:rsidRPr="00E06C4D">
        <w:rPr>
          <w:iCs/>
        </w:rPr>
        <w:t xml:space="preserve"> and the scenarios </w:t>
      </w:r>
      <w:r>
        <w:rPr>
          <w:iCs/>
        </w:rPr>
        <w:t xml:space="preserve">with environmental water </w:t>
      </w:r>
      <w:r w:rsidRPr="00E06C4D">
        <w:rPr>
          <w:iCs/>
        </w:rPr>
        <w:t xml:space="preserve">show a large expansion of </w:t>
      </w:r>
      <w:proofErr w:type="spellStart"/>
      <w:r w:rsidRPr="005A3EB9">
        <w:rPr>
          <w:i/>
        </w:rPr>
        <w:t>Ruppia</w:t>
      </w:r>
      <w:proofErr w:type="spellEnd"/>
      <w:r w:rsidRPr="00E06C4D">
        <w:rPr>
          <w:iCs/>
        </w:rPr>
        <w:t xml:space="preserve"> habitat in the South Lagoon</w:t>
      </w:r>
      <w:r>
        <w:t>.</w:t>
      </w:r>
    </w:p>
    <w:p w14:paraId="0AAC80FF" w14:textId="4981B20C" w:rsidR="009C13C5" w:rsidRDefault="00EF1BA6" w:rsidP="00EF1BA6">
      <w:pPr>
        <w:rPr>
          <w:rFonts w:eastAsiaTheme="majorEastAsia" w:cstheme="majorBidi"/>
          <w:b/>
          <w:i/>
          <w:color w:val="44546A" w:themeColor="text2"/>
          <w:sz w:val="26"/>
          <w:szCs w:val="24"/>
        </w:rPr>
      </w:pPr>
      <w:r>
        <w:t>Environmental flows lead to fresher conditions in the Coorong and an expansion of suitable fish habitat area. Without environmental water there is a contraction of fish habitat. The rate at which the suitable habitat contract will vary for the different fish species and is dependent upon the salinity at the commencement of the period of interest.</w:t>
      </w:r>
      <w:r>
        <w:rPr>
          <w:rFonts w:ascii="Times New Roman" w:eastAsiaTheme="minorHAnsi" w:hAnsi="Times New Roman"/>
          <w:color w:val="auto"/>
          <w:kern w:val="0"/>
          <w:sz w:val="24"/>
          <w:szCs w:val="24"/>
          <w:lang w:eastAsia="en-AU"/>
        </w:rPr>
        <w:t xml:space="preserve"> </w:t>
      </w:r>
      <w:r w:rsidR="009C13C5">
        <w:br w:type="page"/>
      </w:r>
    </w:p>
    <w:p w14:paraId="0E574E25" w14:textId="31ABDA67" w:rsidR="00BE09D3" w:rsidRDefault="00BE09D3" w:rsidP="00BE09D3">
      <w:pPr>
        <w:pStyle w:val="Heading2"/>
      </w:pPr>
      <w:bookmarkStart w:id="199" w:name="_Ref50026205"/>
      <w:bookmarkStart w:id="200" w:name="_Toc69309241"/>
      <w:bookmarkStart w:id="201" w:name="_Toc3558339"/>
      <w:r w:rsidRPr="00BE09D3">
        <w:t>Littoral Vegetation Diversity and Productivity</w:t>
      </w:r>
      <w:bookmarkEnd w:id="199"/>
      <w:bookmarkEnd w:id="200"/>
    </w:p>
    <w:p w14:paraId="5F62F949" w14:textId="77777777" w:rsidR="002C611C" w:rsidRPr="00E35C12" w:rsidRDefault="002C611C" w:rsidP="002C611C">
      <w:pPr>
        <w:pStyle w:val="Heading3"/>
      </w:pPr>
      <w:r w:rsidRPr="00E35C12">
        <w:t>Background</w:t>
      </w:r>
    </w:p>
    <w:p w14:paraId="730242CD" w14:textId="77777777" w:rsidR="002C611C" w:rsidRDefault="002C611C" w:rsidP="002C611C">
      <w:r>
        <w:t xml:space="preserve">Littoral (streambank) vegetation is an important component of the biota of riverine ecosystems. It is an important primary producer for both the riverine and terrestrial ecosystem (e.g. Roberts and </w:t>
      </w:r>
      <w:proofErr w:type="spellStart"/>
      <w:r>
        <w:t>Ganf</w:t>
      </w:r>
      <w:proofErr w:type="spellEnd"/>
      <w:r>
        <w:t xml:space="preserve"> 1986; </w:t>
      </w:r>
      <w:proofErr w:type="spellStart"/>
      <w:r>
        <w:t>Froend</w:t>
      </w:r>
      <w:proofErr w:type="spellEnd"/>
      <w:r>
        <w:t xml:space="preserve"> and </w:t>
      </w:r>
      <w:proofErr w:type="spellStart"/>
      <w:r>
        <w:t>McComb</w:t>
      </w:r>
      <w:proofErr w:type="spellEnd"/>
      <w:r>
        <w:t xml:space="preserve"> 1994), can improve water quality (e.g. Kadlec and Wallace 2009; Maddison </w:t>
      </w:r>
      <w:r w:rsidRPr="00773B4E">
        <w:rPr>
          <w:i/>
          <w:iCs/>
        </w:rPr>
        <w:t>et al.</w:t>
      </w:r>
      <w:r>
        <w:t xml:space="preserve"> 2009; Li </w:t>
      </w:r>
      <w:r w:rsidRPr="00773B4E">
        <w:rPr>
          <w:i/>
          <w:iCs/>
        </w:rPr>
        <w:t>et al.</w:t>
      </w:r>
      <w:r>
        <w:t xml:space="preserve"> 2010; </w:t>
      </w:r>
      <w:proofErr w:type="spellStart"/>
      <w:r>
        <w:t>Borin</w:t>
      </w:r>
      <w:proofErr w:type="spellEnd"/>
      <w:r>
        <w:t xml:space="preserve"> and </w:t>
      </w:r>
      <w:proofErr w:type="spellStart"/>
      <w:r>
        <w:t>Salvato</w:t>
      </w:r>
      <w:proofErr w:type="spellEnd"/>
      <w:r>
        <w:t xml:space="preserve"> 2012), oxygenate the sediment and water column (e.g. </w:t>
      </w:r>
      <w:proofErr w:type="spellStart"/>
      <w:r>
        <w:t>Blom</w:t>
      </w:r>
      <w:proofErr w:type="spellEnd"/>
      <w:r>
        <w:t xml:space="preserve"> </w:t>
      </w:r>
      <w:r w:rsidRPr="00773B4E">
        <w:rPr>
          <w:i/>
          <w:iCs/>
        </w:rPr>
        <w:t>et al.</w:t>
      </w:r>
      <w:r>
        <w:t xml:space="preserve"> 1990; Sorrell and Hawes 2010; </w:t>
      </w:r>
      <w:proofErr w:type="spellStart"/>
      <w:r>
        <w:t>Dickopp</w:t>
      </w:r>
      <w:proofErr w:type="spellEnd"/>
      <w:r>
        <w:t xml:space="preserve"> </w:t>
      </w:r>
      <w:r w:rsidRPr="00773B4E">
        <w:rPr>
          <w:i/>
          <w:iCs/>
        </w:rPr>
        <w:t>et al.</w:t>
      </w:r>
      <w:r>
        <w:t xml:space="preserve"> 2011), provide habitat for water birds (e.g. Jansen and Robertson 2001; Kapa and Clarkson 2009) and invertebrates (e.g. Papas 2007; Walker </w:t>
      </w:r>
      <w:r w:rsidRPr="00773B4E">
        <w:rPr>
          <w:i/>
          <w:iCs/>
        </w:rPr>
        <w:t>et al.</w:t>
      </w:r>
      <w:r>
        <w:t xml:space="preserve"> 2013) and stabilise banks (e.g. Abernethy and </w:t>
      </w:r>
      <w:proofErr w:type="spellStart"/>
      <w:r>
        <w:t>Rutherfurd</w:t>
      </w:r>
      <w:proofErr w:type="spellEnd"/>
      <w:r>
        <w:t xml:space="preserve"> 1998). Littoral zones are also hot spots for biodiversity because they contain a specialised group of species adapted to wetting and drying not found in aquatic or terrestrial systems and increase the species pool at the landscape scale (Sabo </w:t>
      </w:r>
      <w:r w:rsidRPr="00773B4E">
        <w:rPr>
          <w:i/>
          <w:iCs/>
        </w:rPr>
        <w:t>et al.</w:t>
      </w:r>
      <w:r>
        <w:t xml:space="preserve"> 2005).</w:t>
      </w:r>
    </w:p>
    <w:p w14:paraId="38C9B825" w14:textId="45392A3F" w:rsidR="002C611C" w:rsidRDefault="002C611C" w:rsidP="002C611C">
      <w:r>
        <w:t xml:space="preserve">Littoral vegetation responds rapidly to changes in water level (e.g. Nicol </w:t>
      </w:r>
      <w:r w:rsidRPr="00316835">
        <w:rPr>
          <w:i/>
          <w:iCs/>
        </w:rPr>
        <w:t>et al.</w:t>
      </w:r>
      <w:r>
        <w:t xml:space="preserve"> 2018a) as</w:t>
      </w:r>
      <w:r w:rsidRPr="00316835">
        <w:t xml:space="preserve"> </w:t>
      </w:r>
      <w:r>
        <w:t>inundation changes the physicochemical environment and acts as an environmental sieve (</w:t>
      </w:r>
      <w:proofErr w:type="spellStart"/>
      <w:r w:rsidRPr="00B66097">
        <w:rPr>
          <w:i/>
          <w:iCs/>
        </w:rPr>
        <w:t>sensu</w:t>
      </w:r>
      <w:proofErr w:type="spellEnd"/>
      <w:r>
        <w:t xml:space="preserve"> van der </w:t>
      </w:r>
      <w:proofErr w:type="spellStart"/>
      <w:r>
        <w:t>Valk</w:t>
      </w:r>
      <w:proofErr w:type="spellEnd"/>
      <w:r>
        <w:t xml:space="preserve"> 1981) producing conditions that are hostile to some species but favourable to others (e.g. Nicol </w:t>
      </w:r>
      <w:r w:rsidRPr="00B66097">
        <w:rPr>
          <w:i/>
          <w:iCs/>
        </w:rPr>
        <w:t>et al.</w:t>
      </w:r>
      <w:r>
        <w:t xml:space="preserve"> 2003). </w:t>
      </w:r>
      <w:r w:rsidRPr="00316835">
        <w:t>In riparian zones</w:t>
      </w:r>
      <w:r>
        <w:t>,</w:t>
      </w:r>
      <w:r w:rsidRPr="00316835">
        <w:t xml:space="preserve"> inundation often acts as disturbance</w:t>
      </w:r>
      <w:r>
        <w:t>,</w:t>
      </w:r>
      <w:r w:rsidRPr="00316835">
        <w:t xml:space="preserve"> </w:t>
      </w:r>
      <w:r>
        <w:t xml:space="preserve">removing the existing vegetation and providing an environment almost free of competition with high soil moisture </w:t>
      </w:r>
      <w:r w:rsidRPr="00316835">
        <w:t>(</w:t>
      </w:r>
      <w:r>
        <w:t xml:space="preserve">e.g. </w:t>
      </w:r>
      <w:r w:rsidRPr="009D0EF6">
        <w:t xml:space="preserve">Pettit and </w:t>
      </w:r>
      <w:proofErr w:type="spellStart"/>
      <w:r w:rsidRPr="009D0EF6">
        <w:t>Froend</w:t>
      </w:r>
      <w:proofErr w:type="spellEnd"/>
      <w:r w:rsidRPr="009D0EF6">
        <w:t xml:space="preserve"> 200</w:t>
      </w:r>
      <w:r>
        <w:t xml:space="preserve">1; </w:t>
      </w:r>
      <w:proofErr w:type="spellStart"/>
      <w:r w:rsidRPr="00316835">
        <w:t>Bagstad</w:t>
      </w:r>
      <w:proofErr w:type="spellEnd"/>
      <w:r w:rsidRPr="00316835">
        <w:t xml:space="preserve"> </w:t>
      </w:r>
      <w:r w:rsidRPr="00316835">
        <w:rPr>
          <w:i/>
          <w:iCs/>
        </w:rPr>
        <w:t>et al.</w:t>
      </w:r>
      <w:r w:rsidRPr="00316835">
        <w:t xml:space="preserve"> 2005</w:t>
      </w:r>
      <w:r>
        <w:t>;</w:t>
      </w:r>
      <w:r w:rsidRPr="00316835">
        <w:t xml:space="preserve"> Beauchamp and Stromberg 2008)</w:t>
      </w:r>
      <w:r>
        <w:t>. Due to the unpredictable nature of flooding regimes in arid Australian systems</w:t>
      </w:r>
      <w:r w:rsidRPr="00FC2993">
        <w:t xml:space="preserve"> (</w:t>
      </w:r>
      <w:proofErr w:type="spellStart"/>
      <w:r w:rsidRPr="00FC2993">
        <w:t>Puckridge</w:t>
      </w:r>
      <w:proofErr w:type="spellEnd"/>
      <w:r w:rsidRPr="00FC2993">
        <w:t xml:space="preserve"> </w:t>
      </w:r>
      <w:r w:rsidRPr="00FC2993">
        <w:rPr>
          <w:i/>
          <w:iCs/>
        </w:rPr>
        <w:t>et al.</w:t>
      </w:r>
      <w:r w:rsidRPr="00FC2993">
        <w:t xml:space="preserve"> 1998</w:t>
      </w:r>
      <w:r>
        <w:t>;</w:t>
      </w:r>
      <w:r w:rsidRPr="00FC2993">
        <w:t xml:space="preserve"> </w:t>
      </w:r>
      <w:proofErr w:type="spellStart"/>
      <w:r w:rsidRPr="00FC2993">
        <w:t>Puckridge</w:t>
      </w:r>
      <w:proofErr w:type="spellEnd"/>
      <w:r w:rsidRPr="00FC2993">
        <w:t xml:space="preserve"> </w:t>
      </w:r>
      <w:r w:rsidRPr="00FC2993">
        <w:rPr>
          <w:i/>
          <w:iCs/>
        </w:rPr>
        <w:t>et al.</w:t>
      </w:r>
      <w:r w:rsidRPr="00FC2993">
        <w:t xml:space="preserve"> 2000)</w:t>
      </w:r>
      <w:r>
        <w:t>, many littoral species are short-lived annuals that are adapted to take advantage of these brief periods of favourable conditions germinating as water levels recede, completing their life cycle whist soil moisture is high and competition is low and replenishing the seed bank (e.g. Nicol 2004; Capon 2007). These species persist in the soil seed bank whilst conditions are unfavourable and are examples of Grime’s (1979) r-selected species and have more in common with desert annuals than aquatic species (e.g. Nicol 2004; Capon 2007). Emergent and amphibious species (</w:t>
      </w:r>
      <w:proofErr w:type="spellStart"/>
      <w:r w:rsidRPr="00FC2993">
        <w:rPr>
          <w:i/>
          <w:iCs/>
        </w:rPr>
        <w:t>sensu</w:t>
      </w:r>
      <w:proofErr w:type="spellEnd"/>
      <w:r>
        <w:t xml:space="preserve"> Brock and Casanova 1997; Casanova 2011) are also present and are typically perennial taxa </w:t>
      </w:r>
      <w:r w:rsidRPr="00FC2993">
        <w:t xml:space="preserve">(Cunningham </w:t>
      </w:r>
      <w:r w:rsidRPr="00FC2993">
        <w:rPr>
          <w:i/>
          <w:iCs/>
        </w:rPr>
        <w:t>et al.</w:t>
      </w:r>
      <w:r w:rsidRPr="00FC2993">
        <w:t xml:space="preserve"> 1992)</w:t>
      </w:r>
      <w:r>
        <w:t xml:space="preserve"> adapted to persist or respond to inundation and exposure and often have a requirement of variable water levels to establish and/or reproduce (e.g. Brock and Casanova 1997; Casanova 2011; Nicol </w:t>
      </w:r>
      <w:r w:rsidRPr="0043622D">
        <w:rPr>
          <w:i/>
          <w:iCs/>
        </w:rPr>
        <w:t>et al.</w:t>
      </w:r>
      <w:r>
        <w:t xml:space="preserve"> 2018b). </w:t>
      </w:r>
    </w:p>
    <w:p w14:paraId="2DAA3F15" w14:textId="38136CCB" w:rsidR="002C611C" w:rsidRDefault="002C611C" w:rsidP="002C611C">
      <w:r>
        <w:t xml:space="preserve">Management of water levels in the </w:t>
      </w:r>
      <w:r w:rsidR="00CD41EB">
        <w:t>LMR</w:t>
      </w:r>
      <w:r>
        <w:t xml:space="preserve"> has typically focussed on maintaining stable water levels in lower weir pools, which can result in small increases in flow causing large water level rises in tailwaters immediately downstream of weirs (Maheshwari </w:t>
      </w:r>
      <w:r w:rsidRPr="005877FB">
        <w:rPr>
          <w:i/>
          <w:iCs/>
        </w:rPr>
        <w:t>et al.</w:t>
      </w:r>
      <w:r>
        <w:t xml:space="preserve"> 1995). Therefore, tailwaters represent areas where flood dependent and amphibious vegetation can persist in the absence of overbank flows over a wider range of the elevation gradient (Blanch </w:t>
      </w:r>
      <w:r w:rsidRPr="0043622D">
        <w:rPr>
          <w:i/>
          <w:iCs/>
        </w:rPr>
        <w:t>et al</w:t>
      </w:r>
      <w:r>
        <w:t xml:space="preserve">. 1999; Blanch </w:t>
      </w:r>
      <w:r w:rsidRPr="0043622D">
        <w:rPr>
          <w:i/>
          <w:iCs/>
        </w:rPr>
        <w:t>et al.</w:t>
      </w:r>
      <w:r>
        <w:t xml:space="preserve"> 2000). These water level changes make tailwaters an ideal location to assess the influence of Commonwealth environmental water as the volumes available for delivery will have a significant impact on water levels. The response of the vegetation along the elevation gradient in tailwaters can be exploited to evaluate the benefit of Commonwealth environmental water. </w:t>
      </w:r>
    </w:p>
    <w:p w14:paraId="6BE032F2" w14:textId="2335B600" w:rsidR="002C611C" w:rsidRPr="00C268C7" w:rsidRDefault="002C611C" w:rsidP="00147D1E">
      <w:pPr>
        <w:rPr>
          <w:szCs w:val="21"/>
        </w:rPr>
      </w:pPr>
      <w:r>
        <w:t>In 2019-20, Commonwealth environmental water was delivered to produce a spring pulse peaking at 15,569 ML/d in the LMR on 14 October. The aim of this study is to investigate the response of littoral vegetation to Commonwealth environmental water delivery by testing the hypotheses in the following section. This will be undertaken by comparing species composition and biomass between areas inundated and not inundated by the spring flow pulse.</w:t>
      </w:r>
      <w:r w:rsidR="00147D1E" w:rsidRPr="00C268C7">
        <w:rPr>
          <w:szCs w:val="21"/>
        </w:rPr>
        <w:t xml:space="preserve"> </w:t>
      </w:r>
    </w:p>
    <w:p w14:paraId="130F5F35" w14:textId="77777777" w:rsidR="002C611C" w:rsidRPr="005708C8" w:rsidRDefault="002C611C" w:rsidP="002C611C">
      <w:pPr>
        <w:rPr>
          <w:i/>
          <w:u w:val="single"/>
        </w:rPr>
      </w:pPr>
      <w:r w:rsidRPr="005708C8">
        <w:rPr>
          <w:i/>
          <w:u w:val="single"/>
        </w:rPr>
        <w:t>Major hypotheses</w:t>
      </w:r>
    </w:p>
    <w:p w14:paraId="4FC4404E" w14:textId="77777777" w:rsidR="002C611C" w:rsidRDefault="002C611C" w:rsidP="00103EF7">
      <w:pPr>
        <w:pStyle w:val="ListParagraph"/>
        <w:numPr>
          <w:ilvl w:val="0"/>
          <w:numId w:val="17"/>
        </w:numPr>
      </w:pPr>
      <w:r w:rsidRPr="00115B0F">
        <w:t>Increases in flow above regulated entitlement flow will result in increased water levels in the littoral zone that will facilitate the recruitment of floodplain and amphibious understorey species and in turn increase biological and functional diversity of the littoral zone plant community.</w:t>
      </w:r>
    </w:p>
    <w:p w14:paraId="36E3D830" w14:textId="018B4A1E" w:rsidR="002C611C" w:rsidRPr="00115B0F" w:rsidRDefault="002C611C" w:rsidP="00103EF7">
      <w:pPr>
        <w:pStyle w:val="ListParagraph"/>
        <w:numPr>
          <w:ilvl w:val="0"/>
          <w:numId w:val="17"/>
        </w:numPr>
      </w:pPr>
      <w:r w:rsidRPr="00115B0F">
        <w:t xml:space="preserve">The increase in water level due to increases in flow above regulated entitlement flow will result in increased productivity of littoral vegetation compared to </w:t>
      </w:r>
      <w:r w:rsidR="00E02C97">
        <w:t xml:space="preserve">non-inundated </w:t>
      </w:r>
      <w:r w:rsidRPr="00115B0F">
        <w:t>areas.</w:t>
      </w:r>
    </w:p>
    <w:p w14:paraId="5DE979D6" w14:textId="77777777" w:rsidR="002C611C" w:rsidRPr="005708C8" w:rsidRDefault="002C611C" w:rsidP="002C611C">
      <w:pPr>
        <w:pStyle w:val="Heading3"/>
      </w:pPr>
      <w:r w:rsidRPr="005708C8">
        <w:t>Methods</w:t>
      </w:r>
    </w:p>
    <w:p w14:paraId="60F3DCC2" w14:textId="77777777" w:rsidR="002C611C" w:rsidRPr="00E35C12" w:rsidRDefault="002C611C" w:rsidP="002C611C">
      <w:pPr>
        <w:rPr>
          <w:i/>
          <w:u w:val="single"/>
        </w:rPr>
      </w:pPr>
      <w:r>
        <w:rPr>
          <w:i/>
          <w:u w:val="single"/>
        </w:rPr>
        <w:t>Study sites and hydrology</w:t>
      </w:r>
    </w:p>
    <w:p w14:paraId="0668EC66" w14:textId="62911755" w:rsidR="002C611C" w:rsidRDefault="002C611C" w:rsidP="002C611C">
      <w:pPr>
        <w:rPr>
          <w:iCs/>
        </w:rPr>
      </w:pPr>
      <w:r>
        <w:rPr>
          <w:iCs/>
        </w:rPr>
        <w:t xml:space="preserve">Vegetation surveys were undertaken on the banks of the LMR in weir pool tailwaters downstream of Lock 1, Lock </w:t>
      </w:r>
      <w:proofErr w:type="gramStart"/>
      <w:r>
        <w:rPr>
          <w:iCs/>
        </w:rPr>
        <w:t>4</w:t>
      </w:r>
      <w:proofErr w:type="gramEnd"/>
      <w:r>
        <w:rPr>
          <w:iCs/>
        </w:rPr>
        <w:t xml:space="preserve"> and Lock 6 (referred herein to as reaches) to correspond with the locations of other indicators (</w:t>
      </w:r>
      <w:r>
        <w:rPr>
          <w:iCs/>
          <w:highlight w:val="yellow"/>
        </w:rPr>
        <w:fldChar w:fldCharType="begin"/>
      </w:r>
      <w:r>
        <w:rPr>
          <w:iCs/>
        </w:rPr>
        <w:instrText xml:space="preserve"> REF _Ref469926522 \h </w:instrText>
      </w:r>
      <w:r>
        <w:rPr>
          <w:iCs/>
          <w:highlight w:val="yellow"/>
        </w:rPr>
      </w:r>
      <w:r>
        <w:rPr>
          <w:iCs/>
          <w:highlight w:val="yellow"/>
        </w:rPr>
        <w:fldChar w:fldCharType="separate"/>
      </w:r>
      <w:r w:rsidR="00CF2251">
        <w:t xml:space="preserve">Figure </w:t>
      </w:r>
      <w:r w:rsidR="00CF2251">
        <w:rPr>
          <w:noProof/>
        </w:rPr>
        <w:t>1</w:t>
      </w:r>
      <w:r>
        <w:rPr>
          <w:iCs/>
          <w:highlight w:val="yellow"/>
        </w:rPr>
        <w:fldChar w:fldCharType="end"/>
      </w:r>
      <w:r>
        <w:rPr>
          <w:iCs/>
        </w:rPr>
        <w:t xml:space="preserve">). </w:t>
      </w:r>
    </w:p>
    <w:p w14:paraId="0241CA71" w14:textId="1B0DEC71" w:rsidR="002C611C" w:rsidRDefault="002C611C" w:rsidP="002C611C">
      <w:pPr>
        <w:rPr>
          <w:iCs/>
        </w:rPr>
      </w:pPr>
      <w:r>
        <w:rPr>
          <w:iCs/>
        </w:rPr>
        <w:t>Flow in 2019-20 was generally low with an in-channel flow pulse peaking in mid-October 2019 that was comprised almost entirely of Commonwealth environmental water (</w:t>
      </w:r>
      <w:r>
        <w:rPr>
          <w:iCs/>
        </w:rPr>
        <w:fldChar w:fldCharType="begin"/>
      </w:r>
      <w:r>
        <w:rPr>
          <w:iCs/>
        </w:rPr>
        <w:instrText xml:space="preserve"> REF _Ref58353126 \h </w:instrText>
      </w:r>
      <w:r>
        <w:rPr>
          <w:iCs/>
        </w:rPr>
      </w:r>
      <w:r>
        <w:rPr>
          <w:iCs/>
        </w:rPr>
        <w:fldChar w:fldCharType="separate"/>
      </w:r>
      <w:r w:rsidR="00CF2251">
        <w:t xml:space="preserve">Figure </w:t>
      </w:r>
      <w:r w:rsidR="00CF2251">
        <w:rPr>
          <w:noProof/>
        </w:rPr>
        <w:t>35</w:t>
      </w:r>
      <w:r>
        <w:rPr>
          <w:iCs/>
        </w:rPr>
        <w:fldChar w:fldCharType="end"/>
      </w:r>
      <w:r>
        <w:rPr>
          <w:iCs/>
        </w:rPr>
        <w:t>). The flow pulse resulted in an increase in water levels between 65 cm (downstream of Lock 6) and 107 cm (downstream of Lock 4) (</w:t>
      </w:r>
      <w:r>
        <w:rPr>
          <w:iCs/>
        </w:rPr>
        <w:fldChar w:fldCharType="begin"/>
      </w:r>
      <w:r>
        <w:rPr>
          <w:iCs/>
        </w:rPr>
        <w:instrText xml:space="preserve"> REF _Ref58353126 \h </w:instrText>
      </w:r>
      <w:r>
        <w:rPr>
          <w:iCs/>
        </w:rPr>
      </w:r>
      <w:r>
        <w:rPr>
          <w:iCs/>
        </w:rPr>
        <w:fldChar w:fldCharType="separate"/>
      </w:r>
      <w:r w:rsidR="00241910">
        <w:t xml:space="preserve">Figure </w:t>
      </w:r>
      <w:r w:rsidR="00241910">
        <w:rPr>
          <w:noProof/>
        </w:rPr>
        <w:t>35</w:t>
      </w:r>
      <w:r>
        <w:rPr>
          <w:iCs/>
        </w:rPr>
        <w:fldChar w:fldCharType="end"/>
      </w:r>
      <w:r>
        <w:rPr>
          <w:iCs/>
        </w:rPr>
        <w:t xml:space="preserve">). For a detailed description of the hydrology and environmental water delivery see Sections </w:t>
      </w:r>
      <w:r>
        <w:rPr>
          <w:iCs/>
        </w:rPr>
        <w:fldChar w:fldCharType="begin"/>
      </w:r>
      <w:r>
        <w:rPr>
          <w:iCs/>
        </w:rPr>
        <w:instrText xml:space="preserve"> REF _Ref25159400 \r \h </w:instrText>
      </w:r>
      <w:r>
        <w:rPr>
          <w:iCs/>
        </w:rPr>
      </w:r>
      <w:r>
        <w:rPr>
          <w:iCs/>
        </w:rPr>
        <w:fldChar w:fldCharType="separate"/>
      </w:r>
      <w:r w:rsidR="00241910">
        <w:rPr>
          <w:iCs/>
        </w:rPr>
        <w:t>1.4</w:t>
      </w:r>
      <w:r>
        <w:rPr>
          <w:iCs/>
        </w:rPr>
        <w:fldChar w:fldCharType="end"/>
      </w:r>
      <w:r>
        <w:rPr>
          <w:iCs/>
        </w:rPr>
        <w:t xml:space="preserve"> and </w:t>
      </w:r>
      <w:r>
        <w:rPr>
          <w:iCs/>
        </w:rPr>
        <w:fldChar w:fldCharType="begin"/>
      </w:r>
      <w:r>
        <w:rPr>
          <w:iCs/>
        </w:rPr>
        <w:instrText xml:space="preserve"> REF _Ref58943096 \r \h </w:instrText>
      </w:r>
      <w:r>
        <w:rPr>
          <w:iCs/>
        </w:rPr>
      </w:r>
      <w:r>
        <w:rPr>
          <w:iCs/>
        </w:rPr>
        <w:fldChar w:fldCharType="separate"/>
      </w:r>
      <w:r w:rsidR="00241910">
        <w:rPr>
          <w:iCs/>
        </w:rPr>
        <w:t>2.1</w:t>
      </w:r>
      <w:r>
        <w:rPr>
          <w:iCs/>
        </w:rPr>
        <w:fldChar w:fldCharType="end"/>
      </w:r>
      <w:r>
        <w:rPr>
          <w:iCs/>
        </w:rPr>
        <w:t>.</w:t>
      </w:r>
    </w:p>
    <w:p w14:paraId="31000C2C" w14:textId="77777777" w:rsidR="002C611C" w:rsidRDefault="002C611C" w:rsidP="002C611C">
      <w:pPr>
        <w:rPr>
          <w:iCs/>
        </w:rPr>
      </w:pPr>
      <w:r w:rsidRPr="00B247C4">
        <w:rPr>
          <w:noProof/>
        </w:rPr>
        <w:drawing>
          <wp:inline distT="0" distB="0" distL="0" distR="0" wp14:anchorId="133A7978" wp14:editId="4552A532">
            <wp:extent cx="5731510" cy="4271010"/>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5" cstate="email">
                      <a:extLst>
                        <a:ext uri="{28A0092B-C50C-407E-A947-70E740481C1C}">
                          <a14:useLocalDpi xmlns:a14="http://schemas.microsoft.com/office/drawing/2010/main"/>
                        </a:ext>
                      </a:extLst>
                    </a:blip>
                    <a:srcRect t="3237"/>
                    <a:stretch/>
                  </pic:blipFill>
                  <pic:spPr bwMode="auto">
                    <a:xfrm>
                      <a:off x="0" y="0"/>
                      <a:ext cx="5731510" cy="4271010"/>
                    </a:xfrm>
                    <a:prstGeom prst="rect">
                      <a:avLst/>
                    </a:prstGeom>
                    <a:noFill/>
                    <a:ln>
                      <a:noFill/>
                    </a:ln>
                    <a:extLst>
                      <a:ext uri="{53640926-AAD7-44D8-BBD7-CCE9431645EC}">
                        <a14:shadowObscured xmlns:a14="http://schemas.microsoft.com/office/drawing/2010/main"/>
                      </a:ext>
                    </a:extLst>
                  </pic:spPr>
                </pic:pic>
              </a:graphicData>
            </a:graphic>
          </wp:inline>
        </w:drawing>
      </w:r>
    </w:p>
    <w:p w14:paraId="69DFB386" w14:textId="40C8E2C3" w:rsidR="002C611C" w:rsidRDefault="002C611C" w:rsidP="002C611C">
      <w:pPr>
        <w:pStyle w:val="Caption"/>
      </w:pPr>
      <w:bookmarkStart w:id="202" w:name="_Ref58353126"/>
      <w:bookmarkStart w:id="203" w:name="_Toc69387699"/>
      <w:r>
        <w:t xml:space="preserve">Figure </w:t>
      </w:r>
      <w:r>
        <w:rPr>
          <w:noProof/>
        </w:rPr>
        <w:fldChar w:fldCharType="begin"/>
      </w:r>
      <w:r>
        <w:rPr>
          <w:noProof/>
        </w:rPr>
        <w:instrText xml:space="preserve"> SEQ Figure \* ARABIC </w:instrText>
      </w:r>
      <w:r>
        <w:rPr>
          <w:noProof/>
        </w:rPr>
        <w:fldChar w:fldCharType="separate"/>
      </w:r>
      <w:r w:rsidR="00996426">
        <w:rPr>
          <w:noProof/>
        </w:rPr>
        <w:t>35</w:t>
      </w:r>
      <w:r>
        <w:rPr>
          <w:noProof/>
        </w:rPr>
        <w:fldChar w:fldCharType="end"/>
      </w:r>
      <w:bookmarkEnd w:id="202"/>
      <w:r w:rsidRPr="00825C20">
        <w:t xml:space="preserve">. </w:t>
      </w:r>
      <w:r>
        <w:t>Observed and modelled (without development, without Commonwealth environmental water and without any environmental water) water levels in upper weir pools (tailwaters) below Lock 1, Weir Pool 3 (below Lock 4) and Weir Pool 5 (below Lock 6).</w:t>
      </w:r>
      <w:bookmarkEnd w:id="203"/>
      <w:r w:rsidRPr="00825C20">
        <w:t xml:space="preserve">   </w:t>
      </w:r>
    </w:p>
    <w:p w14:paraId="45F70DB8" w14:textId="77777777" w:rsidR="002C611C" w:rsidRPr="00E35C12" w:rsidRDefault="002C611C" w:rsidP="002C611C">
      <w:pPr>
        <w:rPr>
          <w:i/>
          <w:u w:val="single"/>
        </w:rPr>
      </w:pPr>
      <w:r>
        <w:rPr>
          <w:i/>
          <w:u w:val="single"/>
        </w:rPr>
        <w:t>Vegetation surveying protocol</w:t>
      </w:r>
    </w:p>
    <w:p w14:paraId="31D63738" w14:textId="64692F67" w:rsidR="002C611C" w:rsidRDefault="002C611C" w:rsidP="002C611C">
      <w:r>
        <w:t>Sampling of littoral vegetation occurred in December 2019, four to five weeks after the peak of the flow pulse. Six sites were established in each reach, which comprised of a transect running perpendicular to elevation contours from normal pool level to the elevation inundated by flows of 40,000 ML/d. The position of the lowest elevation of each transect was recorded by GPS (Table D</w:t>
      </w:r>
      <w:r w:rsidR="00065DAD">
        <w:t>1</w:t>
      </w:r>
      <w:r>
        <w:t xml:space="preserve"> in Appendix D) to enable the same transects to be surveyed in subsequent years. </w:t>
      </w:r>
    </w:p>
    <w:p w14:paraId="02111DFD" w14:textId="317E0187" w:rsidR="002C611C" w:rsidRDefault="002C611C" w:rsidP="002C611C">
      <w:r>
        <w:t xml:space="preserve">Quadrats with dimensions of 15 x 1 m were positioned on each transect (the long side parallel to elevation contours) in relation to the maximum water level in spring 2019; one quadrat was located at normal pool level (herein referred to as </w:t>
      </w:r>
      <w:r w:rsidRPr="00240018">
        <w:rPr>
          <w:i/>
          <w:iCs/>
        </w:rPr>
        <w:t>Pool level</w:t>
      </w:r>
      <w:r>
        <w:t>), two in the area inundated by the spring flow pulse (</w:t>
      </w:r>
      <w:r w:rsidRPr="00240018">
        <w:rPr>
          <w:i/>
          <w:iCs/>
        </w:rPr>
        <w:t>Inundated</w:t>
      </w:r>
      <w:r>
        <w:t>), one at the spring 2019 high water mark (</w:t>
      </w:r>
      <w:r w:rsidRPr="00240018">
        <w:rPr>
          <w:i/>
          <w:iCs/>
        </w:rPr>
        <w:t>Inundation extent</w:t>
      </w:r>
      <w:r>
        <w:t>) and two above the high water mark (</w:t>
      </w:r>
      <w:r w:rsidRPr="00240018">
        <w:rPr>
          <w:i/>
          <w:iCs/>
        </w:rPr>
        <w:t>Not inundated</w:t>
      </w:r>
      <w:r>
        <w:t>) (</w:t>
      </w:r>
      <w:r w:rsidR="006C38E9">
        <w:fldChar w:fldCharType="begin"/>
      </w:r>
      <w:r w:rsidR="006C38E9">
        <w:instrText xml:space="preserve"> REF _Ref57300921 </w:instrText>
      </w:r>
      <w:r w:rsidR="006C38E9">
        <w:fldChar w:fldCharType="separate"/>
      </w:r>
      <w:r w:rsidR="006045CA">
        <w:t xml:space="preserve">Figure </w:t>
      </w:r>
      <w:r w:rsidR="006045CA">
        <w:rPr>
          <w:noProof/>
        </w:rPr>
        <w:t>36</w:t>
      </w:r>
      <w:r w:rsidR="006C38E9">
        <w:rPr>
          <w:noProof/>
        </w:rPr>
        <w:fldChar w:fldCharType="end"/>
      </w:r>
      <w:r>
        <w:t>). Each quadrat was divided into 15, 1 x 1 m cells to determine species frequency in each quadrat (i.e. each species will have a score of zero (not present) and 15 (present in each cell). In addition, a 50 x 50 cm (0.25 m</w:t>
      </w:r>
      <w:r w:rsidRPr="00A251B0">
        <w:rPr>
          <w:vertAlign w:val="superscript"/>
        </w:rPr>
        <w:t>2</w:t>
      </w:r>
      <w:r>
        <w:t>) section of each quadrat was harvested and dried at 40</w:t>
      </w:r>
      <w:r>
        <w:rPr>
          <w:rFonts w:ascii="Times New Roman" w:hAnsi="Times New Roman"/>
        </w:rPr>
        <w:t>⁰</w:t>
      </w:r>
      <w:r>
        <w:t xml:space="preserve"> C to a constant weight to determine above ground biomass.</w:t>
      </w:r>
    </w:p>
    <w:p w14:paraId="65B820B0" w14:textId="77777777" w:rsidR="002C611C" w:rsidRDefault="002C611C" w:rsidP="002C611C"/>
    <w:p w14:paraId="63CAFF77" w14:textId="77777777" w:rsidR="002C611C" w:rsidRDefault="002C611C" w:rsidP="002C611C"/>
    <w:p w14:paraId="7DB76EEA" w14:textId="2E81AB23" w:rsidR="002C611C" w:rsidRDefault="00311502" w:rsidP="002C611C">
      <w:r w:rsidRPr="00311502">
        <w:rPr>
          <w:noProof/>
        </w:rPr>
        <w:drawing>
          <wp:inline distT="0" distB="0" distL="0" distR="0" wp14:anchorId="159B4FC3" wp14:editId="0D404868">
            <wp:extent cx="5731510" cy="348996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5731510" cy="3489960"/>
                    </a:xfrm>
                    <a:prstGeom prst="rect">
                      <a:avLst/>
                    </a:prstGeom>
                    <a:noFill/>
                    <a:ln>
                      <a:noFill/>
                    </a:ln>
                  </pic:spPr>
                </pic:pic>
              </a:graphicData>
            </a:graphic>
          </wp:inline>
        </w:drawing>
      </w:r>
    </w:p>
    <w:p w14:paraId="348C9233" w14:textId="02ECFB11" w:rsidR="00BF0952" w:rsidRDefault="002C611C" w:rsidP="00BF0952">
      <w:pPr>
        <w:pStyle w:val="Caption"/>
      </w:pPr>
      <w:bookmarkStart w:id="204" w:name="_Ref57300921"/>
      <w:bookmarkStart w:id="205" w:name="_Toc69387700"/>
      <w:r>
        <w:t xml:space="preserve">Figure </w:t>
      </w:r>
      <w:r>
        <w:rPr>
          <w:noProof/>
        </w:rPr>
        <w:fldChar w:fldCharType="begin"/>
      </w:r>
      <w:r>
        <w:rPr>
          <w:noProof/>
        </w:rPr>
        <w:instrText xml:space="preserve"> SEQ Figure \* ARABIC </w:instrText>
      </w:r>
      <w:r>
        <w:rPr>
          <w:noProof/>
        </w:rPr>
        <w:fldChar w:fldCharType="separate"/>
      </w:r>
      <w:r w:rsidR="00996426">
        <w:rPr>
          <w:noProof/>
        </w:rPr>
        <w:t>36</w:t>
      </w:r>
      <w:r>
        <w:rPr>
          <w:noProof/>
        </w:rPr>
        <w:fldChar w:fldCharType="end"/>
      </w:r>
      <w:bookmarkEnd w:id="204"/>
      <w:r w:rsidRPr="00825C20">
        <w:t xml:space="preserve">. </w:t>
      </w:r>
      <w:r>
        <w:t>Position of quadrats in relation to maximum water level in when sampled in December 2019.</w:t>
      </w:r>
      <w:bookmarkEnd w:id="205"/>
      <w:r w:rsidRPr="00825C20">
        <w:t xml:space="preserve"> </w:t>
      </w:r>
      <w:r w:rsidR="00BF0952" w:rsidRPr="00825C20">
        <w:t xml:space="preserve">  </w:t>
      </w:r>
    </w:p>
    <w:p w14:paraId="2162E337" w14:textId="53276F27" w:rsidR="002C611C" w:rsidRPr="00296D25" w:rsidRDefault="002C611C" w:rsidP="002C611C">
      <w:pPr>
        <w:rPr>
          <w:iCs/>
        </w:rPr>
      </w:pPr>
      <w:r>
        <w:t xml:space="preserve">The </w:t>
      </w:r>
      <w:r w:rsidRPr="00240018">
        <w:rPr>
          <w:i/>
          <w:iCs/>
        </w:rPr>
        <w:t>Inundated</w:t>
      </w:r>
      <w:r>
        <w:t xml:space="preserve"> and </w:t>
      </w:r>
      <w:r w:rsidRPr="00240018">
        <w:rPr>
          <w:i/>
          <w:iCs/>
        </w:rPr>
        <w:t>Inundation extent</w:t>
      </w:r>
      <w:r>
        <w:t xml:space="preserve"> zones were impacted by the delivery of Commonwealth environmental water. Modelling </w:t>
      </w:r>
      <w:r w:rsidR="00074180">
        <w:t>indicated</w:t>
      </w:r>
      <w:r>
        <w:t xml:space="preserve"> that without Commonwealth environmental water, the </w:t>
      </w:r>
      <w:r w:rsidRPr="00240018">
        <w:rPr>
          <w:i/>
          <w:iCs/>
        </w:rPr>
        <w:t>Inundated</w:t>
      </w:r>
      <w:r>
        <w:t xml:space="preserve"> zone would have remained dry and there would have been no increase in soil moisture in the root zone at the </w:t>
      </w:r>
      <w:r w:rsidRPr="00240018">
        <w:rPr>
          <w:i/>
          <w:iCs/>
        </w:rPr>
        <w:t>Inundation extent</w:t>
      </w:r>
      <w:r>
        <w:t xml:space="preserve"> elevation (</w:t>
      </w:r>
      <w:r>
        <w:rPr>
          <w:iCs/>
        </w:rPr>
        <w:fldChar w:fldCharType="begin"/>
      </w:r>
      <w:r>
        <w:rPr>
          <w:iCs/>
        </w:rPr>
        <w:instrText xml:space="preserve"> REF _Ref58353126 \h </w:instrText>
      </w:r>
      <w:r>
        <w:rPr>
          <w:iCs/>
        </w:rPr>
      </w:r>
      <w:r>
        <w:rPr>
          <w:iCs/>
        </w:rPr>
        <w:fldChar w:fldCharType="separate"/>
      </w:r>
      <w:r w:rsidR="006045CA">
        <w:t xml:space="preserve">Figure </w:t>
      </w:r>
      <w:r w:rsidR="006045CA">
        <w:rPr>
          <w:noProof/>
        </w:rPr>
        <w:t>35</w:t>
      </w:r>
      <w:r>
        <w:rPr>
          <w:iCs/>
        </w:rPr>
        <w:fldChar w:fldCharType="end"/>
      </w:r>
      <w:r>
        <w:t xml:space="preserve">). The </w:t>
      </w:r>
      <w:r w:rsidRPr="00240018">
        <w:rPr>
          <w:i/>
          <w:iCs/>
        </w:rPr>
        <w:t>Pool level</w:t>
      </w:r>
      <w:r>
        <w:t xml:space="preserve"> quadrats would have been the only quadrats inundated with the delivery of other environmental water (</w:t>
      </w:r>
      <w:r>
        <w:rPr>
          <w:iCs/>
        </w:rPr>
        <w:fldChar w:fldCharType="begin"/>
      </w:r>
      <w:r>
        <w:rPr>
          <w:iCs/>
        </w:rPr>
        <w:instrText xml:space="preserve"> REF _Ref58353126 \h </w:instrText>
      </w:r>
      <w:r>
        <w:rPr>
          <w:iCs/>
        </w:rPr>
      </w:r>
      <w:r>
        <w:rPr>
          <w:iCs/>
        </w:rPr>
        <w:fldChar w:fldCharType="separate"/>
      </w:r>
      <w:r w:rsidR="006045CA">
        <w:t xml:space="preserve">Figure </w:t>
      </w:r>
      <w:r w:rsidR="006045CA">
        <w:rPr>
          <w:noProof/>
        </w:rPr>
        <w:t>35</w:t>
      </w:r>
      <w:r>
        <w:rPr>
          <w:iCs/>
        </w:rPr>
        <w:fldChar w:fldCharType="end"/>
      </w:r>
      <w:r>
        <w:t>).</w:t>
      </w:r>
    </w:p>
    <w:p w14:paraId="69B387D9" w14:textId="77777777" w:rsidR="002C611C" w:rsidRPr="00E35C12" w:rsidRDefault="002C611C" w:rsidP="002C611C">
      <w:pPr>
        <w:rPr>
          <w:i/>
          <w:u w:val="single"/>
        </w:rPr>
      </w:pPr>
      <w:r>
        <w:rPr>
          <w:i/>
          <w:u w:val="single"/>
        </w:rPr>
        <w:t>Plant identification and nomenclature</w:t>
      </w:r>
    </w:p>
    <w:p w14:paraId="276F8BFD" w14:textId="395C008B" w:rsidR="002C611C" w:rsidRDefault="002C611C" w:rsidP="002C611C">
      <w:r w:rsidRPr="00FA558F">
        <w:t xml:space="preserve">Plants were identified using keys in Jessop and </w:t>
      </w:r>
      <w:proofErr w:type="spellStart"/>
      <w:r w:rsidRPr="00FA558F">
        <w:t>Toelken</w:t>
      </w:r>
      <w:proofErr w:type="spellEnd"/>
      <w:r w:rsidRPr="00FA558F">
        <w:t xml:space="preserve"> (1986), Cunningham </w:t>
      </w:r>
      <w:r w:rsidRPr="00FA558F">
        <w:rPr>
          <w:i/>
          <w:iCs/>
        </w:rPr>
        <w:t>et al.</w:t>
      </w:r>
      <w:r w:rsidRPr="00FA558F">
        <w:t xml:space="preserve"> (1992),</w:t>
      </w:r>
      <w:r>
        <w:t xml:space="preserve"> </w:t>
      </w:r>
      <w:proofErr w:type="spellStart"/>
      <w:r>
        <w:t>Sainty</w:t>
      </w:r>
      <w:proofErr w:type="spellEnd"/>
      <w:r>
        <w:t xml:space="preserve"> and Jacobs (2003)</w:t>
      </w:r>
      <w:r w:rsidRPr="00FA558F">
        <w:t xml:space="preserve"> and Jessop </w:t>
      </w:r>
      <w:r w:rsidRPr="00FA558F">
        <w:rPr>
          <w:i/>
          <w:iCs/>
        </w:rPr>
        <w:t>et al.</w:t>
      </w:r>
      <w:r w:rsidRPr="00FA558F">
        <w:t xml:space="preserve"> (2006). In some cases, due to immature individuals or lack of floral structures, plants were identified to genus only. Nomenclature follows the Centre for Australian National Biodiversity Research and Council of Heads of Australasian Herbaria (2020). A comprehensive list of all species surveyed, their functional classification, growth form, life history strategy and conservation status are presented in </w:t>
      </w:r>
      <w:r>
        <w:t>Table D</w:t>
      </w:r>
      <w:r w:rsidR="00065DAD">
        <w:t>2</w:t>
      </w:r>
      <w:r>
        <w:t xml:space="preserve"> in Appendix D</w:t>
      </w:r>
      <w:r w:rsidRPr="00FA558F">
        <w:t>.</w:t>
      </w:r>
    </w:p>
    <w:p w14:paraId="7D5A41EC" w14:textId="77777777" w:rsidR="002C611C" w:rsidRPr="00DF32C3" w:rsidRDefault="002C611C" w:rsidP="002C611C">
      <w:pPr>
        <w:rPr>
          <w:i/>
          <w:u w:val="single"/>
        </w:rPr>
      </w:pPr>
      <w:r>
        <w:rPr>
          <w:i/>
          <w:u w:val="single"/>
        </w:rPr>
        <w:t>Plant functional groups</w:t>
      </w:r>
    </w:p>
    <w:p w14:paraId="0A9FF2D9" w14:textId="77777777" w:rsidR="002C611C" w:rsidRDefault="002C611C" w:rsidP="002C611C">
      <w:r>
        <w:t xml:space="preserve">The functional classification used to assess targets for the Chowilla condition and intervention monitoring programs was used in this study to assess the response of the littoral vegetation to environmental water. The functional classification was based on the classification framework devised by Brock and Casanova (1997), which was based on species present in wetlands in the New England Tablelands region of New South Wales and modified by Nicol </w:t>
      </w:r>
      <w:r w:rsidRPr="00DF32C3">
        <w:rPr>
          <w:i/>
          <w:iCs/>
        </w:rPr>
        <w:t>et al.</w:t>
      </w:r>
      <w:r>
        <w:t xml:space="preserve"> (2010) to reflect the vegetation of the Chowilla system.  </w:t>
      </w:r>
    </w:p>
    <w:p w14:paraId="25E44210" w14:textId="77777777" w:rsidR="00B32D8C" w:rsidRDefault="00B32D8C" w:rsidP="002C611C"/>
    <w:p w14:paraId="353428E7" w14:textId="0951E5A9" w:rsidR="002C611C" w:rsidRDefault="002C611C" w:rsidP="002C611C">
      <w:r>
        <w:t xml:space="preserve">The functional classification used for this study splits species into four groups (terrestrial, flood dependent, </w:t>
      </w:r>
      <w:proofErr w:type="gramStart"/>
      <w:r>
        <w:t>amphibious</w:t>
      </w:r>
      <w:proofErr w:type="gramEnd"/>
      <w:r>
        <w:t xml:space="preserve"> and emergent) based on their response to inundation:</w:t>
      </w:r>
    </w:p>
    <w:p w14:paraId="2D11F6FE" w14:textId="701C50BA" w:rsidR="002C611C" w:rsidRDefault="002C611C" w:rsidP="00103EF7">
      <w:pPr>
        <w:pStyle w:val="ListParagraph"/>
        <w:numPr>
          <w:ilvl w:val="0"/>
          <w:numId w:val="19"/>
        </w:numPr>
      </w:pPr>
      <w:r>
        <w:t xml:space="preserve">“Terrestrial” species are intolerant of either partial or complete </w:t>
      </w:r>
      <w:proofErr w:type="gramStart"/>
      <w:r>
        <w:t>inundation</w:t>
      </w:r>
      <w:r w:rsidR="00B32D8C">
        <w:t>;</w:t>
      </w:r>
      <w:proofErr w:type="gramEnd"/>
    </w:p>
    <w:p w14:paraId="253D3648" w14:textId="330D4F18" w:rsidR="002C611C" w:rsidRDefault="002C611C" w:rsidP="00103EF7">
      <w:pPr>
        <w:pStyle w:val="ListParagraph"/>
        <w:numPr>
          <w:ilvl w:val="0"/>
          <w:numId w:val="19"/>
        </w:numPr>
      </w:pPr>
      <w:r>
        <w:t xml:space="preserve">“Flood dependent” species are intolerant of complete inundation as mature or juvenile plants but </w:t>
      </w:r>
      <w:r w:rsidRPr="00352502">
        <w:t xml:space="preserve">germinate on newly exposed soil after </w:t>
      </w:r>
      <w:r>
        <w:t>inundation</w:t>
      </w:r>
      <w:r w:rsidRPr="00352502">
        <w:t xml:space="preserve"> but not in response to rainfall</w:t>
      </w:r>
      <w:r>
        <w:t>. Many of these species are short-lived annuals that take advantage of the bare soil (lack of competition) and high soil moisture after inundation and can complete their life cycle in a matter of weeks (Nicol 2004</w:t>
      </w:r>
      <w:proofErr w:type="gramStart"/>
      <w:r>
        <w:t>)</w:t>
      </w:r>
      <w:r w:rsidR="00B32D8C">
        <w:t>;</w:t>
      </w:r>
      <w:proofErr w:type="gramEnd"/>
    </w:p>
    <w:p w14:paraId="385830FD" w14:textId="3097242D" w:rsidR="002C611C" w:rsidRDefault="002C611C" w:rsidP="00103EF7">
      <w:pPr>
        <w:pStyle w:val="ListParagraph"/>
        <w:numPr>
          <w:ilvl w:val="0"/>
          <w:numId w:val="19"/>
        </w:numPr>
      </w:pPr>
      <w:r>
        <w:t>“Amphibious” species require fluctuating water levels and are adapted to survive inundation and exposure as juvenile or adult plants. Brock and Casanova (1997) split this group into five different groups based on their anatomical responses to inundation; however, they all have similar water regime requirements</w:t>
      </w:r>
      <w:r w:rsidR="00B32D8C">
        <w:t>; and</w:t>
      </w:r>
    </w:p>
    <w:p w14:paraId="2A5C22AB" w14:textId="77777777" w:rsidR="002C611C" w:rsidRPr="00BE524E" w:rsidRDefault="002C611C" w:rsidP="00103EF7">
      <w:pPr>
        <w:pStyle w:val="ListParagraph"/>
        <w:numPr>
          <w:ilvl w:val="0"/>
          <w:numId w:val="19"/>
        </w:numPr>
      </w:pPr>
      <w:r>
        <w:t xml:space="preserve">“Emergent” species have a requirement for permanent shallow water or continuous high soil moisture in the root zone to survive. Unlike amphibious species these species are well adapted to static water levels and will displace amphibious species under these conditions. </w:t>
      </w:r>
    </w:p>
    <w:p w14:paraId="2BAABBE9" w14:textId="77777777" w:rsidR="002C611C" w:rsidRDefault="002C611C" w:rsidP="002C611C">
      <w:r>
        <w:rPr>
          <w:i/>
          <w:u w:val="single"/>
        </w:rPr>
        <w:t>Data analysis</w:t>
      </w:r>
    </w:p>
    <w:p w14:paraId="4FF79F8D" w14:textId="77777777" w:rsidR="002C611C" w:rsidRDefault="002C611C" w:rsidP="002C611C">
      <w:r>
        <w:t>Species composition between the different inundation zones (</w:t>
      </w:r>
      <w:r w:rsidRPr="00240018">
        <w:rPr>
          <w:i/>
          <w:iCs/>
        </w:rPr>
        <w:t>Not inundated</w:t>
      </w:r>
      <w:r>
        <w:t xml:space="preserve">, </w:t>
      </w:r>
      <w:r w:rsidRPr="00240018">
        <w:rPr>
          <w:i/>
          <w:iCs/>
        </w:rPr>
        <w:t>Inundation extent</w:t>
      </w:r>
      <w:r>
        <w:t xml:space="preserve">, </w:t>
      </w:r>
      <w:r w:rsidRPr="00240018">
        <w:rPr>
          <w:i/>
          <w:iCs/>
        </w:rPr>
        <w:t>Inundated</w:t>
      </w:r>
      <w:r>
        <w:t xml:space="preserve"> and </w:t>
      </w:r>
      <w:r w:rsidRPr="00240018">
        <w:rPr>
          <w:i/>
          <w:iCs/>
        </w:rPr>
        <w:t>Pool level</w:t>
      </w:r>
      <w:r>
        <w:t xml:space="preserve">) and reaches (Lock 1, Lock </w:t>
      </w:r>
      <w:proofErr w:type="gramStart"/>
      <w:r>
        <w:t>4</w:t>
      </w:r>
      <w:proofErr w:type="gramEnd"/>
      <w:r>
        <w:t xml:space="preserve"> and Lock 6) were compared using </w:t>
      </w:r>
      <w:proofErr w:type="spellStart"/>
      <w:r>
        <w:t>nMDS</w:t>
      </w:r>
      <w:proofErr w:type="spellEnd"/>
      <w:r>
        <w:t xml:space="preserve"> Ordination, Multivariate PERMAOVA and Indicator Species Analysis. Bray-Curtis (1957) similarities were used to calculate the similarity matrix for </w:t>
      </w:r>
      <w:proofErr w:type="spellStart"/>
      <w:r>
        <w:t>nMDS</w:t>
      </w:r>
      <w:proofErr w:type="spellEnd"/>
      <w:r>
        <w:t xml:space="preserve"> Ordination and Multivariate PERMAOVA analyses, which were undertaken using the Package PRIMER version 7.0.12. </w:t>
      </w:r>
      <w:r w:rsidRPr="008626DF">
        <w:t xml:space="preserve">(Clarke and </w:t>
      </w:r>
      <w:proofErr w:type="spellStart"/>
      <w:r w:rsidRPr="008626DF">
        <w:t>Gorley</w:t>
      </w:r>
      <w:proofErr w:type="spellEnd"/>
      <w:r w:rsidRPr="008626DF">
        <w:t xml:space="preserve"> 2015)</w:t>
      </w:r>
      <w:r>
        <w:t xml:space="preserve"> and </w:t>
      </w:r>
      <w:r w:rsidRPr="00E30058">
        <w:t>PERMANOVA+ for PRIMER</w:t>
      </w:r>
      <w:r>
        <w:t xml:space="preserve"> (Anderson </w:t>
      </w:r>
      <w:r w:rsidRPr="00E30058">
        <w:rPr>
          <w:i/>
          <w:iCs/>
        </w:rPr>
        <w:t>et al.</w:t>
      </w:r>
      <w:r>
        <w:t xml:space="preserve"> 2008). Indicator Species Analysis </w:t>
      </w:r>
      <w:r w:rsidRPr="008626DF">
        <w:t>(Dufrene and Legendre 1997)</w:t>
      </w:r>
      <w:r>
        <w:t xml:space="preserve"> was undertaken using the package </w:t>
      </w:r>
      <w:proofErr w:type="spellStart"/>
      <w:r>
        <w:t>PCOrd</w:t>
      </w:r>
      <w:proofErr w:type="spellEnd"/>
      <w:r>
        <w:t xml:space="preserve"> version 5.12 </w:t>
      </w:r>
      <w:r w:rsidRPr="00E30058">
        <w:t xml:space="preserve">(McCune and </w:t>
      </w:r>
      <w:proofErr w:type="spellStart"/>
      <w:r w:rsidRPr="00E30058">
        <w:t>Mefford</w:t>
      </w:r>
      <w:proofErr w:type="spellEnd"/>
      <w:r w:rsidRPr="00E30058">
        <w:t xml:space="preserve"> 2006)</w:t>
      </w:r>
      <w:r>
        <w:t xml:space="preserve">. Above ground biomass was compared between the different inundation zones and reaches using univariate PERMANOVA using the package </w:t>
      </w:r>
      <w:r w:rsidRPr="00E30058">
        <w:t>PERMANOVA+ for PRIMER</w:t>
      </w:r>
      <w:r>
        <w:t xml:space="preserve"> (Anderson </w:t>
      </w:r>
      <w:r w:rsidRPr="00E30058">
        <w:rPr>
          <w:i/>
          <w:iCs/>
        </w:rPr>
        <w:t>et al.</w:t>
      </w:r>
      <w:r>
        <w:t xml:space="preserve"> 2008). Euclidean distances were used to calculate the similarity matrix for the univariate PERMANVA analysis.  </w:t>
      </w:r>
    </w:p>
    <w:p w14:paraId="69B0D01E" w14:textId="77777777" w:rsidR="002C611C" w:rsidRDefault="002C611C" w:rsidP="002C611C">
      <w:r>
        <w:rPr>
          <w:i/>
          <w:u w:val="single"/>
        </w:rPr>
        <w:t>Indicator Species Analysis</w:t>
      </w:r>
    </w:p>
    <w:p w14:paraId="3F2CFE51" w14:textId="3153A538" w:rsidR="002C611C" w:rsidRDefault="002C611C" w:rsidP="002C611C">
      <w:r w:rsidRPr="00BE524E">
        <w:t>Dufrene and Legendre’s (1997) indicator species analysis combines information on the concentration of species abundance in a particular group (</w:t>
      </w:r>
      <w:r>
        <w:t>inundation zone</w:t>
      </w:r>
      <w:r w:rsidRPr="00BE524E">
        <w:t xml:space="preserve">) and the faithfulness of occurrence of a species in a particular group (McCune </w:t>
      </w:r>
      <w:r w:rsidRPr="00BE524E">
        <w:rPr>
          <w:i/>
          <w:iCs/>
        </w:rPr>
        <w:t>et al.</w:t>
      </w:r>
      <w:r w:rsidRPr="00BE524E">
        <w:t xml:space="preserve"> 2002). A perfect indicator of a particular group should be faithful to that group (always present) and exclusive to that group (never occurring in other groups) (McCune </w:t>
      </w:r>
      <w:r w:rsidRPr="00BE1769">
        <w:rPr>
          <w:i/>
          <w:iCs/>
        </w:rPr>
        <w:t>et al</w:t>
      </w:r>
      <w:r w:rsidRPr="00BE524E">
        <w:t xml:space="preserve">. 2002). This test produces indicator values for each species in each group based on the standards of the prefect indicator. Statistical significance of each indicator value is tested by using a Monte Carlo (randomisation) technique, where the real data </w:t>
      </w:r>
      <w:r w:rsidR="00B10E73">
        <w:t>are</w:t>
      </w:r>
      <w:r w:rsidRPr="00BE524E">
        <w:t xml:space="preserve"> compared against</w:t>
      </w:r>
      <w:r>
        <w:t xml:space="preserve"> (in this case)</w:t>
      </w:r>
      <w:r w:rsidRPr="00BE524E">
        <w:t xml:space="preserve"> 5</w:t>
      </w:r>
      <w:r w:rsidR="00B32D8C">
        <w:t>,</w:t>
      </w:r>
      <w:r w:rsidRPr="00BE524E">
        <w:t xml:space="preserve">000 runs of randomised data (Dufrene and Legendre 1997). For this study, the groups were assigned according to </w:t>
      </w:r>
      <w:r>
        <w:t>inundation zone within a reach (planned comparison)</w:t>
      </w:r>
      <w:r w:rsidRPr="00BE524E">
        <w:t>. A species that is deemed not to be a significant indicator of a particular group is either uncommon or widespread. An uncommon species is only found in one group but in low numbers and a widespread species is found in more than one group in similar numbers (Dufrene and Legendre 1997). Whether a species was classed as a widespread or uncommon non-significant species was determined by examination of the raw data.</w:t>
      </w:r>
    </w:p>
    <w:p w14:paraId="3C254716" w14:textId="77777777" w:rsidR="002C611C" w:rsidRPr="00E35C12" w:rsidRDefault="002C611C" w:rsidP="002C611C">
      <w:pPr>
        <w:pStyle w:val="Heading3"/>
        <w:rPr>
          <w:lang w:eastAsia="en-AU"/>
        </w:rPr>
      </w:pPr>
      <w:r w:rsidRPr="00E35C12">
        <w:rPr>
          <w:lang w:eastAsia="en-AU"/>
        </w:rPr>
        <w:t>Results</w:t>
      </w:r>
    </w:p>
    <w:p w14:paraId="7D24F2C7" w14:textId="77777777" w:rsidR="002C611C" w:rsidRDefault="002C611C" w:rsidP="002C611C">
      <w:r>
        <w:rPr>
          <w:i/>
          <w:u w:val="single"/>
        </w:rPr>
        <w:t>Littoral plant communities</w:t>
      </w:r>
    </w:p>
    <w:p w14:paraId="0D82A9B1" w14:textId="4BCDE716" w:rsidR="002C611C" w:rsidRDefault="002C611C" w:rsidP="002C611C">
      <w:r>
        <w:t>Native species richness was variable between reaches, with the reach downstream of Lack 1 having the highest native species richness in all zones (</w:t>
      </w:r>
      <w:r>
        <w:fldChar w:fldCharType="begin"/>
      </w:r>
      <w:r>
        <w:instrText xml:space="preserve"> REF _Ref58354694 \h </w:instrText>
      </w:r>
      <w:r>
        <w:fldChar w:fldCharType="separate"/>
      </w:r>
      <w:r w:rsidR="006045CA">
        <w:t xml:space="preserve">Figure </w:t>
      </w:r>
      <w:r w:rsidR="006045CA">
        <w:rPr>
          <w:noProof/>
        </w:rPr>
        <w:t>37</w:t>
      </w:r>
      <w:r>
        <w:fldChar w:fldCharType="end"/>
      </w:r>
      <w:r>
        <w:t xml:space="preserve">). Despite the </w:t>
      </w:r>
      <w:r w:rsidR="00074180">
        <w:t xml:space="preserve">variability among reaches, there were common patterns of native species richness within reaches. The </w:t>
      </w:r>
      <w:r w:rsidR="00074180" w:rsidRPr="008D2F8A">
        <w:rPr>
          <w:i/>
          <w:iCs/>
        </w:rPr>
        <w:t>Not inundated</w:t>
      </w:r>
      <w:r w:rsidR="00074180">
        <w:t xml:space="preserve"> zone </w:t>
      </w:r>
      <w:r>
        <w:t>had the lowest native species richness regardless of reach (</w:t>
      </w:r>
      <w:r>
        <w:fldChar w:fldCharType="begin"/>
      </w:r>
      <w:r>
        <w:instrText xml:space="preserve"> REF _Ref58354694 \h </w:instrText>
      </w:r>
      <w:r>
        <w:fldChar w:fldCharType="separate"/>
      </w:r>
      <w:r w:rsidR="006045CA">
        <w:t xml:space="preserve">Figure </w:t>
      </w:r>
      <w:r w:rsidR="006045CA">
        <w:rPr>
          <w:noProof/>
        </w:rPr>
        <w:t>37</w:t>
      </w:r>
      <w:r>
        <w:fldChar w:fldCharType="end"/>
      </w:r>
      <w:r>
        <w:t xml:space="preserve">). Inundation and increased soil moisture in the root zone resulted in increased species richness with the highest species richness in the Lock 1 and Lock 4 reaches being in the </w:t>
      </w:r>
      <w:r w:rsidRPr="008D2F8A">
        <w:rPr>
          <w:i/>
          <w:iCs/>
        </w:rPr>
        <w:t>Inundated</w:t>
      </w:r>
      <w:r>
        <w:t xml:space="preserve"> zone (areas inundated by Commonwealth environmental water) (</w:t>
      </w:r>
      <w:r>
        <w:fldChar w:fldCharType="begin"/>
      </w:r>
      <w:r>
        <w:instrText xml:space="preserve"> REF _Ref58354694 \h </w:instrText>
      </w:r>
      <w:r>
        <w:fldChar w:fldCharType="separate"/>
      </w:r>
      <w:r w:rsidR="006045CA">
        <w:t xml:space="preserve">Figure </w:t>
      </w:r>
      <w:r w:rsidR="006045CA">
        <w:rPr>
          <w:noProof/>
        </w:rPr>
        <w:t>37</w:t>
      </w:r>
      <w:r>
        <w:fldChar w:fldCharType="end"/>
      </w:r>
      <w:r>
        <w:t xml:space="preserve">). In the Lock 6 reach, native species richness was highest at </w:t>
      </w:r>
      <w:r w:rsidRPr="00C877CC">
        <w:rPr>
          <w:i/>
          <w:iCs/>
        </w:rPr>
        <w:t>Pool level</w:t>
      </w:r>
      <w:r>
        <w:t xml:space="preserve">, with the </w:t>
      </w:r>
      <w:r w:rsidRPr="00C877CC">
        <w:rPr>
          <w:i/>
          <w:iCs/>
        </w:rPr>
        <w:t>Inundated</w:t>
      </w:r>
      <w:r>
        <w:t xml:space="preserve"> zone being the second highest (</w:t>
      </w:r>
      <w:r>
        <w:fldChar w:fldCharType="begin"/>
      </w:r>
      <w:r>
        <w:instrText xml:space="preserve"> REF _Ref58354694 \h </w:instrText>
      </w:r>
      <w:r>
        <w:fldChar w:fldCharType="separate"/>
      </w:r>
      <w:r w:rsidR="006045CA">
        <w:t xml:space="preserve">Figure </w:t>
      </w:r>
      <w:r w:rsidR="006045CA">
        <w:rPr>
          <w:noProof/>
        </w:rPr>
        <w:t>37</w:t>
      </w:r>
      <w:r>
        <w:fldChar w:fldCharType="end"/>
      </w:r>
      <w:r>
        <w:t>).</w:t>
      </w:r>
    </w:p>
    <w:p w14:paraId="68B4A644" w14:textId="77777777" w:rsidR="002C611C" w:rsidRDefault="002C611C" w:rsidP="002C611C">
      <w:r w:rsidRPr="003E764A">
        <w:rPr>
          <w:noProof/>
        </w:rPr>
        <w:drawing>
          <wp:inline distT="0" distB="0" distL="0" distR="0" wp14:anchorId="0F950BA4" wp14:editId="63EC4D82">
            <wp:extent cx="5731510" cy="3498850"/>
            <wp:effectExtent l="0" t="0" r="0" b="635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5731510" cy="3498850"/>
                    </a:xfrm>
                    <a:prstGeom prst="rect">
                      <a:avLst/>
                    </a:prstGeom>
                    <a:noFill/>
                    <a:ln>
                      <a:noFill/>
                    </a:ln>
                  </pic:spPr>
                </pic:pic>
              </a:graphicData>
            </a:graphic>
          </wp:inline>
        </w:drawing>
      </w:r>
    </w:p>
    <w:p w14:paraId="755B7D07" w14:textId="6DA165A5" w:rsidR="002C611C" w:rsidRDefault="002C611C" w:rsidP="002C611C">
      <w:pPr>
        <w:pStyle w:val="FigureCaption"/>
      </w:pPr>
      <w:bookmarkStart w:id="206" w:name="_Ref58354694"/>
      <w:bookmarkStart w:id="207" w:name="_Toc69387701"/>
      <w:r>
        <w:t xml:space="preserve">Figure </w:t>
      </w:r>
      <w:r>
        <w:rPr>
          <w:noProof/>
        </w:rPr>
        <w:fldChar w:fldCharType="begin"/>
      </w:r>
      <w:r>
        <w:rPr>
          <w:noProof/>
        </w:rPr>
        <w:instrText xml:space="preserve"> SEQ Figure \* ARABIC </w:instrText>
      </w:r>
      <w:r>
        <w:rPr>
          <w:noProof/>
        </w:rPr>
        <w:fldChar w:fldCharType="separate"/>
      </w:r>
      <w:r w:rsidR="00996426">
        <w:rPr>
          <w:noProof/>
        </w:rPr>
        <w:t>37</w:t>
      </w:r>
      <w:r>
        <w:rPr>
          <w:noProof/>
        </w:rPr>
        <w:fldChar w:fldCharType="end"/>
      </w:r>
      <w:bookmarkEnd w:id="206"/>
      <w:r w:rsidRPr="00825C20">
        <w:t xml:space="preserve">. </w:t>
      </w:r>
      <w:r>
        <w:t>Native species richness (species/quadrat) in each inundation zone in each reach in December 2019.</w:t>
      </w:r>
      <w:bookmarkEnd w:id="207"/>
      <w:r w:rsidRPr="00825C20">
        <w:t xml:space="preserve">  </w:t>
      </w:r>
    </w:p>
    <w:p w14:paraId="51D87F2F" w14:textId="5D95C639" w:rsidR="002C611C" w:rsidRDefault="002C611C" w:rsidP="002C611C">
      <w:r>
        <w:t>The abundance (mean number of cells occupied by species from each functional group) of functional groups was variable between reaches (</w:t>
      </w:r>
      <w:proofErr w:type="gramStart"/>
      <w:r>
        <w:t>similar to</w:t>
      </w:r>
      <w:proofErr w:type="gramEnd"/>
      <w:r>
        <w:t xml:space="preserve"> species richness) with more of every functional group present downstream of Lock 1 (</w:t>
      </w:r>
      <w:r>
        <w:fldChar w:fldCharType="begin"/>
      </w:r>
      <w:r>
        <w:instrText xml:space="preserve"> REF _Ref58573865 \h </w:instrText>
      </w:r>
      <w:r>
        <w:fldChar w:fldCharType="separate"/>
      </w:r>
      <w:r w:rsidR="006045CA">
        <w:t xml:space="preserve">Figure </w:t>
      </w:r>
      <w:r w:rsidR="006045CA">
        <w:rPr>
          <w:noProof/>
        </w:rPr>
        <w:t>38</w:t>
      </w:r>
      <w:r>
        <w:fldChar w:fldCharType="end"/>
      </w:r>
      <w:r>
        <w:t xml:space="preserve">). Nevertheless, there were similar </w:t>
      </w:r>
      <w:r w:rsidR="00074180">
        <w:t xml:space="preserve">patterns among reaches </w:t>
      </w:r>
      <w:r>
        <w:t>regarding the influence of inundation; terrestrial taxa were more abundant in</w:t>
      </w:r>
      <w:r w:rsidR="00E02C97">
        <w:t xml:space="preserve"> non-inundated</w:t>
      </w:r>
      <w:r>
        <w:t xml:space="preserve"> areas (the </w:t>
      </w:r>
      <w:r w:rsidRPr="00C877CC">
        <w:rPr>
          <w:i/>
          <w:iCs/>
        </w:rPr>
        <w:t>Not inundated</w:t>
      </w:r>
      <w:r>
        <w:t xml:space="preserve"> and </w:t>
      </w:r>
      <w:r w:rsidRPr="00C877CC">
        <w:rPr>
          <w:i/>
          <w:iCs/>
        </w:rPr>
        <w:t>Inundation extent</w:t>
      </w:r>
      <w:r>
        <w:t xml:space="preserve"> zones) and there was an increase in emergent taxa with decreasing elevation (</w:t>
      </w:r>
      <w:r>
        <w:fldChar w:fldCharType="begin"/>
      </w:r>
      <w:r>
        <w:instrText xml:space="preserve"> REF _Ref58573865 \h </w:instrText>
      </w:r>
      <w:r>
        <w:fldChar w:fldCharType="separate"/>
      </w:r>
      <w:r w:rsidR="006045CA">
        <w:t xml:space="preserve">Figure </w:t>
      </w:r>
      <w:r w:rsidR="006045CA">
        <w:rPr>
          <w:noProof/>
        </w:rPr>
        <w:t>38</w:t>
      </w:r>
      <w:r>
        <w:fldChar w:fldCharType="end"/>
      </w:r>
      <w:r>
        <w:t xml:space="preserve">). Flood dependent taxa were widespread but were most abundant in the </w:t>
      </w:r>
      <w:r w:rsidRPr="00C877CC">
        <w:rPr>
          <w:i/>
          <w:iCs/>
        </w:rPr>
        <w:t>Inundated</w:t>
      </w:r>
      <w:r>
        <w:t xml:space="preserve"> zone in all reaches (</w:t>
      </w:r>
      <w:r>
        <w:fldChar w:fldCharType="begin"/>
      </w:r>
      <w:r>
        <w:instrText xml:space="preserve"> REF _Ref58573865 \h </w:instrText>
      </w:r>
      <w:r>
        <w:fldChar w:fldCharType="separate"/>
      </w:r>
      <w:r w:rsidR="006045CA">
        <w:t xml:space="preserve">Figure </w:t>
      </w:r>
      <w:r w:rsidR="006045CA">
        <w:rPr>
          <w:noProof/>
        </w:rPr>
        <w:t>38</w:t>
      </w:r>
      <w:r>
        <w:fldChar w:fldCharType="end"/>
      </w:r>
      <w:r>
        <w:t xml:space="preserve">). Amphibious species were also widespread and most abundant at </w:t>
      </w:r>
      <w:r w:rsidRPr="00C877CC">
        <w:rPr>
          <w:i/>
          <w:iCs/>
        </w:rPr>
        <w:t>Pool level</w:t>
      </w:r>
      <w:r>
        <w:t xml:space="preserve"> in the Lock 1 and Lock 6 reaches and in the </w:t>
      </w:r>
      <w:r w:rsidRPr="00240018">
        <w:rPr>
          <w:i/>
          <w:iCs/>
        </w:rPr>
        <w:t xml:space="preserve">Inundated </w:t>
      </w:r>
      <w:r>
        <w:t>zone downstream of Lock 4 (</w:t>
      </w:r>
      <w:r>
        <w:fldChar w:fldCharType="begin"/>
      </w:r>
      <w:r>
        <w:instrText xml:space="preserve"> REF _Ref58573865 \h </w:instrText>
      </w:r>
      <w:r>
        <w:fldChar w:fldCharType="separate"/>
      </w:r>
      <w:r w:rsidR="006045CA">
        <w:t xml:space="preserve">Figure </w:t>
      </w:r>
      <w:r w:rsidR="006045CA">
        <w:rPr>
          <w:noProof/>
        </w:rPr>
        <w:t>38</w:t>
      </w:r>
      <w:r>
        <w:fldChar w:fldCharType="end"/>
      </w:r>
      <w:r>
        <w:t xml:space="preserve">). </w:t>
      </w:r>
    </w:p>
    <w:p w14:paraId="799421D6" w14:textId="77777777" w:rsidR="002C611C" w:rsidRDefault="002C611C" w:rsidP="002C611C">
      <w:pPr>
        <w:pStyle w:val="FigureCaption"/>
        <w:sectPr w:rsidR="002C611C" w:rsidSect="00DA3F0D">
          <w:footerReference w:type="default" r:id="rId88"/>
          <w:pgSz w:w="11906" w:h="16838"/>
          <w:pgMar w:top="1440" w:right="1440" w:bottom="1440" w:left="1440" w:header="708" w:footer="708" w:gutter="0"/>
          <w:cols w:space="708"/>
          <w:docGrid w:linePitch="360"/>
        </w:sectPr>
      </w:pPr>
    </w:p>
    <w:p w14:paraId="42E300EF" w14:textId="77777777" w:rsidR="002C611C" w:rsidRDefault="002C611C" w:rsidP="002C611C">
      <w:pPr>
        <w:jc w:val="center"/>
      </w:pPr>
      <w:r w:rsidRPr="007364E1">
        <w:rPr>
          <w:noProof/>
        </w:rPr>
        <w:drawing>
          <wp:inline distT="0" distB="0" distL="0" distR="0" wp14:anchorId="7B665BE3" wp14:editId="20E00BF4">
            <wp:extent cx="7905610" cy="51054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7911762" cy="5109373"/>
                    </a:xfrm>
                    <a:prstGeom prst="rect">
                      <a:avLst/>
                    </a:prstGeom>
                    <a:noFill/>
                    <a:ln>
                      <a:noFill/>
                    </a:ln>
                  </pic:spPr>
                </pic:pic>
              </a:graphicData>
            </a:graphic>
          </wp:inline>
        </w:drawing>
      </w:r>
    </w:p>
    <w:p w14:paraId="19A7A3C6" w14:textId="3F387974" w:rsidR="002C611C" w:rsidRDefault="002C611C" w:rsidP="002C611C">
      <w:pPr>
        <w:pStyle w:val="FigureCaption"/>
        <w:sectPr w:rsidR="002C611C" w:rsidSect="00653BDD">
          <w:pgSz w:w="16838" w:h="11906" w:orient="landscape"/>
          <w:pgMar w:top="1440" w:right="1440" w:bottom="1440" w:left="1440" w:header="708" w:footer="708" w:gutter="0"/>
          <w:cols w:space="708"/>
          <w:docGrid w:linePitch="360"/>
        </w:sectPr>
      </w:pPr>
      <w:bookmarkStart w:id="208" w:name="_Ref58573865"/>
      <w:bookmarkStart w:id="209" w:name="_Toc69387702"/>
      <w:r>
        <w:t xml:space="preserve">Figure </w:t>
      </w:r>
      <w:r>
        <w:rPr>
          <w:noProof/>
        </w:rPr>
        <w:fldChar w:fldCharType="begin"/>
      </w:r>
      <w:r>
        <w:rPr>
          <w:noProof/>
        </w:rPr>
        <w:instrText xml:space="preserve"> SEQ Figure \* ARABIC </w:instrText>
      </w:r>
      <w:r>
        <w:rPr>
          <w:noProof/>
        </w:rPr>
        <w:fldChar w:fldCharType="separate"/>
      </w:r>
      <w:r w:rsidR="00996426">
        <w:rPr>
          <w:noProof/>
        </w:rPr>
        <w:t>38</w:t>
      </w:r>
      <w:r>
        <w:rPr>
          <w:noProof/>
        </w:rPr>
        <w:fldChar w:fldCharType="end"/>
      </w:r>
      <w:bookmarkEnd w:id="208"/>
      <w:r w:rsidRPr="00825C20">
        <w:t xml:space="preserve">. </w:t>
      </w:r>
      <w:r>
        <w:t>Number of cells occupied by each functional group in each inundation zone in each reach in December 2019</w:t>
      </w:r>
      <w:bookmarkEnd w:id="209"/>
    </w:p>
    <w:p w14:paraId="4F429954" w14:textId="2E583321" w:rsidR="002C611C" w:rsidRDefault="002C611C" w:rsidP="002C611C">
      <w:proofErr w:type="spellStart"/>
      <w:r>
        <w:t>nMDS</w:t>
      </w:r>
      <w:proofErr w:type="spellEnd"/>
      <w:r>
        <w:t xml:space="preserve"> ordination showed that the vegetation downstream of Lock 1 was different to the two upstream reaches (</w:t>
      </w:r>
      <w:r>
        <w:fldChar w:fldCharType="begin"/>
      </w:r>
      <w:r>
        <w:instrText xml:space="preserve"> REF _Ref58438840 \h </w:instrText>
      </w:r>
      <w:r>
        <w:fldChar w:fldCharType="separate"/>
      </w:r>
      <w:r w:rsidR="006045CA">
        <w:t xml:space="preserve">Figure </w:t>
      </w:r>
      <w:r w:rsidR="006045CA">
        <w:rPr>
          <w:noProof/>
        </w:rPr>
        <w:t>39</w:t>
      </w:r>
      <w:r>
        <w:fldChar w:fldCharType="end"/>
      </w:r>
      <w:r>
        <w:t>). This was supported with PERMANOVA detecting significant differences in the plant community between reaches (with multiple comparisons showing each reach was significantly different) and inundation zones (each zone was also significantly different), with no significant interaction (</w:t>
      </w:r>
      <w:r>
        <w:fldChar w:fldCharType="begin"/>
      </w:r>
      <w:r>
        <w:instrText xml:space="preserve"> REF _Ref58439411 \h </w:instrText>
      </w:r>
      <w:r>
        <w:fldChar w:fldCharType="separate"/>
      </w:r>
      <w:r w:rsidR="006045CA">
        <w:t xml:space="preserve">Table </w:t>
      </w:r>
      <w:r w:rsidR="006045CA">
        <w:rPr>
          <w:noProof/>
        </w:rPr>
        <w:t>11</w:t>
      </w:r>
      <w:r>
        <w:fldChar w:fldCharType="end"/>
      </w:r>
      <w:r>
        <w:t xml:space="preserve">). This provides evidence that the differences in the plant community between inundation zones (and, in response to environmental water delivery) was similar across reaches despite the plant communities being significantly different at each reach. </w:t>
      </w:r>
    </w:p>
    <w:p w14:paraId="49010069" w14:textId="77777777" w:rsidR="002C611C" w:rsidRDefault="002C611C" w:rsidP="002C611C">
      <w:r w:rsidRPr="00321B17">
        <w:rPr>
          <w:noProof/>
        </w:rPr>
        <w:drawing>
          <wp:inline distT="0" distB="0" distL="0" distR="0" wp14:anchorId="4E37461D" wp14:editId="3989A266">
            <wp:extent cx="5731510" cy="3594100"/>
            <wp:effectExtent l="0" t="0" r="2540" b="635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5731510" cy="3594100"/>
                    </a:xfrm>
                    <a:prstGeom prst="rect">
                      <a:avLst/>
                    </a:prstGeom>
                    <a:noFill/>
                    <a:ln>
                      <a:noFill/>
                    </a:ln>
                  </pic:spPr>
                </pic:pic>
              </a:graphicData>
            </a:graphic>
          </wp:inline>
        </w:drawing>
      </w:r>
    </w:p>
    <w:p w14:paraId="46798E44" w14:textId="6E3CD4EC" w:rsidR="002C611C" w:rsidRDefault="002C611C" w:rsidP="002C611C">
      <w:pPr>
        <w:pStyle w:val="FigureCaption"/>
      </w:pPr>
      <w:bookmarkStart w:id="210" w:name="_Ref58438840"/>
      <w:bookmarkStart w:id="211" w:name="_Toc69387703"/>
      <w:r>
        <w:t xml:space="preserve">Figure </w:t>
      </w:r>
      <w:r>
        <w:rPr>
          <w:noProof/>
        </w:rPr>
        <w:fldChar w:fldCharType="begin"/>
      </w:r>
      <w:r>
        <w:rPr>
          <w:noProof/>
        </w:rPr>
        <w:instrText xml:space="preserve"> SEQ Figure \* ARABIC </w:instrText>
      </w:r>
      <w:r>
        <w:rPr>
          <w:noProof/>
        </w:rPr>
        <w:fldChar w:fldCharType="separate"/>
      </w:r>
      <w:r w:rsidR="00996426">
        <w:rPr>
          <w:noProof/>
        </w:rPr>
        <w:t>39</w:t>
      </w:r>
      <w:r>
        <w:rPr>
          <w:noProof/>
        </w:rPr>
        <w:fldChar w:fldCharType="end"/>
      </w:r>
      <w:bookmarkEnd w:id="210"/>
      <w:r w:rsidRPr="00825C20">
        <w:t xml:space="preserve">. </w:t>
      </w:r>
      <w:proofErr w:type="spellStart"/>
      <w:r>
        <w:t>nMDS</w:t>
      </w:r>
      <w:proofErr w:type="spellEnd"/>
      <w:r>
        <w:t xml:space="preserve"> Ordination comparing the plant community in each inundation zone in each reach in December 2019.</w:t>
      </w:r>
      <w:bookmarkEnd w:id="211"/>
      <w:r w:rsidRPr="00825C20">
        <w:t xml:space="preserve">  </w:t>
      </w:r>
    </w:p>
    <w:p w14:paraId="4053A38A" w14:textId="516D8642" w:rsidR="002C611C" w:rsidRPr="003F5C8F" w:rsidRDefault="002C611C" w:rsidP="002C611C">
      <w:pPr>
        <w:pStyle w:val="Caption"/>
        <w:rPr>
          <w:lang w:val="en-US"/>
        </w:rPr>
      </w:pPr>
      <w:bookmarkStart w:id="212" w:name="_Ref58439411"/>
      <w:bookmarkStart w:id="213" w:name="_Toc69387740"/>
      <w:r>
        <w:t xml:space="preserve">Table </w:t>
      </w:r>
      <w:r>
        <w:rPr>
          <w:noProof/>
        </w:rPr>
        <w:fldChar w:fldCharType="begin"/>
      </w:r>
      <w:r>
        <w:rPr>
          <w:noProof/>
        </w:rPr>
        <w:instrText xml:space="preserve"> SEQ Table \* ARABIC </w:instrText>
      </w:r>
      <w:r>
        <w:rPr>
          <w:noProof/>
        </w:rPr>
        <w:fldChar w:fldCharType="separate"/>
      </w:r>
      <w:r w:rsidR="00CE5EF5">
        <w:rPr>
          <w:noProof/>
        </w:rPr>
        <w:t>11</w:t>
      </w:r>
      <w:r>
        <w:rPr>
          <w:noProof/>
        </w:rPr>
        <w:fldChar w:fldCharType="end"/>
      </w:r>
      <w:bookmarkEnd w:id="212"/>
      <w:r>
        <w:rPr>
          <w:noProof/>
        </w:rPr>
        <w:t>.</w:t>
      </w:r>
      <w:r>
        <w:t xml:space="preserve"> PERMANOVA results comparing plant community in each inundation zone in each reach in December 2019.</w:t>
      </w:r>
      <w:bookmarkEnd w:id="213"/>
    </w:p>
    <w:tbl>
      <w:tblPr>
        <w:tblW w:w="4985" w:type="dxa"/>
        <w:tblLook w:val="04A0" w:firstRow="1" w:lastRow="0" w:firstColumn="1" w:lastColumn="0" w:noHBand="0" w:noVBand="1"/>
      </w:tblPr>
      <w:tblGrid>
        <w:gridCol w:w="2405"/>
        <w:gridCol w:w="760"/>
        <w:gridCol w:w="1120"/>
        <w:gridCol w:w="700"/>
      </w:tblGrid>
      <w:tr w:rsidR="002C611C" w:rsidRPr="003F5C8F" w14:paraId="0E221DF3" w14:textId="77777777" w:rsidTr="002C611C">
        <w:trPr>
          <w:trHeight w:val="255"/>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B5C0FE" w14:textId="77777777" w:rsidR="002C611C" w:rsidRPr="003F5C8F" w:rsidRDefault="002C611C" w:rsidP="002C611C">
            <w:pPr>
              <w:spacing w:before="0" w:after="0" w:line="240" w:lineRule="auto"/>
              <w:jc w:val="center"/>
              <w:rPr>
                <w:rFonts w:cs="Calibri"/>
                <w:b/>
                <w:bCs/>
                <w:kern w:val="0"/>
                <w:sz w:val="19"/>
                <w:szCs w:val="19"/>
                <w:lang w:eastAsia="en-AU"/>
              </w:rPr>
            </w:pPr>
            <w:r w:rsidRPr="003F5C8F">
              <w:rPr>
                <w:rFonts w:cs="Calibri"/>
                <w:b/>
                <w:bCs/>
                <w:kern w:val="0"/>
                <w:sz w:val="19"/>
                <w:szCs w:val="19"/>
                <w:lang w:eastAsia="en-AU"/>
              </w:rPr>
              <w:t>Factor</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4EB9C4A3" w14:textId="77777777" w:rsidR="002C611C" w:rsidRPr="003F5C8F" w:rsidRDefault="002C611C" w:rsidP="002C611C">
            <w:pPr>
              <w:spacing w:before="0" w:after="0" w:line="240" w:lineRule="auto"/>
              <w:jc w:val="center"/>
              <w:rPr>
                <w:rFonts w:cs="Calibri"/>
                <w:b/>
                <w:bCs/>
                <w:kern w:val="0"/>
                <w:sz w:val="19"/>
                <w:szCs w:val="19"/>
                <w:lang w:eastAsia="en-AU"/>
              </w:rPr>
            </w:pPr>
            <w:r w:rsidRPr="003F5C8F">
              <w:rPr>
                <w:rFonts w:cs="Calibri"/>
                <w:b/>
                <w:bCs/>
                <w:kern w:val="0"/>
                <w:sz w:val="19"/>
                <w:szCs w:val="19"/>
                <w:lang w:eastAsia="en-AU"/>
              </w:rPr>
              <w:t>DF</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14:paraId="47B97E6D" w14:textId="77777777" w:rsidR="002C611C" w:rsidRPr="003F5C8F" w:rsidRDefault="002C611C" w:rsidP="002C611C">
            <w:pPr>
              <w:spacing w:before="0" w:after="0" w:line="240" w:lineRule="auto"/>
              <w:jc w:val="center"/>
              <w:rPr>
                <w:rFonts w:cs="Calibri"/>
                <w:b/>
                <w:bCs/>
                <w:i/>
                <w:iCs/>
                <w:kern w:val="0"/>
                <w:sz w:val="19"/>
                <w:szCs w:val="19"/>
                <w:lang w:eastAsia="en-AU"/>
              </w:rPr>
            </w:pPr>
            <w:r w:rsidRPr="003F5C8F">
              <w:rPr>
                <w:rFonts w:cs="Calibri"/>
                <w:b/>
                <w:bCs/>
                <w:i/>
                <w:iCs/>
                <w:kern w:val="0"/>
                <w:sz w:val="19"/>
                <w:szCs w:val="19"/>
                <w:lang w:eastAsia="en-AU"/>
              </w:rPr>
              <w:t>Pseudo F</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14:paraId="3233F3F0" w14:textId="77777777" w:rsidR="002C611C" w:rsidRPr="003F5C8F" w:rsidRDefault="002C611C" w:rsidP="002C611C">
            <w:pPr>
              <w:spacing w:before="0" w:after="0" w:line="240" w:lineRule="auto"/>
              <w:jc w:val="center"/>
              <w:rPr>
                <w:rFonts w:cs="Calibri"/>
                <w:b/>
                <w:bCs/>
                <w:i/>
                <w:iCs/>
                <w:kern w:val="0"/>
                <w:sz w:val="19"/>
                <w:szCs w:val="19"/>
                <w:lang w:eastAsia="en-AU"/>
              </w:rPr>
            </w:pPr>
            <w:r w:rsidRPr="003F5C8F">
              <w:rPr>
                <w:rFonts w:cs="Calibri"/>
                <w:b/>
                <w:bCs/>
                <w:i/>
                <w:iCs/>
                <w:kern w:val="0"/>
                <w:sz w:val="19"/>
                <w:szCs w:val="19"/>
                <w:lang w:eastAsia="en-AU"/>
              </w:rPr>
              <w:t>P</w:t>
            </w:r>
          </w:p>
        </w:tc>
      </w:tr>
      <w:tr w:rsidR="002C611C" w:rsidRPr="003F5C8F" w14:paraId="6FE1FD17" w14:textId="77777777" w:rsidTr="002C611C">
        <w:trPr>
          <w:trHeight w:val="270"/>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14:paraId="4DE3ABFF" w14:textId="77777777" w:rsidR="002C611C" w:rsidRPr="003F5C8F" w:rsidRDefault="002C611C" w:rsidP="002C611C">
            <w:pPr>
              <w:spacing w:before="0" w:after="0" w:line="240" w:lineRule="auto"/>
              <w:jc w:val="left"/>
              <w:rPr>
                <w:rFonts w:cs="Calibri"/>
                <w:kern w:val="0"/>
                <w:sz w:val="19"/>
                <w:szCs w:val="19"/>
                <w:lang w:eastAsia="en-AU"/>
              </w:rPr>
            </w:pPr>
            <w:r>
              <w:rPr>
                <w:rFonts w:cs="Calibri"/>
                <w:kern w:val="0"/>
                <w:sz w:val="19"/>
                <w:szCs w:val="19"/>
                <w:lang w:eastAsia="en-AU"/>
              </w:rPr>
              <w:t>Reach</w:t>
            </w:r>
          </w:p>
        </w:tc>
        <w:tc>
          <w:tcPr>
            <w:tcW w:w="760" w:type="dxa"/>
            <w:tcBorders>
              <w:top w:val="nil"/>
              <w:left w:val="nil"/>
              <w:bottom w:val="single" w:sz="4" w:space="0" w:color="auto"/>
              <w:right w:val="single" w:sz="4" w:space="0" w:color="auto"/>
            </w:tcBorders>
            <w:shd w:val="clear" w:color="auto" w:fill="auto"/>
            <w:noWrap/>
            <w:vAlign w:val="bottom"/>
            <w:hideMark/>
          </w:tcPr>
          <w:p w14:paraId="324A42BC" w14:textId="77777777" w:rsidR="002C611C" w:rsidRPr="003F5C8F" w:rsidRDefault="002C611C" w:rsidP="002C611C">
            <w:pPr>
              <w:spacing w:before="0" w:after="0" w:line="240" w:lineRule="auto"/>
              <w:jc w:val="center"/>
              <w:rPr>
                <w:rFonts w:cs="Calibri"/>
                <w:kern w:val="0"/>
                <w:sz w:val="19"/>
                <w:szCs w:val="19"/>
                <w:lang w:eastAsia="en-AU"/>
              </w:rPr>
            </w:pPr>
            <w:r w:rsidRPr="003F5C8F">
              <w:rPr>
                <w:rFonts w:cs="Calibri"/>
                <w:kern w:val="0"/>
                <w:sz w:val="19"/>
                <w:szCs w:val="19"/>
                <w:lang w:eastAsia="en-AU"/>
              </w:rPr>
              <w:t>2,107</w:t>
            </w:r>
          </w:p>
        </w:tc>
        <w:tc>
          <w:tcPr>
            <w:tcW w:w="1120" w:type="dxa"/>
            <w:tcBorders>
              <w:top w:val="nil"/>
              <w:left w:val="nil"/>
              <w:bottom w:val="single" w:sz="4" w:space="0" w:color="auto"/>
              <w:right w:val="single" w:sz="4" w:space="0" w:color="auto"/>
            </w:tcBorders>
            <w:shd w:val="clear" w:color="auto" w:fill="auto"/>
            <w:noWrap/>
            <w:vAlign w:val="bottom"/>
            <w:hideMark/>
          </w:tcPr>
          <w:p w14:paraId="65EEEBC1" w14:textId="77777777" w:rsidR="002C611C" w:rsidRPr="003F5C8F" w:rsidRDefault="002C611C" w:rsidP="002C611C">
            <w:pPr>
              <w:spacing w:before="0" w:after="0" w:line="240" w:lineRule="auto"/>
              <w:jc w:val="center"/>
              <w:rPr>
                <w:rFonts w:cs="Calibri"/>
                <w:kern w:val="0"/>
                <w:sz w:val="19"/>
                <w:szCs w:val="19"/>
                <w:lang w:eastAsia="en-AU"/>
              </w:rPr>
            </w:pPr>
            <w:r w:rsidRPr="003F5C8F">
              <w:rPr>
                <w:rFonts w:cs="Calibri"/>
                <w:kern w:val="0"/>
                <w:sz w:val="19"/>
                <w:szCs w:val="19"/>
                <w:lang w:eastAsia="en-AU"/>
              </w:rPr>
              <w:t>8.81</w:t>
            </w:r>
          </w:p>
        </w:tc>
        <w:tc>
          <w:tcPr>
            <w:tcW w:w="700" w:type="dxa"/>
            <w:tcBorders>
              <w:top w:val="nil"/>
              <w:left w:val="nil"/>
              <w:bottom w:val="single" w:sz="4" w:space="0" w:color="auto"/>
              <w:right w:val="single" w:sz="4" w:space="0" w:color="auto"/>
            </w:tcBorders>
            <w:shd w:val="clear" w:color="auto" w:fill="auto"/>
            <w:noWrap/>
            <w:vAlign w:val="bottom"/>
            <w:hideMark/>
          </w:tcPr>
          <w:p w14:paraId="19D73391" w14:textId="77777777" w:rsidR="002C611C" w:rsidRPr="003F5C8F" w:rsidRDefault="002C611C" w:rsidP="002C611C">
            <w:pPr>
              <w:spacing w:before="0" w:after="0" w:line="240" w:lineRule="auto"/>
              <w:jc w:val="center"/>
              <w:rPr>
                <w:rFonts w:cs="Calibri"/>
                <w:kern w:val="0"/>
                <w:sz w:val="19"/>
                <w:szCs w:val="19"/>
                <w:lang w:eastAsia="en-AU"/>
              </w:rPr>
            </w:pPr>
            <w:r w:rsidRPr="003F5C8F">
              <w:rPr>
                <w:rFonts w:cs="Calibri"/>
                <w:kern w:val="0"/>
                <w:sz w:val="19"/>
                <w:szCs w:val="19"/>
                <w:lang w:eastAsia="en-AU"/>
              </w:rPr>
              <w:t>0.001</w:t>
            </w:r>
          </w:p>
        </w:tc>
      </w:tr>
      <w:tr w:rsidR="002C611C" w:rsidRPr="003F5C8F" w14:paraId="636E4231" w14:textId="77777777" w:rsidTr="002C611C">
        <w:trPr>
          <w:trHeight w:val="270"/>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14:paraId="4BB75D22" w14:textId="77777777" w:rsidR="002C611C" w:rsidRPr="003F5C8F" w:rsidRDefault="002C611C" w:rsidP="002C611C">
            <w:pPr>
              <w:spacing w:before="0" w:after="0" w:line="240" w:lineRule="auto"/>
              <w:jc w:val="left"/>
              <w:rPr>
                <w:rFonts w:cs="Calibri"/>
                <w:kern w:val="0"/>
                <w:sz w:val="19"/>
                <w:szCs w:val="19"/>
                <w:lang w:eastAsia="en-AU"/>
              </w:rPr>
            </w:pPr>
            <w:r w:rsidRPr="003F5C8F">
              <w:rPr>
                <w:rFonts w:cs="Calibri"/>
                <w:kern w:val="0"/>
                <w:sz w:val="19"/>
                <w:szCs w:val="19"/>
                <w:lang w:eastAsia="en-AU"/>
              </w:rPr>
              <w:t>Inundation</w:t>
            </w:r>
            <w:r>
              <w:rPr>
                <w:rFonts w:cs="Calibri"/>
                <w:kern w:val="0"/>
                <w:sz w:val="19"/>
                <w:szCs w:val="19"/>
                <w:lang w:eastAsia="en-AU"/>
              </w:rPr>
              <w:t xml:space="preserve"> Zone</w:t>
            </w:r>
          </w:p>
        </w:tc>
        <w:tc>
          <w:tcPr>
            <w:tcW w:w="760" w:type="dxa"/>
            <w:tcBorders>
              <w:top w:val="nil"/>
              <w:left w:val="nil"/>
              <w:bottom w:val="single" w:sz="4" w:space="0" w:color="auto"/>
              <w:right w:val="single" w:sz="4" w:space="0" w:color="auto"/>
            </w:tcBorders>
            <w:shd w:val="clear" w:color="auto" w:fill="auto"/>
            <w:noWrap/>
            <w:vAlign w:val="bottom"/>
            <w:hideMark/>
          </w:tcPr>
          <w:p w14:paraId="547CABE7" w14:textId="77777777" w:rsidR="002C611C" w:rsidRPr="003F5C8F" w:rsidRDefault="002C611C" w:rsidP="002C611C">
            <w:pPr>
              <w:spacing w:before="0" w:after="0" w:line="240" w:lineRule="auto"/>
              <w:jc w:val="center"/>
              <w:rPr>
                <w:rFonts w:cs="Calibri"/>
                <w:kern w:val="0"/>
                <w:sz w:val="19"/>
                <w:szCs w:val="19"/>
                <w:lang w:eastAsia="en-AU"/>
              </w:rPr>
            </w:pPr>
            <w:r w:rsidRPr="003F5C8F">
              <w:rPr>
                <w:rFonts w:cs="Calibri"/>
                <w:kern w:val="0"/>
                <w:sz w:val="19"/>
                <w:szCs w:val="19"/>
                <w:lang w:eastAsia="en-AU"/>
              </w:rPr>
              <w:t>3,107</w:t>
            </w:r>
          </w:p>
        </w:tc>
        <w:tc>
          <w:tcPr>
            <w:tcW w:w="1120" w:type="dxa"/>
            <w:tcBorders>
              <w:top w:val="nil"/>
              <w:left w:val="nil"/>
              <w:bottom w:val="single" w:sz="4" w:space="0" w:color="auto"/>
              <w:right w:val="single" w:sz="4" w:space="0" w:color="auto"/>
            </w:tcBorders>
            <w:shd w:val="clear" w:color="auto" w:fill="auto"/>
            <w:noWrap/>
            <w:vAlign w:val="bottom"/>
            <w:hideMark/>
          </w:tcPr>
          <w:p w14:paraId="4DDBB2DB" w14:textId="77777777" w:rsidR="002C611C" w:rsidRPr="003F5C8F" w:rsidRDefault="002C611C" w:rsidP="002C611C">
            <w:pPr>
              <w:spacing w:before="0" w:after="0" w:line="240" w:lineRule="auto"/>
              <w:jc w:val="center"/>
              <w:rPr>
                <w:rFonts w:cs="Calibri"/>
                <w:kern w:val="0"/>
                <w:sz w:val="19"/>
                <w:szCs w:val="19"/>
                <w:lang w:eastAsia="en-AU"/>
              </w:rPr>
            </w:pPr>
            <w:r w:rsidRPr="003F5C8F">
              <w:rPr>
                <w:rFonts w:cs="Calibri"/>
                <w:kern w:val="0"/>
                <w:sz w:val="19"/>
                <w:szCs w:val="19"/>
                <w:lang w:eastAsia="en-AU"/>
              </w:rPr>
              <w:t>3.27</w:t>
            </w:r>
          </w:p>
        </w:tc>
        <w:tc>
          <w:tcPr>
            <w:tcW w:w="700" w:type="dxa"/>
            <w:tcBorders>
              <w:top w:val="nil"/>
              <w:left w:val="nil"/>
              <w:bottom w:val="single" w:sz="4" w:space="0" w:color="auto"/>
              <w:right w:val="single" w:sz="4" w:space="0" w:color="auto"/>
            </w:tcBorders>
            <w:shd w:val="clear" w:color="auto" w:fill="auto"/>
            <w:noWrap/>
            <w:vAlign w:val="bottom"/>
            <w:hideMark/>
          </w:tcPr>
          <w:p w14:paraId="006951A8" w14:textId="77777777" w:rsidR="002C611C" w:rsidRPr="003F5C8F" w:rsidRDefault="002C611C" w:rsidP="002C611C">
            <w:pPr>
              <w:spacing w:before="0" w:after="0" w:line="240" w:lineRule="auto"/>
              <w:jc w:val="center"/>
              <w:rPr>
                <w:rFonts w:cs="Calibri"/>
                <w:kern w:val="0"/>
                <w:sz w:val="19"/>
                <w:szCs w:val="19"/>
                <w:lang w:eastAsia="en-AU"/>
              </w:rPr>
            </w:pPr>
            <w:r w:rsidRPr="003F5C8F">
              <w:rPr>
                <w:rFonts w:cs="Calibri"/>
                <w:kern w:val="0"/>
                <w:sz w:val="19"/>
                <w:szCs w:val="19"/>
                <w:lang w:eastAsia="en-AU"/>
              </w:rPr>
              <w:t>0.001</w:t>
            </w:r>
          </w:p>
        </w:tc>
      </w:tr>
      <w:tr w:rsidR="002C611C" w:rsidRPr="003F5C8F" w14:paraId="60ABDE6A" w14:textId="77777777" w:rsidTr="002C611C">
        <w:trPr>
          <w:trHeight w:val="270"/>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14:paraId="17EE396E" w14:textId="77777777" w:rsidR="002C611C" w:rsidRPr="003F5C8F" w:rsidRDefault="002C611C" w:rsidP="002C611C">
            <w:pPr>
              <w:spacing w:before="0" w:after="0" w:line="240" w:lineRule="auto"/>
              <w:jc w:val="left"/>
              <w:rPr>
                <w:rFonts w:cs="Calibri"/>
                <w:kern w:val="0"/>
                <w:sz w:val="19"/>
                <w:szCs w:val="19"/>
                <w:lang w:eastAsia="en-AU"/>
              </w:rPr>
            </w:pPr>
            <w:r w:rsidRPr="003F5C8F">
              <w:rPr>
                <w:rFonts w:cs="Calibri"/>
                <w:kern w:val="0"/>
                <w:sz w:val="19"/>
                <w:szCs w:val="19"/>
                <w:lang w:eastAsia="en-AU"/>
              </w:rPr>
              <w:t>Site x Inundation</w:t>
            </w:r>
            <w:r>
              <w:rPr>
                <w:rFonts w:cs="Calibri"/>
                <w:kern w:val="0"/>
                <w:sz w:val="19"/>
                <w:szCs w:val="19"/>
                <w:lang w:eastAsia="en-AU"/>
              </w:rPr>
              <w:t xml:space="preserve"> Zone</w:t>
            </w:r>
          </w:p>
        </w:tc>
        <w:tc>
          <w:tcPr>
            <w:tcW w:w="760" w:type="dxa"/>
            <w:tcBorders>
              <w:top w:val="nil"/>
              <w:left w:val="nil"/>
              <w:bottom w:val="single" w:sz="4" w:space="0" w:color="auto"/>
              <w:right w:val="single" w:sz="4" w:space="0" w:color="auto"/>
            </w:tcBorders>
            <w:shd w:val="clear" w:color="auto" w:fill="auto"/>
            <w:noWrap/>
            <w:vAlign w:val="bottom"/>
            <w:hideMark/>
          </w:tcPr>
          <w:p w14:paraId="291DFAD8" w14:textId="77777777" w:rsidR="002C611C" w:rsidRPr="003F5C8F" w:rsidRDefault="002C611C" w:rsidP="002C611C">
            <w:pPr>
              <w:spacing w:before="0" w:after="0" w:line="240" w:lineRule="auto"/>
              <w:jc w:val="center"/>
              <w:rPr>
                <w:rFonts w:cs="Calibri"/>
                <w:kern w:val="0"/>
                <w:sz w:val="19"/>
                <w:szCs w:val="19"/>
                <w:lang w:eastAsia="en-AU"/>
              </w:rPr>
            </w:pPr>
            <w:r w:rsidRPr="003F5C8F">
              <w:rPr>
                <w:rFonts w:cs="Calibri"/>
                <w:kern w:val="0"/>
                <w:sz w:val="19"/>
                <w:szCs w:val="19"/>
                <w:lang w:eastAsia="en-AU"/>
              </w:rPr>
              <w:t>6,107</w:t>
            </w:r>
          </w:p>
        </w:tc>
        <w:tc>
          <w:tcPr>
            <w:tcW w:w="1120" w:type="dxa"/>
            <w:tcBorders>
              <w:top w:val="nil"/>
              <w:left w:val="nil"/>
              <w:bottom w:val="single" w:sz="4" w:space="0" w:color="auto"/>
              <w:right w:val="single" w:sz="4" w:space="0" w:color="auto"/>
            </w:tcBorders>
            <w:shd w:val="clear" w:color="auto" w:fill="auto"/>
            <w:noWrap/>
            <w:vAlign w:val="bottom"/>
            <w:hideMark/>
          </w:tcPr>
          <w:p w14:paraId="7E2CE7B0" w14:textId="77777777" w:rsidR="002C611C" w:rsidRPr="003F5C8F" w:rsidRDefault="002C611C" w:rsidP="002C611C">
            <w:pPr>
              <w:spacing w:before="0" w:after="0" w:line="240" w:lineRule="auto"/>
              <w:jc w:val="center"/>
              <w:rPr>
                <w:rFonts w:cs="Calibri"/>
                <w:kern w:val="0"/>
                <w:sz w:val="19"/>
                <w:szCs w:val="19"/>
                <w:lang w:eastAsia="en-AU"/>
              </w:rPr>
            </w:pPr>
            <w:r w:rsidRPr="003F5C8F">
              <w:rPr>
                <w:rFonts w:cs="Calibri"/>
                <w:kern w:val="0"/>
                <w:sz w:val="19"/>
                <w:szCs w:val="19"/>
                <w:lang w:eastAsia="en-AU"/>
              </w:rPr>
              <w:t>1.11</w:t>
            </w:r>
          </w:p>
        </w:tc>
        <w:tc>
          <w:tcPr>
            <w:tcW w:w="700" w:type="dxa"/>
            <w:tcBorders>
              <w:top w:val="nil"/>
              <w:left w:val="nil"/>
              <w:bottom w:val="single" w:sz="4" w:space="0" w:color="auto"/>
              <w:right w:val="single" w:sz="4" w:space="0" w:color="auto"/>
            </w:tcBorders>
            <w:shd w:val="clear" w:color="auto" w:fill="auto"/>
            <w:noWrap/>
            <w:vAlign w:val="bottom"/>
            <w:hideMark/>
          </w:tcPr>
          <w:p w14:paraId="1BC1461F" w14:textId="77777777" w:rsidR="002C611C" w:rsidRPr="003F5C8F" w:rsidRDefault="002C611C" w:rsidP="002C611C">
            <w:pPr>
              <w:spacing w:before="0" w:after="0" w:line="240" w:lineRule="auto"/>
              <w:jc w:val="center"/>
              <w:rPr>
                <w:rFonts w:cs="Calibri"/>
                <w:kern w:val="0"/>
                <w:sz w:val="19"/>
                <w:szCs w:val="19"/>
                <w:lang w:eastAsia="en-AU"/>
              </w:rPr>
            </w:pPr>
            <w:r w:rsidRPr="003F5C8F">
              <w:rPr>
                <w:rFonts w:cs="Calibri"/>
                <w:kern w:val="0"/>
                <w:sz w:val="19"/>
                <w:szCs w:val="19"/>
                <w:lang w:eastAsia="en-AU"/>
              </w:rPr>
              <w:t>0.266</w:t>
            </w:r>
          </w:p>
        </w:tc>
      </w:tr>
    </w:tbl>
    <w:p w14:paraId="3C806977" w14:textId="77777777" w:rsidR="002C611C" w:rsidRDefault="002C611C" w:rsidP="002C611C"/>
    <w:p w14:paraId="255AD5B8" w14:textId="2B07A59D" w:rsidR="002C611C" w:rsidRDefault="002C611C" w:rsidP="002C611C">
      <w:r>
        <w:t xml:space="preserve">Despite the significant differences between inundation zones, </w:t>
      </w:r>
      <w:r w:rsidRPr="00240018">
        <w:rPr>
          <w:i/>
          <w:iCs/>
        </w:rPr>
        <w:t>Pool level</w:t>
      </w:r>
      <w:r>
        <w:t xml:space="preserve"> (with the exception of </w:t>
      </w:r>
      <w:r w:rsidRPr="006559C7">
        <w:rPr>
          <w:i/>
          <w:iCs/>
        </w:rPr>
        <w:t>Xanthium occidentale</w:t>
      </w:r>
      <w:r>
        <w:t>, in the reach downstream of Lock 1) was the only zone with significant indicators in the Lock 1 and Lock 6 reaches (with no significant indicators in the Lock 4 reach) (Table D</w:t>
      </w:r>
      <w:r w:rsidR="00065DAD">
        <w:t>3</w:t>
      </w:r>
      <w:r w:rsidR="005E53ED">
        <w:t xml:space="preserve">, </w:t>
      </w:r>
      <w:r>
        <w:t xml:space="preserve">Appendix D). However, many of the species not deemed significant indicators of one inundation zone were present in two zones in similar abundances. </w:t>
      </w:r>
      <w:proofErr w:type="gramStart"/>
      <w:r>
        <w:t xml:space="preserve">In particular, </w:t>
      </w:r>
      <w:r w:rsidR="00A12E9A">
        <w:t>several</w:t>
      </w:r>
      <w:proofErr w:type="gramEnd"/>
      <w:r w:rsidR="00A12E9A">
        <w:t xml:space="preserve"> </w:t>
      </w:r>
      <w:r>
        <w:t xml:space="preserve">amphibious and flood dependent taxa were present in the </w:t>
      </w:r>
      <w:r w:rsidRPr="00240018">
        <w:rPr>
          <w:i/>
          <w:iCs/>
        </w:rPr>
        <w:t>Pool level</w:t>
      </w:r>
      <w:r>
        <w:t xml:space="preserve"> and </w:t>
      </w:r>
      <w:r w:rsidRPr="00240018">
        <w:rPr>
          <w:i/>
          <w:iCs/>
        </w:rPr>
        <w:t>Inundated</w:t>
      </w:r>
      <w:r>
        <w:t xml:space="preserve"> zones and absent at the </w:t>
      </w:r>
      <w:r w:rsidRPr="00240018">
        <w:rPr>
          <w:i/>
          <w:iCs/>
        </w:rPr>
        <w:t>Inundation extent</w:t>
      </w:r>
      <w:r>
        <w:t xml:space="preserve"> and </w:t>
      </w:r>
      <w:r w:rsidRPr="00240018">
        <w:rPr>
          <w:i/>
          <w:iCs/>
        </w:rPr>
        <w:t>Not inundated</w:t>
      </w:r>
      <w:r>
        <w:t xml:space="preserve"> zones (Table D</w:t>
      </w:r>
      <w:r w:rsidR="00065DAD">
        <w:t>3</w:t>
      </w:r>
      <w:r w:rsidR="005E53ED">
        <w:t>, Appendix D</w:t>
      </w:r>
      <w:r>
        <w:t xml:space="preserve">). </w:t>
      </w:r>
    </w:p>
    <w:p w14:paraId="28C5C55E" w14:textId="265B773E" w:rsidR="002C611C" w:rsidRDefault="002C611C" w:rsidP="002C611C">
      <w:r>
        <w:t xml:space="preserve">Several exotic species recruited in the </w:t>
      </w:r>
      <w:r w:rsidRPr="00240018">
        <w:rPr>
          <w:i/>
          <w:iCs/>
        </w:rPr>
        <w:t>Inundated</w:t>
      </w:r>
      <w:r>
        <w:t xml:space="preserve"> and </w:t>
      </w:r>
      <w:r w:rsidRPr="00240018">
        <w:rPr>
          <w:i/>
          <w:iCs/>
        </w:rPr>
        <w:t>Pool level</w:t>
      </w:r>
      <w:r>
        <w:t xml:space="preserve"> zones in response to environmental water delivery. </w:t>
      </w:r>
      <w:r w:rsidRPr="002039AF">
        <w:rPr>
          <w:i/>
          <w:iCs/>
        </w:rPr>
        <w:t xml:space="preserve">Xanthium </w:t>
      </w:r>
      <w:proofErr w:type="spellStart"/>
      <w:r w:rsidRPr="002039AF">
        <w:rPr>
          <w:i/>
          <w:iCs/>
        </w:rPr>
        <w:t>occidenale</w:t>
      </w:r>
      <w:proofErr w:type="spellEnd"/>
      <w:r>
        <w:rPr>
          <w:i/>
          <w:iCs/>
        </w:rPr>
        <w:t xml:space="preserve"> </w:t>
      </w:r>
      <w:r w:rsidRPr="002039AF">
        <w:t>and</w:t>
      </w:r>
      <w:r>
        <w:rPr>
          <w:i/>
          <w:iCs/>
        </w:rPr>
        <w:t xml:space="preserve"> </w:t>
      </w:r>
      <w:proofErr w:type="spellStart"/>
      <w:r w:rsidRPr="002039AF">
        <w:rPr>
          <w:i/>
          <w:iCs/>
        </w:rPr>
        <w:t>Symphyotrichum</w:t>
      </w:r>
      <w:proofErr w:type="spellEnd"/>
      <w:r w:rsidRPr="002039AF">
        <w:rPr>
          <w:i/>
          <w:iCs/>
        </w:rPr>
        <w:t xml:space="preserve"> </w:t>
      </w:r>
      <w:proofErr w:type="spellStart"/>
      <w:r w:rsidRPr="002039AF">
        <w:rPr>
          <w:i/>
          <w:iCs/>
        </w:rPr>
        <w:t>subulatum</w:t>
      </w:r>
      <w:proofErr w:type="spellEnd"/>
      <w:r>
        <w:t xml:space="preserve"> were present in all reaches exclusively in the </w:t>
      </w:r>
      <w:r w:rsidRPr="00240018">
        <w:rPr>
          <w:i/>
          <w:iCs/>
        </w:rPr>
        <w:t>Inundated</w:t>
      </w:r>
      <w:r>
        <w:t xml:space="preserve"> and </w:t>
      </w:r>
      <w:r w:rsidRPr="00240018">
        <w:rPr>
          <w:i/>
          <w:iCs/>
        </w:rPr>
        <w:t>Pool level</w:t>
      </w:r>
      <w:r>
        <w:t xml:space="preserve"> zones and </w:t>
      </w:r>
      <w:proofErr w:type="spellStart"/>
      <w:r w:rsidRPr="00FE7E1B">
        <w:rPr>
          <w:i/>
          <w:iCs/>
        </w:rPr>
        <w:t>Dittrichia</w:t>
      </w:r>
      <w:proofErr w:type="spellEnd"/>
      <w:r w:rsidRPr="00FE7E1B">
        <w:rPr>
          <w:i/>
          <w:iCs/>
        </w:rPr>
        <w:t xml:space="preserve"> graveolens</w:t>
      </w:r>
      <w:r>
        <w:t xml:space="preserve"> was present at Lock 6 in the same zones (Table D</w:t>
      </w:r>
      <w:r w:rsidR="00065DAD">
        <w:t>3</w:t>
      </w:r>
      <w:r w:rsidR="005E53ED">
        <w:t>, Appendix D</w:t>
      </w:r>
      <w:r>
        <w:t>).</w:t>
      </w:r>
    </w:p>
    <w:p w14:paraId="4631729A" w14:textId="5F80480D" w:rsidR="002C611C" w:rsidRDefault="002C611C" w:rsidP="002C611C">
      <w:r>
        <w:t xml:space="preserve">Whilst not a significant indicator and widespread across the different inundation zones, </w:t>
      </w:r>
      <w:r w:rsidRPr="002A0989">
        <w:rPr>
          <w:i/>
          <w:iCs/>
        </w:rPr>
        <w:t>Eucalyptus camaldulensis</w:t>
      </w:r>
      <w:r>
        <w:t xml:space="preserve"> seedlings were observed throughout the inundated zones of the Lock 4 and Lock 6 reaches (</w:t>
      </w:r>
      <w:r>
        <w:fldChar w:fldCharType="begin"/>
      </w:r>
      <w:r>
        <w:instrText xml:space="preserve"> REF _Ref58575006 \h </w:instrText>
      </w:r>
      <w:r>
        <w:fldChar w:fldCharType="separate"/>
      </w:r>
      <w:r w:rsidR="006045CA">
        <w:t xml:space="preserve">Figure </w:t>
      </w:r>
      <w:r w:rsidR="006045CA">
        <w:rPr>
          <w:noProof/>
        </w:rPr>
        <w:t>40</w:t>
      </w:r>
      <w:r>
        <w:fldChar w:fldCharType="end"/>
      </w:r>
      <w:r>
        <w:t xml:space="preserve">). All seedlings in the </w:t>
      </w:r>
      <w:proofErr w:type="gramStart"/>
      <w:r>
        <w:t>aforementioned zones</w:t>
      </w:r>
      <w:proofErr w:type="gramEnd"/>
      <w:r>
        <w:t xml:space="preserve"> in the lock 4 and Lock 6 reaches were small (similar in size to the one pictured in </w:t>
      </w:r>
      <w:r>
        <w:fldChar w:fldCharType="begin"/>
      </w:r>
      <w:r>
        <w:instrText xml:space="preserve"> REF _Ref58575006 \h </w:instrText>
      </w:r>
      <w:r>
        <w:fldChar w:fldCharType="separate"/>
      </w:r>
      <w:r w:rsidR="006045CA">
        <w:t xml:space="preserve">Figure </w:t>
      </w:r>
      <w:r w:rsidR="006045CA">
        <w:rPr>
          <w:noProof/>
        </w:rPr>
        <w:t>40</w:t>
      </w:r>
      <w:r>
        <w:fldChar w:fldCharType="end"/>
      </w:r>
      <w:r>
        <w:t>) and clearly had germinated in response to the spring pulse.</w:t>
      </w:r>
    </w:p>
    <w:p w14:paraId="72065469" w14:textId="77777777" w:rsidR="002C611C" w:rsidRDefault="002C611C" w:rsidP="002C611C">
      <w:pPr>
        <w:rPr>
          <w:iCs/>
        </w:rPr>
      </w:pPr>
      <w:r w:rsidRPr="002A0989">
        <w:rPr>
          <w:iCs/>
          <w:noProof/>
        </w:rPr>
        <w:drawing>
          <wp:inline distT="0" distB="0" distL="0" distR="0" wp14:anchorId="7027F10D" wp14:editId="4757834C">
            <wp:extent cx="5604589" cy="3713583"/>
            <wp:effectExtent l="0" t="0" r="0" b="1270"/>
            <wp:docPr id="71" name="Picture 7" descr="C:\Users\bucatl01\AppData\Local\Microsoft\Windows\INetCache\Content.Word\P1010689.JPG"/>
            <wp:cNvGraphicFramePr/>
            <a:graphic xmlns:a="http://schemas.openxmlformats.org/drawingml/2006/main">
              <a:graphicData uri="http://schemas.openxmlformats.org/drawingml/2006/picture">
                <pic:pic xmlns:pic="http://schemas.openxmlformats.org/drawingml/2006/picture">
                  <pic:nvPicPr>
                    <pic:cNvPr id="8" name="Picture 7" descr="C:\Users\bucatl01\AppData\Local\Microsoft\Windows\INetCache\Content.Word\P1010689.JPG"/>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5604589" cy="3713583"/>
                    </a:xfrm>
                    <a:prstGeom prst="rect">
                      <a:avLst/>
                    </a:prstGeom>
                    <a:noFill/>
                    <a:ln>
                      <a:noFill/>
                    </a:ln>
                  </pic:spPr>
                </pic:pic>
              </a:graphicData>
            </a:graphic>
          </wp:inline>
        </w:drawing>
      </w:r>
    </w:p>
    <w:p w14:paraId="77E13182" w14:textId="4CABD819" w:rsidR="002C611C" w:rsidRDefault="002C611C" w:rsidP="002C611C">
      <w:pPr>
        <w:pStyle w:val="FigureCaption"/>
      </w:pPr>
      <w:bookmarkStart w:id="214" w:name="_Ref58575006"/>
      <w:bookmarkStart w:id="215" w:name="_Toc69387704"/>
      <w:r>
        <w:t xml:space="preserve">Figure </w:t>
      </w:r>
      <w:r>
        <w:rPr>
          <w:noProof/>
        </w:rPr>
        <w:fldChar w:fldCharType="begin"/>
      </w:r>
      <w:r>
        <w:rPr>
          <w:noProof/>
        </w:rPr>
        <w:instrText xml:space="preserve"> SEQ Figure \* ARABIC </w:instrText>
      </w:r>
      <w:r>
        <w:rPr>
          <w:noProof/>
        </w:rPr>
        <w:fldChar w:fldCharType="separate"/>
      </w:r>
      <w:r w:rsidR="00996426">
        <w:rPr>
          <w:noProof/>
        </w:rPr>
        <w:t>40</w:t>
      </w:r>
      <w:r>
        <w:rPr>
          <w:noProof/>
        </w:rPr>
        <w:fldChar w:fldCharType="end"/>
      </w:r>
      <w:bookmarkEnd w:id="214"/>
      <w:r w:rsidRPr="00825C20">
        <w:t xml:space="preserve">. </w:t>
      </w:r>
      <w:r>
        <w:t xml:space="preserve">Newly germinated </w:t>
      </w:r>
      <w:r w:rsidRPr="002A0989">
        <w:rPr>
          <w:i/>
          <w:iCs/>
        </w:rPr>
        <w:t>Eucalyptus camaldulensis</w:t>
      </w:r>
      <w:r>
        <w:t xml:space="preserve"> (river red gum) seedling in the Lock 4 reach.</w:t>
      </w:r>
      <w:bookmarkEnd w:id="215"/>
      <w:r w:rsidRPr="00825C20">
        <w:t xml:space="preserve">  </w:t>
      </w:r>
    </w:p>
    <w:p w14:paraId="153541B0" w14:textId="77777777" w:rsidR="002C611C" w:rsidRPr="002A0989" w:rsidRDefault="002C611C" w:rsidP="002C611C">
      <w:pPr>
        <w:rPr>
          <w:iCs/>
        </w:rPr>
      </w:pPr>
    </w:p>
    <w:p w14:paraId="3725C159" w14:textId="77777777" w:rsidR="002C611C" w:rsidRDefault="002C611C" w:rsidP="002C611C">
      <w:r>
        <w:rPr>
          <w:i/>
          <w:u w:val="single"/>
        </w:rPr>
        <w:t>Above ground biomass</w:t>
      </w:r>
    </w:p>
    <w:p w14:paraId="3E7746F4" w14:textId="062E654C" w:rsidR="002C611C" w:rsidRDefault="002C611C" w:rsidP="002C611C">
      <w:r>
        <w:t xml:space="preserve">Above ground biomass was highly </w:t>
      </w:r>
      <w:r w:rsidR="00074180">
        <w:t xml:space="preserve">variable among reaches </w:t>
      </w:r>
      <w:r>
        <w:t>but unlike species richness, abundance of functional groups and plant communities, there were no consistent patterns in relation to inundation zone among reaches (</w:t>
      </w:r>
      <w:r>
        <w:fldChar w:fldCharType="begin"/>
      </w:r>
      <w:r>
        <w:instrText xml:space="preserve"> REF _Ref58589490 \h </w:instrText>
      </w:r>
      <w:r>
        <w:fldChar w:fldCharType="separate"/>
      </w:r>
      <w:r w:rsidR="006045CA">
        <w:t xml:space="preserve">Figure </w:t>
      </w:r>
      <w:r w:rsidR="006045CA">
        <w:rPr>
          <w:noProof/>
        </w:rPr>
        <w:t>41</w:t>
      </w:r>
      <w:r>
        <w:fldChar w:fldCharType="end"/>
      </w:r>
      <w:r>
        <w:t xml:space="preserve">); hence, the significant interaction between reach and </w:t>
      </w:r>
      <w:r w:rsidR="00240018">
        <w:t>i</w:t>
      </w:r>
      <w:r>
        <w:t>nundation zone detected by PERMANOVA (</w:t>
      </w:r>
      <w:r>
        <w:fldChar w:fldCharType="begin"/>
      </w:r>
      <w:r>
        <w:instrText xml:space="preserve"> REF _Ref58589555 \h </w:instrText>
      </w:r>
      <w:r>
        <w:fldChar w:fldCharType="separate"/>
      </w:r>
      <w:r w:rsidR="006045CA">
        <w:t xml:space="preserve">Table </w:t>
      </w:r>
      <w:r w:rsidR="006045CA">
        <w:rPr>
          <w:noProof/>
        </w:rPr>
        <w:t>12</w:t>
      </w:r>
      <w:r>
        <w:fldChar w:fldCharType="end"/>
      </w:r>
      <w:r>
        <w:t xml:space="preserve">). Biomass downstream of Lock 1 decreased with decreasing elevation, in the Lock 4 reach was highest in the </w:t>
      </w:r>
      <w:r w:rsidRPr="00240018">
        <w:rPr>
          <w:i/>
          <w:iCs/>
        </w:rPr>
        <w:t xml:space="preserve">Inundation extent </w:t>
      </w:r>
      <w:r>
        <w:t xml:space="preserve">zone and in the Lock 6 reach was highest in the </w:t>
      </w:r>
      <w:r w:rsidRPr="00240018">
        <w:rPr>
          <w:i/>
          <w:iCs/>
        </w:rPr>
        <w:t xml:space="preserve">Inundated </w:t>
      </w:r>
      <w:r>
        <w:t>zone (</w:t>
      </w:r>
      <w:r>
        <w:fldChar w:fldCharType="begin"/>
      </w:r>
      <w:r>
        <w:instrText xml:space="preserve"> REF _Ref58589490 \h </w:instrText>
      </w:r>
      <w:r>
        <w:fldChar w:fldCharType="separate"/>
      </w:r>
      <w:r w:rsidR="006045CA">
        <w:t xml:space="preserve">Figure </w:t>
      </w:r>
      <w:r w:rsidR="006045CA">
        <w:rPr>
          <w:noProof/>
        </w:rPr>
        <w:t>41</w:t>
      </w:r>
      <w:r>
        <w:fldChar w:fldCharType="end"/>
      </w:r>
      <w:r>
        <w:t>).</w:t>
      </w:r>
    </w:p>
    <w:p w14:paraId="00E9CD65" w14:textId="77777777" w:rsidR="002C611C" w:rsidRDefault="002C611C" w:rsidP="002C611C"/>
    <w:p w14:paraId="24794B7F" w14:textId="77777777" w:rsidR="002C611C" w:rsidRDefault="002C611C" w:rsidP="002C611C">
      <w:r w:rsidRPr="00B247C4">
        <w:rPr>
          <w:noProof/>
        </w:rPr>
        <w:drawing>
          <wp:inline distT="0" distB="0" distL="0" distR="0" wp14:anchorId="0354D2F4" wp14:editId="682D9409">
            <wp:extent cx="5731510" cy="3147695"/>
            <wp:effectExtent l="0" t="0" r="254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5731510" cy="3147695"/>
                    </a:xfrm>
                    <a:prstGeom prst="rect">
                      <a:avLst/>
                    </a:prstGeom>
                    <a:noFill/>
                    <a:ln>
                      <a:noFill/>
                    </a:ln>
                  </pic:spPr>
                </pic:pic>
              </a:graphicData>
            </a:graphic>
          </wp:inline>
        </w:drawing>
      </w:r>
    </w:p>
    <w:p w14:paraId="5C521CA1" w14:textId="26CF9EBD" w:rsidR="002C611C" w:rsidRDefault="002C611C" w:rsidP="002C611C">
      <w:pPr>
        <w:pStyle w:val="FigureCaption"/>
      </w:pPr>
      <w:bookmarkStart w:id="216" w:name="_Ref58589490"/>
      <w:bookmarkStart w:id="217" w:name="_Toc69387705"/>
      <w:r>
        <w:t xml:space="preserve">Figure </w:t>
      </w:r>
      <w:r>
        <w:rPr>
          <w:noProof/>
        </w:rPr>
        <w:fldChar w:fldCharType="begin"/>
      </w:r>
      <w:r>
        <w:rPr>
          <w:noProof/>
        </w:rPr>
        <w:instrText xml:space="preserve"> SEQ Figure \* ARABIC </w:instrText>
      </w:r>
      <w:r>
        <w:rPr>
          <w:noProof/>
        </w:rPr>
        <w:fldChar w:fldCharType="separate"/>
      </w:r>
      <w:r w:rsidR="00996426">
        <w:rPr>
          <w:noProof/>
        </w:rPr>
        <w:t>41</w:t>
      </w:r>
      <w:r>
        <w:rPr>
          <w:noProof/>
        </w:rPr>
        <w:fldChar w:fldCharType="end"/>
      </w:r>
      <w:bookmarkEnd w:id="216"/>
      <w:r w:rsidRPr="00825C20">
        <w:t xml:space="preserve">. </w:t>
      </w:r>
      <w:r>
        <w:t>Above ground biomass in each inundation zone in each reach in December 2019 (error bars = ± 1 SE).</w:t>
      </w:r>
      <w:bookmarkEnd w:id="217"/>
      <w:r w:rsidRPr="00825C20">
        <w:t xml:space="preserve">  </w:t>
      </w:r>
    </w:p>
    <w:p w14:paraId="55213B7E" w14:textId="289AD651" w:rsidR="002C611C" w:rsidRPr="003F5C8F" w:rsidRDefault="002C611C" w:rsidP="002C611C">
      <w:pPr>
        <w:pStyle w:val="Caption"/>
        <w:rPr>
          <w:lang w:val="en-US"/>
        </w:rPr>
      </w:pPr>
      <w:bookmarkStart w:id="218" w:name="_Ref58589555"/>
      <w:bookmarkStart w:id="219" w:name="_Toc69387741"/>
      <w:r>
        <w:t xml:space="preserve">Table </w:t>
      </w:r>
      <w:r>
        <w:rPr>
          <w:noProof/>
        </w:rPr>
        <w:fldChar w:fldCharType="begin"/>
      </w:r>
      <w:r>
        <w:rPr>
          <w:noProof/>
        </w:rPr>
        <w:instrText xml:space="preserve"> SEQ Table \* ARABIC </w:instrText>
      </w:r>
      <w:r>
        <w:rPr>
          <w:noProof/>
        </w:rPr>
        <w:fldChar w:fldCharType="separate"/>
      </w:r>
      <w:r w:rsidR="00CE5EF5">
        <w:rPr>
          <w:noProof/>
        </w:rPr>
        <w:t>12</w:t>
      </w:r>
      <w:r>
        <w:rPr>
          <w:noProof/>
        </w:rPr>
        <w:fldChar w:fldCharType="end"/>
      </w:r>
      <w:bookmarkEnd w:id="218"/>
      <w:r>
        <w:rPr>
          <w:noProof/>
        </w:rPr>
        <w:t>.</w:t>
      </w:r>
      <w:r>
        <w:t xml:space="preserve"> PERMANOVA results comparing above ground biomass in each inundation zone in each reach in December 2019.</w:t>
      </w:r>
      <w:bookmarkEnd w:id="219"/>
    </w:p>
    <w:tbl>
      <w:tblPr>
        <w:tblW w:w="5220" w:type="dxa"/>
        <w:tblLook w:val="04A0" w:firstRow="1" w:lastRow="0" w:firstColumn="1" w:lastColumn="0" w:noHBand="0" w:noVBand="1"/>
      </w:tblPr>
      <w:tblGrid>
        <w:gridCol w:w="2640"/>
        <w:gridCol w:w="760"/>
        <w:gridCol w:w="1120"/>
        <w:gridCol w:w="700"/>
      </w:tblGrid>
      <w:tr w:rsidR="002C611C" w:rsidRPr="003F5C8F" w14:paraId="3618F40C" w14:textId="77777777" w:rsidTr="002C611C">
        <w:trPr>
          <w:trHeight w:val="255"/>
        </w:trPr>
        <w:tc>
          <w:tcPr>
            <w:tcW w:w="26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F4419D" w14:textId="77777777" w:rsidR="002C611C" w:rsidRPr="003F5C8F" w:rsidRDefault="002C611C" w:rsidP="002C611C">
            <w:pPr>
              <w:spacing w:before="0" w:after="0" w:line="240" w:lineRule="auto"/>
              <w:jc w:val="center"/>
              <w:rPr>
                <w:rFonts w:cs="Calibri"/>
                <w:b/>
                <w:bCs/>
                <w:kern w:val="0"/>
                <w:sz w:val="19"/>
                <w:szCs w:val="19"/>
                <w:lang w:eastAsia="en-AU"/>
              </w:rPr>
            </w:pPr>
            <w:r w:rsidRPr="003F5C8F">
              <w:rPr>
                <w:rFonts w:cs="Calibri"/>
                <w:b/>
                <w:bCs/>
                <w:kern w:val="0"/>
                <w:sz w:val="19"/>
                <w:szCs w:val="19"/>
                <w:lang w:eastAsia="en-AU"/>
              </w:rPr>
              <w:t>Factor</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13861302" w14:textId="77777777" w:rsidR="002C611C" w:rsidRPr="003F5C8F" w:rsidRDefault="002C611C" w:rsidP="002C611C">
            <w:pPr>
              <w:spacing w:before="0" w:after="0" w:line="240" w:lineRule="auto"/>
              <w:jc w:val="center"/>
              <w:rPr>
                <w:rFonts w:cs="Calibri"/>
                <w:b/>
                <w:bCs/>
                <w:kern w:val="0"/>
                <w:sz w:val="19"/>
                <w:szCs w:val="19"/>
                <w:lang w:eastAsia="en-AU"/>
              </w:rPr>
            </w:pPr>
            <w:r w:rsidRPr="003F5C8F">
              <w:rPr>
                <w:rFonts w:cs="Calibri"/>
                <w:b/>
                <w:bCs/>
                <w:kern w:val="0"/>
                <w:sz w:val="19"/>
                <w:szCs w:val="19"/>
                <w:lang w:eastAsia="en-AU"/>
              </w:rPr>
              <w:t>DF</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14:paraId="1993E7A8" w14:textId="77777777" w:rsidR="002C611C" w:rsidRPr="003F5C8F" w:rsidRDefault="002C611C" w:rsidP="002C611C">
            <w:pPr>
              <w:spacing w:before="0" w:after="0" w:line="240" w:lineRule="auto"/>
              <w:jc w:val="center"/>
              <w:rPr>
                <w:rFonts w:cs="Calibri"/>
                <w:b/>
                <w:bCs/>
                <w:i/>
                <w:iCs/>
                <w:kern w:val="0"/>
                <w:sz w:val="19"/>
                <w:szCs w:val="19"/>
                <w:lang w:eastAsia="en-AU"/>
              </w:rPr>
            </w:pPr>
            <w:r w:rsidRPr="003F5C8F">
              <w:rPr>
                <w:rFonts w:cs="Calibri"/>
                <w:b/>
                <w:bCs/>
                <w:i/>
                <w:iCs/>
                <w:kern w:val="0"/>
                <w:sz w:val="19"/>
                <w:szCs w:val="19"/>
                <w:lang w:eastAsia="en-AU"/>
              </w:rPr>
              <w:t>Pseudo F</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14:paraId="5A2AC6C9" w14:textId="77777777" w:rsidR="002C611C" w:rsidRPr="003F5C8F" w:rsidRDefault="002C611C" w:rsidP="002C611C">
            <w:pPr>
              <w:spacing w:before="0" w:after="0" w:line="240" w:lineRule="auto"/>
              <w:jc w:val="center"/>
              <w:rPr>
                <w:rFonts w:cs="Calibri"/>
                <w:b/>
                <w:bCs/>
                <w:i/>
                <w:iCs/>
                <w:kern w:val="0"/>
                <w:sz w:val="19"/>
                <w:szCs w:val="19"/>
                <w:lang w:eastAsia="en-AU"/>
              </w:rPr>
            </w:pPr>
            <w:r w:rsidRPr="003F5C8F">
              <w:rPr>
                <w:rFonts w:cs="Calibri"/>
                <w:b/>
                <w:bCs/>
                <w:i/>
                <w:iCs/>
                <w:kern w:val="0"/>
                <w:sz w:val="19"/>
                <w:szCs w:val="19"/>
                <w:lang w:eastAsia="en-AU"/>
              </w:rPr>
              <w:t>P</w:t>
            </w:r>
          </w:p>
        </w:tc>
      </w:tr>
      <w:tr w:rsidR="002C611C" w:rsidRPr="003F5C8F" w14:paraId="360FA81A" w14:textId="77777777" w:rsidTr="002C611C">
        <w:trPr>
          <w:trHeight w:val="270"/>
        </w:trPr>
        <w:tc>
          <w:tcPr>
            <w:tcW w:w="2640" w:type="dxa"/>
            <w:tcBorders>
              <w:top w:val="nil"/>
              <w:left w:val="single" w:sz="4" w:space="0" w:color="auto"/>
              <w:bottom w:val="single" w:sz="4" w:space="0" w:color="auto"/>
              <w:right w:val="single" w:sz="4" w:space="0" w:color="auto"/>
            </w:tcBorders>
            <w:shd w:val="clear" w:color="auto" w:fill="auto"/>
            <w:noWrap/>
            <w:vAlign w:val="bottom"/>
            <w:hideMark/>
          </w:tcPr>
          <w:p w14:paraId="765740D4" w14:textId="77777777" w:rsidR="002C611C" w:rsidRPr="003F5C8F" w:rsidRDefault="002C611C" w:rsidP="002C611C">
            <w:pPr>
              <w:spacing w:before="0" w:after="0" w:line="240" w:lineRule="auto"/>
              <w:jc w:val="left"/>
              <w:rPr>
                <w:rFonts w:cs="Calibri"/>
                <w:kern w:val="0"/>
                <w:sz w:val="19"/>
                <w:szCs w:val="19"/>
                <w:lang w:eastAsia="en-AU"/>
              </w:rPr>
            </w:pPr>
            <w:r w:rsidRPr="003F5C8F">
              <w:rPr>
                <w:rFonts w:cs="Calibri"/>
                <w:kern w:val="0"/>
                <w:sz w:val="19"/>
                <w:szCs w:val="19"/>
                <w:lang w:eastAsia="en-AU"/>
              </w:rPr>
              <w:t>Site</w:t>
            </w:r>
          </w:p>
        </w:tc>
        <w:tc>
          <w:tcPr>
            <w:tcW w:w="760" w:type="dxa"/>
            <w:tcBorders>
              <w:top w:val="nil"/>
              <w:left w:val="nil"/>
              <w:bottom w:val="single" w:sz="4" w:space="0" w:color="auto"/>
              <w:right w:val="single" w:sz="4" w:space="0" w:color="auto"/>
            </w:tcBorders>
            <w:shd w:val="clear" w:color="auto" w:fill="auto"/>
            <w:noWrap/>
            <w:vAlign w:val="bottom"/>
            <w:hideMark/>
          </w:tcPr>
          <w:p w14:paraId="0C5F085E" w14:textId="77777777" w:rsidR="002C611C" w:rsidRPr="003F5C8F" w:rsidRDefault="002C611C" w:rsidP="002C611C">
            <w:pPr>
              <w:spacing w:before="0" w:after="0" w:line="240" w:lineRule="auto"/>
              <w:jc w:val="center"/>
              <w:rPr>
                <w:rFonts w:cs="Calibri"/>
                <w:kern w:val="0"/>
                <w:sz w:val="19"/>
                <w:szCs w:val="19"/>
                <w:lang w:eastAsia="en-AU"/>
              </w:rPr>
            </w:pPr>
            <w:r w:rsidRPr="003F5C8F">
              <w:rPr>
                <w:rFonts w:cs="Calibri"/>
                <w:kern w:val="0"/>
                <w:sz w:val="19"/>
                <w:szCs w:val="19"/>
                <w:lang w:eastAsia="en-AU"/>
              </w:rPr>
              <w:t>2,107</w:t>
            </w:r>
          </w:p>
        </w:tc>
        <w:tc>
          <w:tcPr>
            <w:tcW w:w="1120" w:type="dxa"/>
            <w:tcBorders>
              <w:top w:val="nil"/>
              <w:left w:val="nil"/>
              <w:bottom w:val="single" w:sz="4" w:space="0" w:color="auto"/>
              <w:right w:val="single" w:sz="4" w:space="0" w:color="auto"/>
            </w:tcBorders>
            <w:shd w:val="clear" w:color="auto" w:fill="auto"/>
            <w:noWrap/>
            <w:vAlign w:val="bottom"/>
            <w:hideMark/>
          </w:tcPr>
          <w:p w14:paraId="34D0C1A9" w14:textId="77777777" w:rsidR="002C611C" w:rsidRPr="003F5C8F" w:rsidRDefault="002C611C" w:rsidP="002C611C">
            <w:pPr>
              <w:spacing w:before="0" w:after="0" w:line="240" w:lineRule="auto"/>
              <w:jc w:val="center"/>
              <w:rPr>
                <w:rFonts w:cs="Calibri"/>
                <w:kern w:val="0"/>
                <w:sz w:val="19"/>
                <w:szCs w:val="19"/>
                <w:lang w:eastAsia="en-AU"/>
              </w:rPr>
            </w:pPr>
            <w:r w:rsidRPr="003F5C8F">
              <w:rPr>
                <w:rFonts w:cs="Calibri"/>
                <w:kern w:val="0"/>
                <w:sz w:val="19"/>
                <w:szCs w:val="19"/>
                <w:lang w:eastAsia="en-AU"/>
              </w:rPr>
              <w:t>2.09</w:t>
            </w:r>
          </w:p>
        </w:tc>
        <w:tc>
          <w:tcPr>
            <w:tcW w:w="700" w:type="dxa"/>
            <w:tcBorders>
              <w:top w:val="nil"/>
              <w:left w:val="nil"/>
              <w:bottom w:val="single" w:sz="4" w:space="0" w:color="auto"/>
              <w:right w:val="single" w:sz="4" w:space="0" w:color="auto"/>
            </w:tcBorders>
            <w:shd w:val="clear" w:color="auto" w:fill="auto"/>
            <w:noWrap/>
            <w:vAlign w:val="bottom"/>
            <w:hideMark/>
          </w:tcPr>
          <w:p w14:paraId="47A23D1F" w14:textId="77777777" w:rsidR="002C611C" w:rsidRPr="003F5C8F" w:rsidRDefault="002C611C" w:rsidP="002C611C">
            <w:pPr>
              <w:spacing w:before="0" w:after="0" w:line="240" w:lineRule="auto"/>
              <w:jc w:val="center"/>
              <w:rPr>
                <w:rFonts w:cs="Calibri"/>
                <w:kern w:val="0"/>
                <w:sz w:val="19"/>
                <w:szCs w:val="19"/>
                <w:lang w:eastAsia="en-AU"/>
              </w:rPr>
            </w:pPr>
            <w:r w:rsidRPr="003F5C8F">
              <w:rPr>
                <w:rFonts w:cs="Calibri"/>
                <w:kern w:val="0"/>
                <w:sz w:val="19"/>
                <w:szCs w:val="19"/>
                <w:lang w:eastAsia="en-AU"/>
              </w:rPr>
              <w:t>0.112</w:t>
            </w:r>
          </w:p>
        </w:tc>
      </w:tr>
      <w:tr w:rsidR="002C611C" w:rsidRPr="003F5C8F" w14:paraId="44F9AD13" w14:textId="77777777" w:rsidTr="002C611C">
        <w:trPr>
          <w:trHeight w:val="270"/>
        </w:trPr>
        <w:tc>
          <w:tcPr>
            <w:tcW w:w="2640" w:type="dxa"/>
            <w:tcBorders>
              <w:top w:val="nil"/>
              <w:left w:val="single" w:sz="4" w:space="0" w:color="auto"/>
              <w:bottom w:val="single" w:sz="4" w:space="0" w:color="auto"/>
              <w:right w:val="single" w:sz="4" w:space="0" w:color="auto"/>
            </w:tcBorders>
            <w:shd w:val="clear" w:color="auto" w:fill="auto"/>
            <w:noWrap/>
            <w:vAlign w:val="bottom"/>
            <w:hideMark/>
          </w:tcPr>
          <w:p w14:paraId="11B0BF1F" w14:textId="77777777" w:rsidR="002C611C" w:rsidRPr="003F5C8F" w:rsidRDefault="002C611C" w:rsidP="002C611C">
            <w:pPr>
              <w:spacing w:before="0" w:after="0" w:line="240" w:lineRule="auto"/>
              <w:jc w:val="left"/>
              <w:rPr>
                <w:rFonts w:cs="Calibri"/>
                <w:kern w:val="0"/>
                <w:sz w:val="19"/>
                <w:szCs w:val="19"/>
                <w:lang w:eastAsia="en-AU"/>
              </w:rPr>
            </w:pPr>
            <w:r w:rsidRPr="003F5C8F">
              <w:rPr>
                <w:rFonts w:cs="Calibri"/>
                <w:kern w:val="0"/>
                <w:sz w:val="19"/>
                <w:szCs w:val="19"/>
                <w:lang w:eastAsia="en-AU"/>
              </w:rPr>
              <w:t>Inundation</w:t>
            </w:r>
          </w:p>
        </w:tc>
        <w:tc>
          <w:tcPr>
            <w:tcW w:w="760" w:type="dxa"/>
            <w:tcBorders>
              <w:top w:val="nil"/>
              <w:left w:val="nil"/>
              <w:bottom w:val="single" w:sz="4" w:space="0" w:color="auto"/>
              <w:right w:val="single" w:sz="4" w:space="0" w:color="auto"/>
            </w:tcBorders>
            <w:shd w:val="clear" w:color="auto" w:fill="auto"/>
            <w:noWrap/>
            <w:vAlign w:val="bottom"/>
            <w:hideMark/>
          </w:tcPr>
          <w:p w14:paraId="44A0BB4A" w14:textId="77777777" w:rsidR="002C611C" w:rsidRPr="003F5C8F" w:rsidRDefault="002C611C" w:rsidP="002C611C">
            <w:pPr>
              <w:spacing w:before="0" w:after="0" w:line="240" w:lineRule="auto"/>
              <w:jc w:val="center"/>
              <w:rPr>
                <w:rFonts w:cs="Calibri"/>
                <w:kern w:val="0"/>
                <w:sz w:val="19"/>
                <w:szCs w:val="19"/>
                <w:lang w:eastAsia="en-AU"/>
              </w:rPr>
            </w:pPr>
            <w:r w:rsidRPr="003F5C8F">
              <w:rPr>
                <w:rFonts w:cs="Calibri"/>
                <w:kern w:val="0"/>
                <w:sz w:val="19"/>
                <w:szCs w:val="19"/>
                <w:lang w:eastAsia="en-AU"/>
              </w:rPr>
              <w:t>3,107</w:t>
            </w:r>
          </w:p>
        </w:tc>
        <w:tc>
          <w:tcPr>
            <w:tcW w:w="1120" w:type="dxa"/>
            <w:tcBorders>
              <w:top w:val="nil"/>
              <w:left w:val="nil"/>
              <w:bottom w:val="single" w:sz="4" w:space="0" w:color="auto"/>
              <w:right w:val="single" w:sz="4" w:space="0" w:color="auto"/>
            </w:tcBorders>
            <w:shd w:val="clear" w:color="auto" w:fill="auto"/>
            <w:noWrap/>
            <w:vAlign w:val="bottom"/>
            <w:hideMark/>
          </w:tcPr>
          <w:p w14:paraId="653DD41B" w14:textId="77777777" w:rsidR="002C611C" w:rsidRPr="003F5C8F" w:rsidRDefault="002C611C" w:rsidP="002C611C">
            <w:pPr>
              <w:spacing w:before="0" w:after="0" w:line="240" w:lineRule="auto"/>
              <w:jc w:val="center"/>
              <w:rPr>
                <w:rFonts w:cs="Calibri"/>
                <w:kern w:val="0"/>
                <w:sz w:val="19"/>
                <w:szCs w:val="19"/>
                <w:lang w:eastAsia="en-AU"/>
              </w:rPr>
            </w:pPr>
            <w:r w:rsidRPr="003F5C8F">
              <w:rPr>
                <w:rFonts w:cs="Calibri"/>
                <w:kern w:val="0"/>
                <w:sz w:val="19"/>
                <w:szCs w:val="19"/>
                <w:lang w:eastAsia="en-AU"/>
              </w:rPr>
              <w:t>2.69</w:t>
            </w:r>
          </w:p>
        </w:tc>
        <w:tc>
          <w:tcPr>
            <w:tcW w:w="700" w:type="dxa"/>
            <w:tcBorders>
              <w:top w:val="nil"/>
              <w:left w:val="nil"/>
              <w:bottom w:val="single" w:sz="4" w:space="0" w:color="auto"/>
              <w:right w:val="single" w:sz="4" w:space="0" w:color="auto"/>
            </w:tcBorders>
            <w:shd w:val="clear" w:color="auto" w:fill="auto"/>
            <w:noWrap/>
            <w:vAlign w:val="bottom"/>
            <w:hideMark/>
          </w:tcPr>
          <w:p w14:paraId="0FFF01ED" w14:textId="77777777" w:rsidR="002C611C" w:rsidRPr="003F5C8F" w:rsidRDefault="002C611C" w:rsidP="002C611C">
            <w:pPr>
              <w:spacing w:before="0" w:after="0" w:line="240" w:lineRule="auto"/>
              <w:jc w:val="center"/>
              <w:rPr>
                <w:rFonts w:cs="Calibri"/>
                <w:kern w:val="0"/>
                <w:sz w:val="19"/>
                <w:szCs w:val="19"/>
                <w:lang w:eastAsia="en-AU"/>
              </w:rPr>
            </w:pPr>
            <w:r w:rsidRPr="003F5C8F">
              <w:rPr>
                <w:rFonts w:cs="Calibri"/>
                <w:kern w:val="0"/>
                <w:sz w:val="19"/>
                <w:szCs w:val="19"/>
                <w:lang w:eastAsia="en-AU"/>
              </w:rPr>
              <w:t>0.041</w:t>
            </w:r>
          </w:p>
        </w:tc>
      </w:tr>
      <w:tr w:rsidR="002C611C" w:rsidRPr="003F5C8F" w14:paraId="4B0FEB80" w14:textId="77777777" w:rsidTr="002C611C">
        <w:trPr>
          <w:trHeight w:val="270"/>
        </w:trPr>
        <w:tc>
          <w:tcPr>
            <w:tcW w:w="2640" w:type="dxa"/>
            <w:tcBorders>
              <w:top w:val="nil"/>
              <w:left w:val="single" w:sz="4" w:space="0" w:color="auto"/>
              <w:bottom w:val="single" w:sz="4" w:space="0" w:color="auto"/>
              <w:right w:val="single" w:sz="4" w:space="0" w:color="auto"/>
            </w:tcBorders>
            <w:shd w:val="clear" w:color="auto" w:fill="auto"/>
            <w:noWrap/>
            <w:vAlign w:val="bottom"/>
            <w:hideMark/>
          </w:tcPr>
          <w:p w14:paraId="397192C9" w14:textId="77777777" w:rsidR="002C611C" w:rsidRPr="003F5C8F" w:rsidRDefault="002C611C" w:rsidP="002C611C">
            <w:pPr>
              <w:spacing w:before="0" w:after="0" w:line="240" w:lineRule="auto"/>
              <w:jc w:val="left"/>
              <w:rPr>
                <w:rFonts w:cs="Calibri"/>
                <w:kern w:val="0"/>
                <w:sz w:val="19"/>
                <w:szCs w:val="19"/>
                <w:lang w:eastAsia="en-AU"/>
              </w:rPr>
            </w:pPr>
            <w:r w:rsidRPr="003F5C8F">
              <w:rPr>
                <w:rFonts w:cs="Calibri"/>
                <w:kern w:val="0"/>
                <w:sz w:val="19"/>
                <w:szCs w:val="19"/>
                <w:lang w:eastAsia="en-AU"/>
              </w:rPr>
              <w:t>Site x Inundation</w:t>
            </w:r>
            <w:r>
              <w:rPr>
                <w:rFonts w:cs="Calibri"/>
                <w:kern w:val="0"/>
                <w:sz w:val="19"/>
                <w:szCs w:val="19"/>
                <w:lang w:eastAsia="en-AU"/>
              </w:rPr>
              <w:t xml:space="preserve"> zone</w:t>
            </w:r>
          </w:p>
        </w:tc>
        <w:tc>
          <w:tcPr>
            <w:tcW w:w="760" w:type="dxa"/>
            <w:tcBorders>
              <w:top w:val="nil"/>
              <w:left w:val="nil"/>
              <w:bottom w:val="single" w:sz="4" w:space="0" w:color="auto"/>
              <w:right w:val="single" w:sz="4" w:space="0" w:color="auto"/>
            </w:tcBorders>
            <w:shd w:val="clear" w:color="auto" w:fill="auto"/>
            <w:noWrap/>
            <w:vAlign w:val="bottom"/>
            <w:hideMark/>
          </w:tcPr>
          <w:p w14:paraId="5518FD8A" w14:textId="77777777" w:rsidR="002C611C" w:rsidRPr="003F5C8F" w:rsidRDefault="002C611C" w:rsidP="002C611C">
            <w:pPr>
              <w:spacing w:before="0" w:after="0" w:line="240" w:lineRule="auto"/>
              <w:jc w:val="center"/>
              <w:rPr>
                <w:rFonts w:cs="Calibri"/>
                <w:kern w:val="0"/>
                <w:sz w:val="19"/>
                <w:szCs w:val="19"/>
                <w:lang w:eastAsia="en-AU"/>
              </w:rPr>
            </w:pPr>
            <w:r w:rsidRPr="003F5C8F">
              <w:rPr>
                <w:rFonts w:cs="Calibri"/>
                <w:kern w:val="0"/>
                <w:sz w:val="19"/>
                <w:szCs w:val="19"/>
                <w:lang w:eastAsia="en-AU"/>
              </w:rPr>
              <w:t>6,107</w:t>
            </w:r>
          </w:p>
        </w:tc>
        <w:tc>
          <w:tcPr>
            <w:tcW w:w="1120" w:type="dxa"/>
            <w:tcBorders>
              <w:top w:val="nil"/>
              <w:left w:val="nil"/>
              <w:bottom w:val="single" w:sz="4" w:space="0" w:color="auto"/>
              <w:right w:val="single" w:sz="4" w:space="0" w:color="auto"/>
            </w:tcBorders>
            <w:shd w:val="clear" w:color="auto" w:fill="auto"/>
            <w:noWrap/>
            <w:vAlign w:val="bottom"/>
            <w:hideMark/>
          </w:tcPr>
          <w:p w14:paraId="3AC36CC7" w14:textId="77777777" w:rsidR="002C611C" w:rsidRPr="003F5C8F" w:rsidRDefault="002C611C" w:rsidP="002C611C">
            <w:pPr>
              <w:spacing w:before="0" w:after="0" w:line="240" w:lineRule="auto"/>
              <w:jc w:val="center"/>
              <w:rPr>
                <w:rFonts w:cs="Calibri"/>
                <w:kern w:val="0"/>
                <w:sz w:val="19"/>
                <w:szCs w:val="19"/>
                <w:lang w:eastAsia="en-AU"/>
              </w:rPr>
            </w:pPr>
            <w:r w:rsidRPr="003F5C8F">
              <w:rPr>
                <w:rFonts w:cs="Calibri"/>
                <w:kern w:val="0"/>
                <w:sz w:val="19"/>
                <w:szCs w:val="19"/>
                <w:lang w:eastAsia="en-AU"/>
              </w:rPr>
              <w:t>2.49</w:t>
            </w:r>
          </w:p>
        </w:tc>
        <w:tc>
          <w:tcPr>
            <w:tcW w:w="700" w:type="dxa"/>
            <w:tcBorders>
              <w:top w:val="nil"/>
              <w:left w:val="nil"/>
              <w:bottom w:val="single" w:sz="4" w:space="0" w:color="auto"/>
              <w:right w:val="single" w:sz="4" w:space="0" w:color="auto"/>
            </w:tcBorders>
            <w:shd w:val="clear" w:color="auto" w:fill="auto"/>
            <w:noWrap/>
            <w:vAlign w:val="bottom"/>
            <w:hideMark/>
          </w:tcPr>
          <w:p w14:paraId="7630D95E" w14:textId="77777777" w:rsidR="002C611C" w:rsidRPr="003F5C8F" w:rsidRDefault="002C611C" w:rsidP="002C611C">
            <w:pPr>
              <w:spacing w:before="0" w:after="0" w:line="240" w:lineRule="auto"/>
              <w:jc w:val="center"/>
              <w:rPr>
                <w:rFonts w:cs="Calibri"/>
                <w:kern w:val="0"/>
                <w:sz w:val="19"/>
                <w:szCs w:val="19"/>
                <w:lang w:eastAsia="en-AU"/>
              </w:rPr>
            </w:pPr>
            <w:r w:rsidRPr="003F5C8F">
              <w:rPr>
                <w:rFonts w:cs="Calibri"/>
                <w:kern w:val="0"/>
                <w:sz w:val="19"/>
                <w:szCs w:val="19"/>
                <w:lang w:eastAsia="en-AU"/>
              </w:rPr>
              <w:t>0.02</w:t>
            </w:r>
          </w:p>
        </w:tc>
      </w:tr>
    </w:tbl>
    <w:p w14:paraId="3CCA6D2F" w14:textId="242BF5AF" w:rsidR="00B32D8C" w:rsidRDefault="00B32D8C" w:rsidP="002C611C"/>
    <w:p w14:paraId="457CF492" w14:textId="77777777" w:rsidR="00B32D8C" w:rsidRDefault="00B32D8C">
      <w:pPr>
        <w:spacing w:before="0" w:after="160" w:line="259" w:lineRule="auto"/>
        <w:jc w:val="left"/>
      </w:pPr>
      <w:r>
        <w:br w:type="page"/>
      </w:r>
    </w:p>
    <w:p w14:paraId="3CCB7C31" w14:textId="77777777" w:rsidR="002C611C" w:rsidRDefault="002C611C" w:rsidP="002C611C">
      <w:pPr>
        <w:pStyle w:val="Heading3"/>
      </w:pPr>
      <w:r>
        <w:t>Evaluation</w:t>
      </w:r>
    </w:p>
    <w:p w14:paraId="65682EA7" w14:textId="28676088" w:rsidR="002C611C" w:rsidRDefault="002C611C" w:rsidP="002C611C">
      <w:r>
        <w:t>The evaluation approach, including assessment criteria, is described in the evaluation section for Hydr</w:t>
      </w:r>
      <w:r w:rsidR="001522FE">
        <w:t>aulic</w:t>
      </w:r>
      <w:r>
        <w:t xml:space="preserve"> Regime (Section </w:t>
      </w:r>
      <w:r>
        <w:fldChar w:fldCharType="begin"/>
      </w:r>
      <w:r>
        <w:instrText xml:space="preserve"> REF _Ref35872226 \r \h  \* MERGEFORMAT </w:instrText>
      </w:r>
      <w:r>
        <w:fldChar w:fldCharType="separate"/>
      </w:r>
      <w:r w:rsidR="00241910">
        <w:t>2.1</w:t>
      </w:r>
      <w:r>
        <w:fldChar w:fldCharType="end"/>
      </w:r>
      <w:r>
        <w:t xml:space="preserve">). </w:t>
      </w:r>
    </w:p>
    <w:p w14:paraId="073320AE" w14:textId="0AC4A5EC" w:rsidR="002C611C" w:rsidRPr="001D41FE" w:rsidRDefault="002C611C" w:rsidP="002C611C">
      <w:pPr>
        <w:pStyle w:val="Caption"/>
        <w:rPr>
          <w:lang w:val="en-US"/>
        </w:rPr>
      </w:pPr>
      <w:bookmarkStart w:id="220" w:name="_Toc69387742"/>
      <w:r>
        <w:t xml:space="preserve">Table </w:t>
      </w:r>
      <w:r>
        <w:rPr>
          <w:noProof/>
        </w:rPr>
        <w:fldChar w:fldCharType="begin"/>
      </w:r>
      <w:r>
        <w:rPr>
          <w:noProof/>
        </w:rPr>
        <w:instrText xml:space="preserve"> SEQ Table \* ARABIC </w:instrText>
      </w:r>
      <w:r>
        <w:rPr>
          <w:noProof/>
        </w:rPr>
        <w:fldChar w:fldCharType="separate"/>
      </w:r>
      <w:r w:rsidR="00CE5EF5">
        <w:rPr>
          <w:noProof/>
        </w:rPr>
        <w:t>13</w:t>
      </w:r>
      <w:r>
        <w:rPr>
          <w:noProof/>
        </w:rPr>
        <w:fldChar w:fldCharType="end"/>
      </w:r>
      <w:r>
        <w:rPr>
          <w:noProof/>
        </w:rPr>
        <w:t>.</w:t>
      </w:r>
      <w:r>
        <w:t xml:space="preserve"> </w:t>
      </w:r>
      <w:r w:rsidRPr="00BE09D3">
        <w:t>Littoral Vegetation Diversity and Productivity</w:t>
      </w:r>
      <w:r>
        <w:t xml:space="preserve"> evaluation questions and answers. CEW = Commonwealth environmental water, eWater = environmental water.</w:t>
      </w:r>
      <w:bookmarkEnd w:id="22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29"/>
        <w:gridCol w:w="6187"/>
      </w:tblGrid>
      <w:tr w:rsidR="002C611C" w:rsidRPr="0041543F" w14:paraId="7E24D172" w14:textId="77777777" w:rsidTr="00762384">
        <w:trPr>
          <w:cantSplit/>
          <w:trHeight w:val="415"/>
          <w:tblHeader/>
        </w:trPr>
        <w:tc>
          <w:tcPr>
            <w:tcW w:w="1569" w:type="pct"/>
            <w:tcBorders>
              <w:top w:val="single" w:sz="4" w:space="0" w:color="auto"/>
              <w:left w:val="single" w:sz="4" w:space="0" w:color="auto"/>
              <w:right w:val="single" w:sz="4" w:space="0" w:color="auto"/>
            </w:tcBorders>
          </w:tcPr>
          <w:p w14:paraId="4F795F91" w14:textId="77777777" w:rsidR="002C611C" w:rsidRPr="0041543F" w:rsidRDefault="002C611C" w:rsidP="002C611C">
            <w:pPr>
              <w:pStyle w:val="TableHeading"/>
              <w:jc w:val="center"/>
              <w:rPr>
                <w:sz w:val="19"/>
                <w:szCs w:val="19"/>
              </w:rPr>
            </w:pPr>
            <w:r w:rsidRPr="0041543F">
              <w:rPr>
                <w:sz w:val="19"/>
                <w:szCs w:val="19"/>
              </w:rPr>
              <w:t xml:space="preserve">CEWO evaluation questions </w:t>
            </w:r>
          </w:p>
        </w:tc>
        <w:tc>
          <w:tcPr>
            <w:tcW w:w="3431" w:type="pct"/>
            <w:tcBorders>
              <w:top w:val="single" w:sz="4" w:space="0" w:color="auto"/>
              <w:left w:val="single" w:sz="4" w:space="0" w:color="auto"/>
              <w:right w:val="single" w:sz="4" w:space="0" w:color="auto"/>
            </w:tcBorders>
          </w:tcPr>
          <w:p w14:paraId="7E542BE4" w14:textId="77777777" w:rsidR="002C611C" w:rsidRPr="0041543F" w:rsidRDefault="002C611C" w:rsidP="002C611C">
            <w:pPr>
              <w:pStyle w:val="TableHeading"/>
              <w:jc w:val="center"/>
              <w:rPr>
                <w:sz w:val="19"/>
                <w:szCs w:val="19"/>
              </w:rPr>
            </w:pPr>
            <w:r w:rsidRPr="0041543F">
              <w:rPr>
                <w:sz w:val="19"/>
                <w:szCs w:val="19"/>
              </w:rPr>
              <w:t>Outcomes of CEW</w:t>
            </w:r>
            <w:r>
              <w:rPr>
                <w:sz w:val="19"/>
                <w:szCs w:val="19"/>
              </w:rPr>
              <w:t xml:space="preserve"> delivery (2019-20)</w:t>
            </w:r>
          </w:p>
        </w:tc>
      </w:tr>
      <w:tr w:rsidR="002C611C" w:rsidRPr="0041543F" w14:paraId="7703FBE1" w14:textId="77777777" w:rsidTr="00762384">
        <w:trPr>
          <w:cantSplit/>
          <w:trHeight w:val="2115"/>
        </w:trPr>
        <w:tc>
          <w:tcPr>
            <w:tcW w:w="1569" w:type="pct"/>
            <w:tcBorders>
              <w:top w:val="single" w:sz="4" w:space="0" w:color="auto"/>
              <w:left w:val="single" w:sz="4" w:space="0" w:color="auto"/>
              <w:bottom w:val="single" w:sz="4" w:space="0" w:color="auto"/>
              <w:right w:val="single" w:sz="4" w:space="0" w:color="auto"/>
            </w:tcBorders>
          </w:tcPr>
          <w:p w14:paraId="6583F9EC" w14:textId="77777777" w:rsidR="002C611C" w:rsidRPr="002B6ECA" w:rsidRDefault="002C611C" w:rsidP="002C611C">
            <w:pPr>
              <w:pStyle w:val="TableHeading"/>
              <w:jc w:val="left"/>
              <w:rPr>
                <w:b w:val="0"/>
                <w:sz w:val="19"/>
                <w:szCs w:val="19"/>
              </w:rPr>
            </w:pPr>
            <w:r w:rsidRPr="00BE09D3">
              <w:rPr>
                <w:b w:val="0"/>
                <w:sz w:val="19"/>
                <w:szCs w:val="19"/>
              </w:rPr>
              <w:t xml:space="preserve">What did </w:t>
            </w:r>
            <w:r>
              <w:rPr>
                <w:b w:val="0"/>
                <w:sz w:val="19"/>
                <w:szCs w:val="19"/>
              </w:rPr>
              <w:t xml:space="preserve">CEW </w:t>
            </w:r>
            <w:r w:rsidRPr="00BE09D3">
              <w:rPr>
                <w:b w:val="0"/>
                <w:sz w:val="19"/>
                <w:szCs w:val="19"/>
              </w:rPr>
              <w:t>contribute to littoral understorey vegetation diversity and productivity?</w:t>
            </w:r>
          </w:p>
        </w:tc>
        <w:tc>
          <w:tcPr>
            <w:tcW w:w="3431" w:type="pct"/>
            <w:tcBorders>
              <w:top w:val="single" w:sz="4" w:space="0" w:color="auto"/>
              <w:left w:val="single" w:sz="4" w:space="0" w:color="auto"/>
              <w:bottom w:val="single" w:sz="4" w:space="0" w:color="auto"/>
              <w:right w:val="single" w:sz="4" w:space="0" w:color="auto"/>
            </w:tcBorders>
            <w:shd w:val="clear" w:color="auto" w:fill="70AD47" w:themeFill="accent6"/>
          </w:tcPr>
          <w:p w14:paraId="1317C826" w14:textId="77777777" w:rsidR="002C611C" w:rsidRDefault="002C611C" w:rsidP="002C611C">
            <w:pPr>
              <w:pStyle w:val="TableHeading"/>
              <w:jc w:val="left"/>
              <w:rPr>
                <w:b w:val="0"/>
                <w:sz w:val="19"/>
                <w:szCs w:val="19"/>
              </w:rPr>
            </w:pPr>
            <w:bookmarkStart w:id="221" w:name="_Hlk63982760"/>
            <w:r>
              <w:rPr>
                <w:b w:val="0"/>
                <w:sz w:val="19"/>
                <w:szCs w:val="19"/>
              </w:rPr>
              <w:t xml:space="preserve">CEW delivery increased plant species diversity at multiple spatial scales in the LMR. This was evidenced by consistently higher native species richness in inundated zones in each reach compared to non-inundated areas, higher native species richness (albeit lower than inundated zones) on the edge of the inundation footprint, where there was increased soil moisture due to capillary action, and different plant communities in the inundated zones (despite there being few significant indicators) compared to non-inundated zones. </w:t>
            </w:r>
            <w:bookmarkStart w:id="222" w:name="_Hlk63983865"/>
            <w:bookmarkStart w:id="223" w:name="_Hlk63984273"/>
            <w:r>
              <w:rPr>
                <w:b w:val="0"/>
                <w:sz w:val="19"/>
                <w:szCs w:val="19"/>
              </w:rPr>
              <w:t>CEW delivery in the form of a spring pulse produced conditions suitable</w:t>
            </w:r>
            <w:bookmarkEnd w:id="222"/>
            <w:r>
              <w:rPr>
                <w:b w:val="0"/>
                <w:sz w:val="19"/>
                <w:szCs w:val="19"/>
              </w:rPr>
              <w:t xml:space="preserve"> for the recruitment of specialised riparian species that are adapted to fluctuating water levels and do not inhabit terrestrial or truly aquatic habitats, increasing plant functional diversity. </w:t>
            </w:r>
            <w:bookmarkEnd w:id="223"/>
          </w:p>
          <w:bookmarkEnd w:id="221"/>
          <w:p w14:paraId="1266257C" w14:textId="77777777" w:rsidR="002C611C" w:rsidRDefault="002C611C" w:rsidP="002C611C">
            <w:pPr>
              <w:pStyle w:val="TableHeading"/>
              <w:jc w:val="left"/>
              <w:rPr>
                <w:b w:val="0"/>
                <w:sz w:val="19"/>
                <w:szCs w:val="19"/>
              </w:rPr>
            </w:pPr>
            <w:r>
              <w:rPr>
                <w:b w:val="0"/>
                <w:sz w:val="19"/>
                <w:szCs w:val="19"/>
              </w:rPr>
              <w:t>Native species (</w:t>
            </w:r>
            <w:r w:rsidRPr="00364A7A">
              <w:rPr>
                <w:b w:val="0"/>
                <w:i/>
                <w:iCs/>
                <w:sz w:val="19"/>
                <w:szCs w:val="19"/>
              </w:rPr>
              <w:t>n</w:t>
            </w:r>
            <w:r>
              <w:rPr>
                <w:b w:val="0"/>
                <w:sz w:val="19"/>
                <w:szCs w:val="19"/>
              </w:rPr>
              <w:t xml:space="preserve"> = 24) that responded positively to delivery of CEW either by recruitment or increased abundance:</w:t>
            </w:r>
          </w:p>
          <w:p w14:paraId="73B8CB0E" w14:textId="77777777" w:rsidR="002C611C" w:rsidRPr="002039AF" w:rsidRDefault="002C611C" w:rsidP="00103EF7">
            <w:pPr>
              <w:pStyle w:val="TableHeading"/>
              <w:numPr>
                <w:ilvl w:val="0"/>
                <w:numId w:val="20"/>
              </w:numPr>
              <w:spacing w:before="0" w:after="0"/>
              <w:jc w:val="left"/>
              <w:rPr>
                <w:b w:val="0"/>
                <w:i/>
                <w:iCs/>
                <w:sz w:val="19"/>
                <w:szCs w:val="19"/>
              </w:rPr>
            </w:pPr>
            <w:r w:rsidRPr="002039AF">
              <w:rPr>
                <w:b w:val="0"/>
                <w:i/>
                <w:iCs/>
                <w:sz w:val="19"/>
                <w:szCs w:val="19"/>
              </w:rPr>
              <w:t xml:space="preserve">Alternanthera </w:t>
            </w:r>
            <w:proofErr w:type="spellStart"/>
            <w:r w:rsidRPr="002039AF">
              <w:rPr>
                <w:b w:val="0"/>
                <w:i/>
                <w:iCs/>
                <w:sz w:val="19"/>
                <w:szCs w:val="19"/>
              </w:rPr>
              <w:t>denticulata</w:t>
            </w:r>
            <w:proofErr w:type="spellEnd"/>
          </w:p>
          <w:p w14:paraId="1352BD18" w14:textId="77777777" w:rsidR="002C611C" w:rsidRPr="002039AF" w:rsidRDefault="002C611C" w:rsidP="00103EF7">
            <w:pPr>
              <w:pStyle w:val="TableHeading"/>
              <w:numPr>
                <w:ilvl w:val="0"/>
                <w:numId w:val="20"/>
              </w:numPr>
              <w:spacing w:before="0" w:after="0"/>
              <w:jc w:val="left"/>
              <w:rPr>
                <w:b w:val="0"/>
                <w:i/>
                <w:iCs/>
                <w:sz w:val="19"/>
                <w:szCs w:val="19"/>
              </w:rPr>
            </w:pPr>
            <w:proofErr w:type="spellStart"/>
            <w:r w:rsidRPr="002039AF">
              <w:rPr>
                <w:b w:val="0"/>
                <w:i/>
                <w:iCs/>
                <w:sz w:val="19"/>
                <w:szCs w:val="19"/>
              </w:rPr>
              <w:t>Bolboschoenus</w:t>
            </w:r>
            <w:proofErr w:type="spellEnd"/>
            <w:r w:rsidRPr="002039AF">
              <w:rPr>
                <w:b w:val="0"/>
                <w:i/>
                <w:iCs/>
                <w:sz w:val="19"/>
                <w:szCs w:val="19"/>
              </w:rPr>
              <w:t xml:space="preserve"> </w:t>
            </w:r>
            <w:proofErr w:type="spellStart"/>
            <w:r w:rsidRPr="002039AF">
              <w:rPr>
                <w:b w:val="0"/>
                <w:i/>
                <w:iCs/>
                <w:sz w:val="19"/>
                <w:szCs w:val="19"/>
              </w:rPr>
              <w:t>caldwellii</w:t>
            </w:r>
            <w:proofErr w:type="spellEnd"/>
          </w:p>
          <w:p w14:paraId="682CEF7F" w14:textId="77777777" w:rsidR="002C611C" w:rsidRPr="002039AF" w:rsidRDefault="002C611C" w:rsidP="00103EF7">
            <w:pPr>
              <w:pStyle w:val="TableHeading"/>
              <w:numPr>
                <w:ilvl w:val="0"/>
                <w:numId w:val="20"/>
              </w:numPr>
              <w:spacing w:before="0" w:after="0"/>
              <w:jc w:val="left"/>
              <w:rPr>
                <w:b w:val="0"/>
                <w:i/>
                <w:iCs/>
                <w:sz w:val="19"/>
                <w:szCs w:val="19"/>
              </w:rPr>
            </w:pPr>
            <w:proofErr w:type="spellStart"/>
            <w:r w:rsidRPr="002039AF">
              <w:rPr>
                <w:b w:val="0"/>
                <w:i/>
                <w:iCs/>
                <w:sz w:val="19"/>
                <w:szCs w:val="19"/>
              </w:rPr>
              <w:t>Centipeda</w:t>
            </w:r>
            <w:proofErr w:type="spellEnd"/>
            <w:r w:rsidRPr="002039AF">
              <w:rPr>
                <w:b w:val="0"/>
                <w:i/>
                <w:iCs/>
                <w:sz w:val="19"/>
                <w:szCs w:val="19"/>
              </w:rPr>
              <w:t xml:space="preserve"> minima</w:t>
            </w:r>
          </w:p>
          <w:p w14:paraId="1EECDAAB" w14:textId="77777777" w:rsidR="002C611C" w:rsidRPr="002039AF" w:rsidRDefault="002C611C" w:rsidP="00103EF7">
            <w:pPr>
              <w:pStyle w:val="TableHeading"/>
              <w:numPr>
                <w:ilvl w:val="0"/>
                <w:numId w:val="20"/>
              </w:numPr>
              <w:spacing w:before="0" w:after="0"/>
              <w:jc w:val="left"/>
              <w:rPr>
                <w:b w:val="0"/>
                <w:i/>
                <w:iCs/>
                <w:sz w:val="19"/>
                <w:szCs w:val="19"/>
              </w:rPr>
            </w:pPr>
            <w:r w:rsidRPr="002039AF">
              <w:rPr>
                <w:b w:val="0"/>
                <w:i/>
                <w:iCs/>
                <w:sz w:val="19"/>
                <w:szCs w:val="19"/>
              </w:rPr>
              <w:t xml:space="preserve">Cyperus </w:t>
            </w:r>
            <w:proofErr w:type="spellStart"/>
            <w:r w:rsidRPr="002039AF">
              <w:rPr>
                <w:b w:val="0"/>
                <w:i/>
                <w:iCs/>
                <w:sz w:val="19"/>
                <w:szCs w:val="19"/>
              </w:rPr>
              <w:t>gymnocaulos</w:t>
            </w:r>
            <w:proofErr w:type="spellEnd"/>
          </w:p>
          <w:p w14:paraId="7F8D8B70" w14:textId="77777777" w:rsidR="002C611C" w:rsidRPr="002039AF" w:rsidRDefault="002C611C" w:rsidP="00103EF7">
            <w:pPr>
              <w:pStyle w:val="TableHeading"/>
              <w:numPr>
                <w:ilvl w:val="0"/>
                <w:numId w:val="20"/>
              </w:numPr>
              <w:spacing w:before="0" w:after="0"/>
              <w:jc w:val="left"/>
              <w:rPr>
                <w:b w:val="0"/>
                <w:i/>
                <w:iCs/>
                <w:sz w:val="19"/>
                <w:szCs w:val="19"/>
              </w:rPr>
            </w:pPr>
            <w:r w:rsidRPr="002039AF">
              <w:rPr>
                <w:b w:val="0"/>
                <w:i/>
                <w:iCs/>
                <w:sz w:val="19"/>
                <w:szCs w:val="19"/>
              </w:rPr>
              <w:t>Eleocharis acuta</w:t>
            </w:r>
          </w:p>
          <w:p w14:paraId="742B462A" w14:textId="77777777" w:rsidR="002C611C" w:rsidRPr="002039AF" w:rsidRDefault="002C611C" w:rsidP="00103EF7">
            <w:pPr>
              <w:pStyle w:val="TableHeading"/>
              <w:numPr>
                <w:ilvl w:val="0"/>
                <w:numId w:val="20"/>
              </w:numPr>
              <w:spacing w:before="0" w:after="0"/>
              <w:jc w:val="left"/>
              <w:rPr>
                <w:b w:val="0"/>
                <w:i/>
                <w:iCs/>
                <w:sz w:val="19"/>
                <w:szCs w:val="19"/>
              </w:rPr>
            </w:pPr>
            <w:r w:rsidRPr="002039AF">
              <w:rPr>
                <w:b w:val="0"/>
                <w:i/>
                <w:iCs/>
                <w:sz w:val="19"/>
                <w:szCs w:val="19"/>
              </w:rPr>
              <w:t>Eucalyptus camaldulensis</w:t>
            </w:r>
          </w:p>
          <w:p w14:paraId="3B2FAA7A" w14:textId="77777777" w:rsidR="002C611C" w:rsidRPr="002039AF" w:rsidRDefault="002C611C" w:rsidP="00103EF7">
            <w:pPr>
              <w:pStyle w:val="TableHeading"/>
              <w:numPr>
                <w:ilvl w:val="0"/>
                <w:numId w:val="20"/>
              </w:numPr>
              <w:spacing w:before="0" w:after="0"/>
              <w:jc w:val="left"/>
              <w:rPr>
                <w:b w:val="0"/>
                <w:i/>
                <w:iCs/>
                <w:sz w:val="19"/>
                <w:szCs w:val="19"/>
              </w:rPr>
            </w:pPr>
            <w:proofErr w:type="spellStart"/>
            <w:r w:rsidRPr="002039AF">
              <w:rPr>
                <w:b w:val="0"/>
                <w:i/>
                <w:iCs/>
                <w:sz w:val="19"/>
                <w:szCs w:val="19"/>
              </w:rPr>
              <w:t>Isoetopsis</w:t>
            </w:r>
            <w:proofErr w:type="spellEnd"/>
            <w:r w:rsidRPr="002039AF">
              <w:rPr>
                <w:b w:val="0"/>
                <w:i/>
                <w:iCs/>
                <w:sz w:val="19"/>
                <w:szCs w:val="19"/>
              </w:rPr>
              <w:t xml:space="preserve"> </w:t>
            </w:r>
            <w:proofErr w:type="spellStart"/>
            <w:r w:rsidRPr="002039AF">
              <w:rPr>
                <w:b w:val="0"/>
                <w:i/>
                <w:iCs/>
                <w:sz w:val="19"/>
                <w:szCs w:val="19"/>
              </w:rPr>
              <w:t>graminifolia</w:t>
            </w:r>
            <w:proofErr w:type="spellEnd"/>
          </w:p>
          <w:p w14:paraId="2EABCF7B" w14:textId="77777777" w:rsidR="002C611C" w:rsidRPr="002039AF" w:rsidRDefault="002C611C" w:rsidP="00103EF7">
            <w:pPr>
              <w:pStyle w:val="TableHeading"/>
              <w:numPr>
                <w:ilvl w:val="0"/>
                <w:numId w:val="20"/>
              </w:numPr>
              <w:spacing w:before="0" w:after="0"/>
              <w:jc w:val="left"/>
              <w:rPr>
                <w:b w:val="0"/>
                <w:i/>
                <w:iCs/>
                <w:sz w:val="19"/>
                <w:szCs w:val="19"/>
              </w:rPr>
            </w:pPr>
            <w:proofErr w:type="spellStart"/>
            <w:r w:rsidRPr="002039AF">
              <w:rPr>
                <w:b w:val="0"/>
                <w:i/>
                <w:iCs/>
                <w:sz w:val="19"/>
                <w:szCs w:val="19"/>
              </w:rPr>
              <w:t>Isolepis</w:t>
            </w:r>
            <w:proofErr w:type="spellEnd"/>
            <w:r w:rsidRPr="002039AF">
              <w:rPr>
                <w:b w:val="0"/>
                <w:i/>
                <w:iCs/>
                <w:sz w:val="19"/>
                <w:szCs w:val="19"/>
              </w:rPr>
              <w:t xml:space="preserve"> </w:t>
            </w:r>
            <w:proofErr w:type="spellStart"/>
            <w:r w:rsidRPr="002039AF">
              <w:rPr>
                <w:b w:val="0"/>
                <w:i/>
                <w:iCs/>
                <w:sz w:val="19"/>
                <w:szCs w:val="19"/>
              </w:rPr>
              <w:t>australiensis</w:t>
            </w:r>
            <w:proofErr w:type="spellEnd"/>
          </w:p>
          <w:p w14:paraId="10436E43" w14:textId="77777777" w:rsidR="002C611C" w:rsidRPr="002039AF" w:rsidRDefault="002C611C" w:rsidP="00103EF7">
            <w:pPr>
              <w:pStyle w:val="TableHeading"/>
              <w:numPr>
                <w:ilvl w:val="0"/>
                <w:numId w:val="20"/>
              </w:numPr>
              <w:spacing w:before="0" w:after="0"/>
              <w:jc w:val="left"/>
              <w:rPr>
                <w:b w:val="0"/>
                <w:i/>
                <w:iCs/>
                <w:sz w:val="19"/>
                <w:szCs w:val="19"/>
              </w:rPr>
            </w:pPr>
            <w:r w:rsidRPr="002039AF">
              <w:rPr>
                <w:b w:val="0"/>
                <w:i/>
                <w:iCs/>
                <w:sz w:val="19"/>
                <w:szCs w:val="19"/>
              </w:rPr>
              <w:t xml:space="preserve">Juncus </w:t>
            </w:r>
            <w:proofErr w:type="spellStart"/>
            <w:r w:rsidRPr="002039AF">
              <w:rPr>
                <w:b w:val="0"/>
                <w:i/>
                <w:iCs/>
                <w:sz w:val="19"/>
                <w:szCs w:val="19"/>
              </w:rPr>
              <w:t>usitatus</w:t>
            </w:r>
            <w:proofErr w:type="spellEnd"/>
          </w:p>
          <w:p w14:paraId="05E9CC3F" w14:textId="77777777" w:rsidR="002C611C" w:rsidRPr="002039AF" w:rsidRDefault="002C611C" w:rsidP="00103EF7">
            <w:pPr>
              <w:pStyle w:val="TableHeading"/>
              <w:numPr>
                <w:ilvl w:val="0"/>
                <w:numId w:val="20"/>
              </w:numPr>
              <w:spacing w:before="0" w:after="0"/>
              <w:jc w:val="left"/>
              <w:rPr>
                <w:b w:val="0"/>
                <w:i/>
                <w:iCs/>
                <w:sz w:val="19"/>
                <w:szCs w:val="19"/>
              </w:rPr>
            </w:pPr>
            <w:proofErr w:type="spellStart"/>
            <w:r w:rsidRPr="002039AF">
              <w:rPr>
                <w:b w:val="0"/>
                <w:i/>
                <w:iCs/>
                <w:sz w:val="19"/>
                <w:szCs w:val="19"/>
              </w:rPr>
              <w:t>Lachnagrostis</w:t>
            </w:r>
            <w:proofErr w:type="spellEnd"/>
            <w:r w:rsidRPr="002039AF">
              <w:rPr>
                <w:b w:val="0"/>
                <w:i/>
                <w:iCs/>
                <w:sz w:val="19"/>
                <w:szCs w:val="19"/>
              </w:rPr>
              <w:t xml:space="preserve"> </w:t>
            </w:r>
            <w:proofErr w:type="spellStart"/>
            <w:r w:rsidRPr="002039AF">
              <w:rPr>
                <w:b w:val="0"/>
                <w:i/>
                <w:iCs/>
                <w:sz w:val="19"/>
                <w:szCs w:val="19"/>
              </w:rPr>
              <w:t>filiformis</w:t>
            </w:r>
            <w:proofErr w:type="spellEnd"/>
          </w:p>
          <w:p w14:paraId="754D406F" w14:textId="77777777" w:rsidR="002C611C" w:rsidRPr="002039AF" w:rsidRDefault="002C611C" w:rsidP="00103EF7">
            <w:pPr>
              <w:pStyle w:val="TableHeading"/>
              <w:numPr>
                <w:ilvl w:val="0"/>
                <w:numId w:val="20"/>
              </w:numPr>
              <w:spacing w:before="0" w:after="0"/>
              <w:jc w:val="left"/>
              <w:rPr>
                <w:b w:val="0"/>
                <w:i/>
                <w:iCs/>
                <w:sz w:val="19"/>
                <w:szCs w:val="19"/>
              </w:rPr>
            </w:pPr>
            <w:proofErr w:type="spellStart"/>
            <w:r w:rsidRPr="002039AF">
              <w:rPr>
                <w:b w:val="0"/>
                <w:i/>
                <w:iCs/>
                <w:sz w:val="19"/>
                <w:szCs w:val="19"/>
              </w:rPr>
              <w:t>Limosella</w:t>
            </w:r>
            <w:proofErr w:type="spellEnd"/>
            <w:r w:rsidRPr="002039AF">
              <w:rPr>
                <w:b w:val="0"/>
                <w:i/>
                <w:iCs/>
                <w:sz w:val="19"/>
                <w:szCs w:val="19"/>
              </w:rPr>
              <w:t xml:space="preserve"> australis</w:t>
            </w:r>
          </w:p>
          <w:p w14:paraId="2FADE154" w14:textId="77777777" w:rsidR="002C611C" w:rsidRPr="002039AF" w:rsidRDefault="002C611C" w:rsidP="00103EF7">
            <w:pPr>
              <w:pStyle w:val="TableHeading"/>
              <w:numPr>
                <w:ilvl w:val="0"/>
                <w:numId w:val="20"/>
              </w:numPr>
              <w:spacing w:before="0" w:after="0"/>
              <w:jc w:val="left"/>
              <w:rPr>
                <w:b w:val="0"/>
                <w:i/>
                <w:iCs/>
                <w:sz w:val="19"/>
                <w:szCs w:val="19"/>
              </w:rPr>
            </w:pPr>
            <w:proofErr w:type="spellStart"/>
            <w:r w:rsidRPr="002039AF">
              <w:rPr>
                <w:b w:val="0"/>
                <w:i/>
                <w:iCs/>
                <w:sz w:val="19"/>
                <w:szCs w:val="19"/>
              </w:rPr>
              <w:t>Ludwigia</w:t>
            </w:r>
            <w:proofErr w:type="spellEnd"/>
            <w:r w:rsidRPr="002039AF">
              <w:rPr>
                <w:b w:val="0"/>
                <w:i/>
                <w:iCs/>
                <w:sz w:val="19"/>
                <w:szCs w:val="19"/>
              </w:rPr>
              <w:t xml:space="preserve"> </w:t>
            </w:r>
            <w:proofErr w:type="spellStart"/>
            <w:r w:rsidRPr="002039AF">
              <w:rPr>
                <w:b w:val="0"/>
                <w:i/>
                <w:iCs/>
                <w:sz w:val="19"/>
                <w:szCs w:val="19"/>
              </w:rPr>
              <w:t>peploides</w:t>
            </w:r>
            <w:proofErr w:type="spellEnd"/>
          </w:p>
          <w:p w14:paraId="3CAA28DC" w14:textId="77777777" w:rsidR="002C611C" w:rsidRPr="002039AF" w:rsidRDefault="002C611C" w:rsidP="00103EF7">
            <w:pPr>
              <w:pStyle w:val="TableHeading"/>
              <w:numPr>
                <w:ilvl w:val="0"/>
                <w:numId w:val="20"/>
              </w:numPr>
              <w:spacing w:before="0" w:after="0"/>
              <w:jc w:val="left"/>
              <w:rPr>
                <w:b w:val="0"/>
                <w:i/>
                <w:iCs/>
                <w:sz w:val="19"/>
                <w:szCs w:val="19"/>
              </w:rPr>
            </w:pPr>
            <w:proofErr w:type="spellStart"/>
            <w:r w:rsidRPr="002039AF">
              <w:rPr>
                <w:b w:val="0"/>
                <w:i/>
                <w:iCs/>
                <w:sz w:val="19"/>
                <w:szCs w:val="19"/>
              </w:rPr>
              <w:t>Lythrum</w:t>
            </w:r>
            <w:proofErr w:type="spellEnd"/>
            <w:r w:rsidRPr="002039AF">
              <w:rPr>
                <w:b w:val="0"/>
                <w:i/>
                <w:iCs/>
                <w:sz w:val="19"/>
                <w:szCs w:val="19"/>
              </w:rPr>
              <w:t xml:space="preserve"> </w:t>
            </w:r>
            <w:proofErr w:type="spellStart"/>
            <w:r w:rsidRPr="002039AF">
              <w:rPr>
                <w:b w:val="0"/>
                <w:i/>
                <w:iCs/>
                <w:sz w:val="19"/>
                <w:szCs w:val="19"/>
              </w:rPr>
              <w:t>hyssopifolia</w:t>
            </w:r>
            <w:proofErr w:type="spellEnd"/>
          </w:p>
          <w:p w14:paraId="66EE557D" w14:textId="77777777" w:rsidR="002C611C" w:rsidRPr="002039AF" w:rsidRDefault="002C611C" w:rsidP="00103EF7">
            <w:pPr>
              <w:pStyle w:val="TableHeading"/>
              <w:numPr>
                <w:ilvl w:val="0"/>
                <w:numId w:val="20"/>
              </w:numPr>
              <w:spacing w:before="0" w:after="0"/>
              <w:jc w:val="left"/>
              <w:rPr>
                <w:b w:val="0"/>
                <w:i/>
                <w:iCs/>
                <w:sz w:val="19"/>
                <w:szCs w:val="19"/>
              </w:rPr>
            </w:pPr>
            <w:proofErr w:type="spellStart"/>
            <w:r w:rsidRPr="002039AF">
              <w:rPr>
                <w:b w:val="0"/>
                <w:i/>
                <w:iCs/>
                <w:sz w:val="19"/>
                <w:szCs w:val="19"/>
              </w:rPr>
              <w:t>Myriophyllum</w:t>
            </w:r>
            <w:proofErr w:type="spellEnd"/>
            <w:r w:rsidRPr="002039AF">
              <w:rPr>
                <w:b w:val="0"/>
                <w:i/>
                <w:iCs/>
                <w:sz w:val="19"/>
                <w:szCs w:val="19"/>
              </w:rPr>
              <w:t xml:space="preserve"> </w:t>
            </w:r>
            <w:proofErr w:type="spellStart"/>
            <w:r w:rsidRPr="002039AF">
              <w:rPr>
                <w:b w:val="0"/>
                <w:i/>
                <w:iCs/>
                <w:sz w:val="19"/>
                <w:szCs w:val="19"/>
              </w:rPr>
              <w:t>papillosum</w:t>
            </w:r>
            <w:proofErr w:type="spellEnd"/>
          </w:p>
          <w:p w14:paraId="605286E2" w14:textId="77777777" w:rsidR="002C611C" w:rsidRPr="002039AF" w:rsidRDefault="002C611C" w:rsidP="00103EF7">
            <w:pPr>
              <w:pStyle w:val="TableHeading"/>
              <w:numPr>
                <w:ilvl w:val="0"/>
                <w:numId w:val="20"/>
              </w:numPr>
              <w:spacing w:before="0" w:after="0"/>
              <w:jc w:val="left"/>
              <w:rPr>
                <w:b w:val="0"/>
                <w:i/>
                <w:iCs/>
                <w:sz w:val="19"/>
                <w:szCs w:val="19"/>
              </w:rPr>
            </w:pPr>
            <w:r w:rsidRPr="002039AF">
              <w:rPr>
                <w:b w:val="0"/>
                <w:i/>
                <w:iCs/>
                <w:sz w:val="19"/>
                <w:szCs w:val="19"/>
              </w:rPr>
              <w:t>Paspalum distichum</w:t>
            </w:r>
          </w:p>
          <w:p w14:paraId="590D6A36" w14:textId="77777777" w:rsidR="002C611C" w:rsidRPr="002039AF" w:rsidRDefault="002C611C" w:rsidP="00103EF7">
            <w:pPr>
              <w:pStyle w:val="TableHeading"/>
              <w:numPr>
                <w:ilvl w:val="0"/>
                <w:numId w:val="20"/>
              </w:numPr>
              <w:spacing w:before="0" w:after="0"/>
              <w:jc w:val="left"/>
              <w:rPr>
                <w:b w:val="0"/>
                <w:i/>
                <w:iCs/>
                <w:sz w:val="19"/>
                <w:szCs w:val="19"/>
              </w:rPr>
            </w:pPr>
            <w:proofErr w:type="spellStart"/>
            <w:r w:rsidRPr="002039AF">
              <w:rPr>
                <w:b w:val="0"/>
                <w:i/>
                <w:iCs/>
                <w:sz w:val="19"/>
                <w:szCs w:val="19"/>
              </w:rPr>
              <w:t>Persicaria</w:t>
            </w:r>
            <w:proofErr w:type="spellEnd"/>
            <w:r w:rsidRPr="002039AF">
              <w:rPr>
                <w:b w:val="0"/>
                <w:i/>
                <w:iCs/>
                <w:sz w:val="19"/>
                <w:szCs w:val="19"/>
              </w:rPr>
              <w:t xml:space="preserve"> </w:t>
            </w:r>
            <w:proofErr w:type="spellStart"/>
            <w:r w:rsidRPr="002039AF">
              <w:rPr>
                <w:b w:val="0"/>
                <w:i/>
                <w:iCs/>
                <w:sz w:val="19"/>
                <w:szCs w:val="19"/>
              </w:rPr>
              <w:t>lapathifolia</w:t>
            </w:r>
            <w:proofErr w:type="spellEnd"/>
          </w:p>
          <w:p w14:paraId="72B078D9" w14:textId="77777777" w:rsidR="002C611C" w:rsidRPr="002039AF" w:rsidRDefault="002C611C" w:rsidP="00103EF7">
            <w:pPr>
              <w:pStyle w:val="TableHeading"/>
              <w:numPr>
                <w:ilvl w:val="0"/>
                <w:numId w:val="20"/>
              </w:numPr>
              <w:spacing w:before="0" w:after="0"/>
              <w:jc w:val="left"/>
              <w:rPr>
                <w:b w:val="0"/>
                <w:i/>
                <w:iCs/>
                <w:sz w:val="19"/>
                <w:szCs w:val="19"/>
              </w:rPr>
            </w:pPr>
            <w:r w:rsidRPr="002039AF">
              <w:rPr>
                <w:b w:val="0"/>
                <w:i/>
                <w:iCs/>
                <w:sz w:val="19"/>
                <w:szCs w:val="19"/>
              </w:rPr>
              <w:t>Phragmites australis</w:t>
            </w:r>
          </w:p>
          <w:p w14:paraId="771917DC" w14:textId="77777777" w:rsidR="002C611C" w:rsidRPr="002039AF" w:rsidRDefault="002C611C" w:rsidP="00103EF7">
            <w:pPr>
              <w:pStyle w:val="TableHeading"/>
              <w:numPr>
                <w:ilvl w:val="0"/>
                <w:numId w:val="20"/>
              </w:numPr>
              <w:spacing w:before="0" w:after="0"/>
              <w:jc w:val="left"/>
              <w:rPr>
                <w:b w:val="0"/>
                <w:i/>
                <w:iCs/>
                <w:sz w:val="19"/>
                <w:szCs w:val="19"/>
              </w:rPr>
            </w:pPr>
            <w:proofErr w:type="spellStart"/>
            <w:r w:rsidRPr="002039AF">
              <w:rPr>
                <w:b w:val="0"/>
                <w:i/>
                <w:iCs/>
                <w:sz w:val="19"/>
                <w:szCs w:val="19"/>
              </w:rPr>
              <w:t>Pseudognaphalium</w:t>
            </w:r>
            <w:proofErr w:type="spellEnd"/>
            <w:r w:rsidRPr="002039AF">
              <w:rPr>
                <w:b w:val="0"/>
                <w:i/>
                <w:iCs/>
                <w:sz w:val="19"/>
                <w:szCs w:val="19"/>
              </w:rPr>
              <w:t xml:space="preserve"> </w:t>
            </w:r>
            <w:proofErr w:type="spellStart"/>
            <w:r w:rsidRPr="002039AF">
              <w:rPr>
                <w:b w:val="0"/>
                <w:i/>
                <w:iCs/>
                <w:sz w:val="19"/>
                <w:szCs w:val="19"/>
              </w:rPr>
              <w:t>luteoalbum</w:t>
            </w:r>
            <w:proofErr w:type="spellEnd"/>
          </w:p>
          <w:p w14:paraId="18B55D04" w14:textId="77777777" w:rsidR="002C611C" w:rsidRPr="002039AF" w:rsidRDefault="002C611C" w:rsidP="00103EF7">
            <w:pPr>
              <w:pStyle w:val="TableHeading"/>
              <w:numPr>
                <w:ilvl w:val="0"/>
                <w:numId w:val="20"/>
              </w:numPr>
              <w:spacing w:before="0" w:after="0"/>
              <w:jc w:val="left"/>
              <w:rPr>
                <w:b w:val="0"/>
                <w:i/>
                <w:iCs/>
                <w:sz w:val="19"/>
                <w:szCs w:val="19"/>
              </w:rPr>
            </w:pPr>
            <w:r w:rsidRPr="002039AF">
              <w:rPr>
                <w:b w:val="0"/>
                <w:i/>
                <w:iCs/>
                <w:sz w:val="19"/>
                <w:szCs w:val="19"/>
              </w:rPr>
              <w:t xml:space="preserve">Polygonum </w:t>
            </w:r>
            <w:proofErr w:type="spellStart"/>
            <w:r w:rsidRPr="002039AF">
              <w:rPr>
                <w:b w:val="0"/>
                <w:i/>
                <w:iCs/>
                <w:sz w:val="19"/>
                <w:szCs w:val="19"/>
              </w:rPr>
              <w:t>plebeium</w:t>
            </w:r>
            <w:proofErr w:type="spellEnd"/>
          </w:p>
          <w:p w14:paraId="00BE334E" w14:textId="77777777" w:rsidR="002C611C" w:rsidRPr="002039AF" w:rsidRDefault="002C611C" w:rsidP="00103EF7">
            <w:pPr>
              <w:pStyle w:val="TableHeading"/>
              <w:numPr>
                <w:ilvl w:val="0"/>
                <w:numId w:val="20"/>
              </w:numPr>
              <w:spacing w:before="0" w:after="0"/>
              <w:jc w:val="left"/>
              <w:rPr>
                <w:b w:val="0"/>
                <w:i/>
                <w:iCs/>
                <w:sz w:val="19"/>
                <w:szCs w:val="19"/>
              </w:rPr>
            </w:pPr>
            <w:proofErr w:type="spellStart"/>
            <w:r w:rsidRPr="002039AF">
              <w:rPr>
                <w:b w:val="0"/>
                <w:i/>
                <w:iCs/>
                <w:sz w:val="19"/>
                <w:szCs w:val="19"/>
              </w:rPr>
              <w:t>Schoenoplectus</w:t>
            </w:r>
            <w:proofErr w:type="spellEnd"/>
            <w:r w:rsidRPr="002039AF">
              <w:rPr>
                <w:b w:val="0"/>
                <w:i/>
                <w:iCs/>
                <w:sz w:val="19"/>
                <w:szCs w:val="19"/>
              </w:rPr>
              <w:t xml:space="preserve"> </w:t>
            </w:r>
            <w:proofErr w:type="spellStart"/>
            <w:r w:rsidRPr="002039AF">
              <w:rPr>
                <w:b w:val="0"/>
                <w:i/>
                <w:iCs/>
                <w:sz w:val="19"/>
                <w:szCs w:val="19"/>
              </w:rPr>
              <w:t>pungens</w:t>
            </w:r>
            <w:proofErr w:type="spellEnd"/>
          </w:p>
          <w:p w14:paraId="1BC2EA71" w14:textId="77777777" w:rsidR="002C611C" w:rsidRPr="002039AF" w:rsidRDefault="002C611C" w:rsidP="00103EF7">
            <w:pPr>
              <w:pStyle w:val="TableHeading"/>
              <w:numPr>
                <w:ilvl w:val="0"/>
                <w:numId w:val="20"/>
              </w:numPr>
              <w:spacing w:before="0" w:after="0"/>
              <w:jc w:val="left"/>
              <w:rPr>
                <w:b w:val="0"/>
                <w:i/>
                <w:iCs/>
                <w:sz w:val="19"/>
                <w:szCs w:val="19"/>
              </w:rPr>
            </w:pPr>
            <w:r w:rsidRPr="002039AF">
              <w:rPr>
                <w:b w:val="0"/>
                <w:i/>
                <w:iCs/>
                <w:sz w:val="19"/>
                <w:szCs w:val="19"/>
              </w:rPr>
              <w:t xml:space="preserve">Senecio </w:t>
            </w:r>
            <w:proofErr w:type="spellStart"/>
            <w:r w:rsidRPr="002039AF">
              <w:rPr>
                <w:b w:val="0"/>
                <w:i/>
                <w:iCs/>
                <w:sz w:val="19"/>
                <w:szCs w:val="19"/>
              </w:rPr>
              <w:t>runcinifolius</w:t>
            </w:r>
            <w:proofErr w:type="spellEnd"/>
          </w:p>
          <w:p w14:paraId="1FA89FE2" w14:textId="77777777" w:rsidR="002C611C" w:rsidRPr="002039AF" w:rsidRDefault="002C611C" w:rsidP="00103EF7">
            <w:pPr>
              <w:pStyle w:val="TableHeading"/>
              <w:numPr>
                <w:ilvl w:val="0"/>
                <w:numId w:val="20"/>
              </w:numPr>
              <w:spacing w:before="0" w:after="0"/>
              <w:jc w:val="left"/>
              <w:rPr>
                <w:b w:val="0"/>
                <w:i/>
                <w:iCs/>
                <w:sz w:val="19"/>
                <w:szCs w:val="19"/>
              </w:rPr>
            </w:pPr>
            <w:proofErr w:type="spellStart"/>
            <w:r w:rsidRPr="002039AF">
              <w:rPr>
                <w:b w:val="0"/>
                <w:i/>
                <w:iCs/>
                <w:sz w:val="19"/>
                <w:szCs w:val="19"/>
              </w:rPr>
              <w:t>Sphaeromorphaea</w:t>
            </w:r>
            <w:proofErr w:type="spellEnd"/>
            <w:r w:rsidRPr="002039AF">
              <w:rPr>
                <w:b w:val="0"/>
                <w:i/>
                <w:iCs/>
                <w:sz w:val="19"/>
                <w:szCs w:val="19"/>
              </w:rPr>
              <w:t xml:space="preserve"> australis</w:t>
            </w:r>
          </w:p>
          <w:p w14:paraId="230A743D" w14:textId="77777777" w:rsidR="002C611C" w:rsidRPr="002039AF" w:rsidRDefault="002C611C" w:rsidP="00103EF7">
            <w:pPr>
              <w:pStyle w:val="TableHeading"/>
              <w:numPr>
                <w:ilvl w:val="0"/>
                <w:numId w:val="20"/>
              </w:numPr>
              <w:spacing w:before="0" w:after="0"/>
              <w:jc w:val="left"/>
              <w:rPr>
                <w:b w:val="0"/>
                <w:i/>
                <w:iCs/>
                <w:sz w:val="19"/>
                <w:szCs w:val="19"/>
              </w:rPr>
            </w:pPr>
            <w:proofErr w:type="spellStart"/>
            <w:r w:rsidRPr="002039AF">
              <w:rPr>
                <w:b w:val="0"/>
                <w:i/>
                <w:iCs/>
                <w:sz w:val="19"/>
                <w:szCs w:val="19"/>
              </w:rPr>
              <w:t>Stemodia</w:t>
            </w:r>
            <w:proofErr w:type="spellEnd"/>
            <w:r w:rsidRPr="002039AF">
              <w:rPr>
                <w:b w:val="0"/>
                <w:i/>
                <w:iCs/>
                <w:sz w:val="19"/>
                <w:szCs w:val="19"/>
              </w:rPr>
              <w:t xml:space="preserve"> </w:t>
            </w:r>
            <w:proofErr w:type="spellStart"/>
            <w:r w:rsidRPr="002039AF">
              <w:rPr>
                <w:b w:val="0"/>
                <w:i/>
                <w:iCs/>
                <w:sz w:val="19"/>
                <w:szCs w:val="19"/>
              </w:rPr>
              <w:t>florulenta</w:t>
            </w:r>
            <w:proofErr w:type="spellEnd"/>
          </w:p>
          <w:p w14:paraId="6319FCCC" w14:textId="77777777" w:rsidR="002C611C" w:rsidRPr="007770BB" w:rsidRDefault="002C611C" w:rsidP="00103EF7">
            <w:pPr>
              <w:pStyle w:val="TableHeading"/>
              <w:numPr>
                <w:ilvl w:val="0"/>
                <w:numId w:val="20"/>
              </w:numPr>
              <w:spacing w:before="0" w:after="0"/>
              <w:jc w:val="left"/>
              <w:rPr>
                <w:b w:val="0"/>
                <w:sz w:val="19"/>
                <w:szCs w:val="19"/>
              </w:rPr>
            </w:pPr>
            <w:r w:rsidRPr="002039AF">
              <w:rPr>
                <w:b w:val="0"/>
                <w:i/>
                <w:iCs/>
                <w:sz w:val="19"/>
                <w:szCs w:val="19"/>
              </w:rPr>
              <w:t xml:space="preserve">Typha </w:t>
            </w:r>
            <w:proofErr w:type="spellStart"/>
            <w:r w:rsidRPr="002039AF">
              <w:rPr>
                <w:b w:val="0"/>
                <w:i/>
                <w:iCs/>
                <w:sz w:val="19"/>
                <w:szCs w:val="19"/>
              </w:rPr>
              <w:t>domingensis</w:t>
            </w:r>
            <w:proofErr w:type="spellEnd"/>
          </w:p>
        </w:tc>
      </w:tr>
      <w:tr w:rsidR="002C611C" w:rsidRPr="0041543F" w14:paraId="3A43291F" w14:textId="77777777" w:rsidTr="00762384">
        <w:trPr>
          <w:cantSplit/>
          <w:trHeight w:val="1316"/>
        </w:trPr>
        <w:tc>
          <w:tcPr>
            <w:tcW w:w="1569" w:type="pct"/>
            <w:tcBorders>
              <w:top w:val="single" w:sz="4" w:space="0" w:color="auto"/>
              <w:left w:val="single" w:sz="4" w:space="0" w:color="auto"/>
              <w:right w:val="single" w:sz="4" w:space="0" w:color="auto"/>
            </w:tcBorders>
          </w:tcPr>
          <w:p w14:paraId="6EE2E01F" w14:textId="77777777" w:rsidR="002C611C" w:rsidRPr="00BE09D3" w:rsidRDefault="002C611C" w:rsidP="002C611C">
            <w:pPr>
              <w:pStyle w:val="TableHeading"/>
              <w:jc w:val="left"/>
              <w:rPr>
                <w:b w:val="0"/>
                <w:sz w:val="19"/>
                <w:szCs w:val="19"/>
              </w:rPr>
            </w:pPr>
            <w:r>
              <w:rPr>
                <w:b w:val="0"/>
                <w:sz w:val="19"/>
                <w:szCs w:val="19"/>
              </w:rPr>
              <w:t xml:space="preserve"> </w:t>
            </w:r>
            <w:r w:rsidRPr="00BE09D3">
              <w:rPr>
                <w:b w:val="0"/>
                <w:sz w:val="19"/>
                <w:szCs w:val="19"/>
              </w:rPr>
              <w:t xml:space="preserve">What did </w:t>
            </w:r>
            <w:r>
              <w:rPr>
                <w:b w:val="0"/>
                <w:sz w:val="19"/>
                <w:szCs w:val="19"/>
              </w:rPr>
              <w:t xml:space="preserve">CEW </w:t>
            </w:r>
            <w:r w:rsidRPr="00BE09D3">
              <w:rPr>
                <w:b w:val="0"/>
                <w:sz w:val="19"/>
                <w:szCs w:val="19"/>
              </w:rPr>
              <w:t>contribute to above-ground biomass produced by understorey littoral vegetation?</w:t>
            </w:r>
          </w:p>
        </w:tc>
        <w:tc>
          <w:tcPr>
            <w:tcW w:w="3431" w:type="pct"/>
            <w:tcBorders>
              <w:top w:val="single" w:sz="4" w:space="0" w:color="auto"/>
              <w:left w:val="single" w:sz="4" w:space="0" w:color="auto"/>
              <w:right w:val="single" w:sz="4" w:space="0" w:color="auto"/>
            </w:tcBorders>
            <w:shd w:val="clear" w:color="auto" w:fill="D9D9D9" w:themeFill="background1" w:themeFillShade="D9"/>
          </w:tcPr>
          <w:p w14:paraId="10BCE8FF" w14:textId="77777777" w:rsidR="002C611C" w:rsidRDefault="002C611C" w:rsidP="002C611C">
            <w:pPr>
              <w:pStyle w:val="TableHeading"/>
              <w:jc w:val="left"/>
              <w:rPr>
                <w:b w:val="0"/>
                <w:sz w:val="19"/>
                <w:szCs w:val="19"/>
              </w:rPr>
            </w:pPr>
            <w:r>
              <w:rPr>
                <w:b w:val="0"/>
                <w:sz w:val="19"/>
                <w:szCs w:val="19"/>
              </w:rPr>
              <w:t xml:space="preserve">Biomass production due to CEW was inconclusive and varied depending on reach with no clear pattern in relation to CEW delivery. The only reach that responded as hypothesised was Lock 6 with greater biomass in the </w:t>
            </w:r>
            <w:r w:rsidRPr="00240018">
              <w:rPr>
                <w:b w:val="0"/>
                <w:i/>
                <w:iCs/>
                <w:sz w:val="19"/>
                <w:szCs w:val="19"/>
              </w:rPr>
              <w:t>Inundated</w:t>
            </w:r>
            <w:r>
              <w:rPr>
                <w:b w:val="0"/>
                <w:sz w:val="19"/>
                <w:szCs w:val="19"/>
              </w:rPr>
              <w:t xml:space="preserve"> and </w:t>
            </w:r>
            <w:r w:rsidRPr="00240018">
              <w:rPr>
                <w:b w:val="0"/>
                <w:i/>
                <w:iCs/>
                <w:sz w:val="19"/>
                <w:szCs w:val="19"/>
              </w:rPr>
              <w:t>Inundation extent</w:t>
            </w:r>
            <w:r>
              <w:rPr>
                <w:b w:val="0"/>
                <w:sz w:val="19"/>
                <w:szCs w:val="19"/>
              </w:rPr>
              <w:t xml:space="preserve"> zones.</w:t>
            </w:r>
          </w:p>
        </w:tc>
      </w:tr>
    </w:tbl>
    <w:p w14:paraId="3D8D63BA" w14:textId="77777777" w:rsidR="002C611C" w:rsidRDefault="002C611C" w:rsidP="002C611C">
      <w:pPr>
        <w:pStyle w:val="NoSpacing"/>
        <w:rPr>
          <w:rFonts w:ascii="Century Gothic" w:hAnsi="Century Gothic"/>
          <w:sz w:val="19"/>
          <w:szCs w:val="19"/>
        </w:rPr>
      </w:pPr>
    </w:p>
    <w:p w14:paraId="7437ABC3" w14:textId="77777777" w:rsidR="002C611C" w:rsidRPr="00BF0490" w:rsidRDefault="002C611C" w:rsidP="002C611C">
      <w:pPr>
        <w:spacing w:before="0" w:after="0" w:line="240" w:lineRule="auto"/>
        <w:jc w:val="left"/>
        <w:rPr>
          <w:color w:val="auto"/>
          <w:kern w:val="0"/>
          <w:sz w:val="19"/>
          <w:szCs w:val="19"/>
          <w:lang w:val="en-US" w:bidi="en-US"/>
        </w:rPr>
      </w:pPr>
      <w:r w:rsidRPr="00BF0490">
        <w:rPr>
          <w:color w:val="auto"/>
          <w:kern w:val="0"/>
          <w:sz w:val="19"/>
          <w:szCs w:val="19"/>
          <w:lang w:val="en-US" w:bidi="en-US"/>
        </w:rPr>
        <w:t>Contribution (to what extent CEW contributed towards the outcome, with the significance of the outcome considered):</w:t>
      </w:r>
    </w:p>
    <w:tbl>
      <w:tblPr>
        <w:tblW w:w="7278" w:type="dxa"/>
        <w:tblLook w:val="04A0" w:firstRow="1" w:lastRow="0" w:firstColumn="1" w:lastColumn="0" w:noHBand="0" w:noVBand="1"/>
      </w:tblPr>
      <w:tblGrid>
        <w:gridCol w:w="222"/>
        <w:gridCol w:w="1066"/>
        <w:gridCol w:w="222"/>
        <w:gridCol w:w="1069"/>
        <w:gridCol w:w="222"/>
        <w:gridCol w:w="1704"/>
        <w:gridCol w:w="222"/>
        <w:gridCol w:w="727"/>
        <w:gridCol w:w="222"/>
        <w:gridCol w:w="1144"/>
        <w:gridCol w:w="222"/>
        <w:gridCol w:w="1210"/>
      </w:tblGrid>
      <w:tr w:rsidR="002C611C" w:rsidRPr="00BF0490" w14:paraId="6048E6DA" w14:textId="77777777" w:rsidTr="002C611C">
        <w:tc>
          <w:tcPr>
            <w:tcW w:w="222" w:type="dxa"/>
            <w:shd w:val="clear" w:color="auto" w:fill="D9D9D9" w:themeFill="background1" w:themeFillShade="D9"/>
          </w:tcPr>
          <w:p w14:paraId="16C545D6" w14:textId="77777777" w:rsidR="002C611C" w:rsidRPr="00BF0490" w:rsidRDefault="002C611C" w:rsidP="002C611C">
            <w:pPr>
              <w:contextualSpacing/>
              <w:rPr>
                <w:sz w:val="19"/>
                <w:szCs w:val="19"/>
              </w:rPr>
            </w:pPr>
          </w:p>
        </w:tc>
        <w:tc>
          <w:tcPr>
            <w:tcW w:w="1066" w:type="dxa"/>
            <w:vAlign w:val="center"/>
          </w:tcPr>
          <w:p w14:paraId="2914EF19" w14:textId="77777777" w:rsidR="002C611C" w:rsidRPr="00BF0490" w:rsidRDefault="002C611C" w:rsidP="002C611C">
            <w:pPr>
              <w:contextualSpacing/>
              <w:rPr>
                <w:sz w:val="19"/>
                <w:szCs w:val="19"/>
              </w:rPr>
            </w:pPr>
            <w:r w:rsidRPr="00BF0490">
              <w:rPr>
                <w:sz w:val="19"/>
                <w:szCs w:val="19"/>
              </w:rPr>
              <w:t>Unknown</w:t>
            </w:r>
          </w:p>
        </w:tc>
        <w:tc>
          <w:tcPr>
            <w:tcW w:w="222" w:type="dxa"/>
            <w:shd w:val="clear" w:color="auto" w:fill="FF0000"/>
            <w:vAlign w:val="center"/>
          </w:tcPr>
          <w:p w14:paraId="23254915" w14:textId="77777777" w:rsidR="002C611C" w:rsidRPr="00BF0490" w:rsidRDefault="002C611C" w:rsidP="002C611C">
            <w:pPr>
              <w:contextualSpacing/>
              <w:rPr>
                <w:sz w:val="19"/>
                <w:szCs w:val="19"/>
              </w:rPr>
            </w:pPr>
          </w:p>
        </w:tc>
        <w:tc>
          <w:tcPr>
            <w:tcW w:w="1069" w:type="dxa"/>
            <w:vAlign w:val="center"/>
          </w:tcPr>
          <w:p w14:paraId="68716A8A" w14:textId="77777777" w:rsidR="002C611C" w:rsidRPr="00BF0490" w:rsidRDefault="002C611C" w:rsidP="002C611C">
            <w:pPr>
              <w:contextualSpacing/>
              <w:rPr>
                <w:sz w:val="19"/>
                <w:szCs w:val="19"/>
              </w:rPr>
            </w:pPr>
            <w:r w:rsidRPr="00BF0490">
              <w:rPr>
                <w:sz w:val="19"/>
                <w:szCs w:val="19"/>
              </w:rPr>
              <w:t>Negative</w:t>
            </w:r>
          </w:p>
        </w:tc>
        <w:tc>
          <w:tcPr>
            <w:tcW w:w="222" w:type="dxa"/>
            <w:shd w:val="clear" w:color="auto" w:fill="E2EFD9" w:themeFill="accent6" w:themeFillTint="33"/>
            <w:vAlign w:val="center"/>
          </w:tcPr>
          <w:p w14:paraId="62112E03" w14:textId="77777777" w:rsidR="002C611C" w:rsidRPr="00BF0490" w:rsidRDefault="002C611C" w:rsidP="002C611C">
            <w:pPr>
              <w:contextualSpacing/>
              <w:rPr>
                <w:sz w:val="19"/>
                <w:szCs w:val="19"/>
              </w:rPr>
            </w:pPr>
          </w:p>
        </w:tc>
        <w:tc>
          <w:tcPr>
            <w:tcW w:w="1704" w:type="dxa"/>
            <w:vAlign w:val="center"/>
          </w:tcPr>
          <w:p w14:paraId="481F08EC" w14:textId="77777777" w:rsidR="002C611C" w:rsidRPr="00BF0490" w:rsidRDefault="002C611C" w:rsidP="002C611C">
            <w:pPr>
              <w:contextualSpacing/>
              <w:rPr>
                <w:sz w:val="19"/>
                <w:szCs w:val="19"/>
              </w:rPr>
            </w:pPr>
            <w:r w:rsidRPr="00BF0490">
              <w:rPr>
                <w:sz w:val="19"/>
                <w:szCs w:val="19"/>
              </w:rPr>
              <w:t>None/negligible</w:t>
            </w:r>
          </w:p>
        </w:tc>
        <w:tc>
          <w:tcPr>
            <w:tcW w:w="222" w:type="dxa"/>
            <w:shd w:val="clear" w:color="auto" w:fill="A8D08D" w:themeFill="accent6" w:themeFillTint="99"/>
            <w:vAlign w:val="center"/>
          </w:tcPr>
          <w:p w14:paraId="69A62BC9" w14:textId="77777777" w:rsidR="002C611C" w:rsidRPr="00BF0490" w:rsidRDefault="002C611C" w:rsidP="002C611C">
            <w:pPr>
              <w:contextualSpacing/>
              <w:rPr>
                <w:sz w:val="19"/>
                <w:szCs w:val="19"/>
              </w:rPr>
            </w:pPr>
          </w:p>
        </w:tc>
        <w:tc>
          <w:tcPr>
            <w:tcW w:w="727" w:type="dxa"/>
            <w:vAlign w:val="center"/>
          </w:tcPr>
          <w:p w14:paraId="26EAA6FF" w14:textId="77777777" w:rsidR="002C611C" w:rsidRPr="00BF0490" w:rsidRDefault="002C611C" w:rsidP="002C611C">
            <w:pPr>
              <w:contextualSpacing/>
              <w:rPr>
                <w:sz w:val="19"/>
                <w:szCs w:val="19"/>
              </w:rPr>
            </w:pPr>
            <w:r w:rsidRPr="00BF0490">
              <w:rPr>
                <w:sz w:val="19"/>
                <w:szCs w:val="19"/>
              </w:rPr>
              <w:t>Minor</w:t>
            </w:r>
          </w:p>
        </w:tc>
        <w:tc>
          <w:tcPr>
            <w:tcW w:w="222" w:type="dxa"/>
            <w:shd w:val="clear" w:color="auto" w:fill="70AD47" w:themeFill="accent6"/>
            <w:vAlign w:val="center"/>
          </w:tcPr>
          <w:p w14:paraId="13154A79" w14:textId="77777777" w:rsidR="002C611C" w:rsidRPr="00BF0490" w:rsidRDefault="002C611C" w:rsidP="002C611C">
            <w:pPr>
              <w:contextualSpacing/>
              <w:rPr>
                <w:sz w:val="19"/>
                <w:szCs w:val="19"/>
              </w:rPr>
            </w:pPr>
          </w:p>
        </w:tc>
        <w:tc>
          <w:tcPr>
            <w:tcW w:w="1144" w:type="dxa"/>
            <w:vAlign w:val="center"/>
          </w:tcPr>
          <w:p w14:paraId="32D6C286" w14:textId="77777777" w:rsidR="002C611C" w:rsidRPr="00BF0490" w:rsidRDefault="002C611C" w:rsidP="002C611C">
            <w:pPr>
              <w:contextualSpacing/>
              <w:rPr>
                <w:sz w:val="19"/>
                <w:szCs w:val="19"/>
              </w:rPr>
            </w:pPr>
            <w:r w:rsidRPr="00BF0490">
              <w:rPr>
                <w:sz w:val="19"/>
                <w:szCs w:val="19"/>
              </w:rPr>
              <w:t>Moderate</w:t>
            </w:r>
          </w:p>
        </w:tc>
        <w:tc>
          <w:tcPr>
            <w:tcW w:w="222" w:type="dxa"/>
            <w:shd w:val="clear" w:color="auto" w:fill="5B9BD5" w:themeFill="accent1"/>
          </w:tcPr>
          <w:p w14:paraId="73F15BDA" w14:textId="77777777" w:rsidR="002C611C" w:rsidRPr="00BF0490" w:rsidRDefault="002C611C" w:rsidP="002C611C">
            <w:pPr>
              <w:contextualSpacing/>
              <w:rPr>
                <w:sz w:val="19"/>
                <w:szCs w:val="19"/>
              </w:rPr>
            </w:pPr>
          </w:p>
        </w:tc>
        <w:tc>
          <w:tcPr>
            <w:tcW w:w="236" w:type="dxa"/>
            <w:vAlign w:val="center"/>
          </w:tcPr>
          <w:p w14:paraId="0D5DBDD9" w14:textId="77777777" w:rsidR="002C611C" w:rsidRPr="00BF0490" w:rsidRDefault="002C611C" w:rsidP="002C611C">
            <w:pPr>
              <w:contextualSpacing/>
              <w:jc w:val="left"/>
              <w:rPr>
                <w:sz w:val="19"/>
                <w:szCs w:val="19"/>
              </w:rPr>
            </w:pPr>
            <w:r w:rsidRPr="00BF0490">
              <w:rPr>
                <w:sz w:val="19"/>
                <w:szCs w:val="19"/>
              </w:rPr>
              <w:t>Substantial</w:t>
            </w:r>
          </w:p>
        </w:tc>
      </w:tr>
    </w:tbl>
    <w:p w14:paraId="67CD1BCD" w14:textId="77777777" w:rsidR="002C611C" w:rsidRDefault="002C611C" w:rsidP="002C611C"/>
    <w:p w14:paraId="42B062CF" w14:textId="77777777" w:rsidR="002C611C" w:rsidRDefault="002C611C" w:rsidP="002C611C">
      <w:pPr>
        <w:pStyle w:val="Heading3"/>
      </w:pPr>
      <w:r w:rsidRPr="00E35C12">
        <w:t>Discussion</w:t>
      </w:r>
    </w:p>
    <w:p w14:paraId="03CB8927" w14:textId="77777777" w:rsidR="002C611C" w:rsidRDefault="002C611C" w:rsidP="002C611C">
      <w:r>
        <w:t xml:space="preserve">Results from monitoring in December 2019, after the spring flow pulse had transited the LMR, supported one of the hypotheses: </w:t>
      </w:r>
    </w:p>
    <w:p w14:paraId="32594A80" w14:textId="77777777" w:rsidR="002C611C" w:rsidRDefault="002C611C" w:rsidP="00103EF7">
      <w:pPr>
        <w:pStyle w:val="ListParagraph"/>
        <w:numPr>
          <w:ilvl w:val="0"/>
          <w:numId w:val="17"/>
        </w:numPr>
      </w:pPr>
      <w:r w:rsidRPr="00115B0F">
        <w:t>Increases in flow above regulated entitlement flow will result in increased water levels in the littoral zone that will facilitate the recruitment of floodplain and amphibious understorey species and in turn increase biological and functional diversity of the littoral zone plant community.</w:t>
      </w:r>
    </w:p>
    <w:p w14:paraId="268BE638" w14:textId="77777777" w:rsidR="002C611C" w:rsidRDefault="002C611C" w:rsidP="002C611C">
      <w:r>
        <w:t>As the spring pulse was almost entirely the result of the delivery of Commonwealth environmental water, this provided evidence that its delivery increased biological and functional diversity of the plant community.</w:t>
      </w:r>
    </w:p>
    <w:p w14:paraId="600BC463" w14:textId="77777777" w:rsidR="002C611C" w:rsidRDefault="002C611C" w:rsidP="002C611C">
      <w:r>
        <w:t>The spring pulse (and in turn the delivery of environmental water) significantly changed the plant communities in areas that were inundated and where soil moisture in the plant root zone increased. This was not unexpected as inundation changes the physicochemical environment and acts as an environmental sieve (</w:t>
      </w:r>
      <w:proofErr w:type="spellStart"/>
      <w:r w:rsidRPr="00B66097">
        <w:rPr>
          <w:i/>
          <w:iCs/>
        </w:rPr>
        <w:t>sensu</w:t>
      </w:r>
      <w:proofErr w:type="spellEnd"/>
      <w:r>
        <w:t xml:space="preserve"> van der </w:t>
      </w:r>
      <w:proofErr w:type="spellStart"/>
      <w:r>
        <w:t>Valk</w:t>
      </w:r>
      <w:proofErr w:type="spellEnd"/>
      <w:r>
        <w:t xml:space="preserve"> 1981) producing conditions that are hostile to some species but favourable to others (e.g. Nicol </w:t>
      </w:r>
      <w:r w:rsidRPr="00B66097">
        <w:rPr>
          <w:i/>
          <w:iCs/>
        </w:rPr>
        <w:t>et al.</w:t>
      </w:r>
      <w:r>
        <w:t xml:space="preserve"> 2003). There was evidence that many terrestrial taxa were extirpated </w:t>
      </w:r>
      <w:proofErr w:type="gramStart"/>
      <w:r>
        <w:t>as a result of</w:t>
      </w:r>
      <w:proofErr w:type="gramEnd"/>
      <w:r>
        <w:t xml:space="preserve"> inundation and, as water levels receded, there was recruitment of flood dependent and amphibious species. In the case of perennial amphibious species (e.g. </w:t>
      </w:r>
      <w:r w:rsidRPr="008A3224">
        <w:rPr>
          <w:i/>
          <w:iCs/>
        </w:rPr>
        <w:t xml:space="preserve">Cyperus </w:t>
      </w:r>
      <w:proofErr w:type="spellStart"/>
      <w:r w:rsidRPr="008A3224">
        <w:rPr>
          <w:i/>
          <w:iCs/>
        </w:rPr>
        <w:t>gymnocaulos</w:t>
      </w:r>
      <w:proofErr w:type="spellEnd"/>
      <w:r w:rsidRPr="008A3224">
        <w:rPr>
          <w:i/>
          <w:iCs/>
        </w:rPr>
        <w:t xml:space="preserve">, Juncus </w:t>
      </w:r>
      <w:proofErr w:type="spellStart"/>
      <w:r w:rsidRPr="008A3224">
        <w:rPr>
          <w:i/>
          <w:iCs/>
        </w:rPr>
        <w:t>usitatus</w:t>
      </w:r>
      <w:proofErr w:type="spellEnd"/>
      <w:r w:rsidRPr="008A3224">
        <w:rPr>
          <w:i/>
          <w:iCs/>
        </w:rPr>
        <w:t xml:space="preserve">, </w:t>
      </w:r>
      <w:proofErr w:type="spellStart"/>
      <w:r w:rsidRPr="008A3224">
        <w:rPr>
          <w:i/>
          <w:iCs/>
        </w:rPr>
        <w:t>Ludwigia</w:t>
      </w:r>
      <w:proofErr w:type="spellEnd"/>
      <w:r w:rsidRPr="008A3224">
        <w:rPr>
          <w:i/>
          <w:iCs/>
        </w:rPr>
        <w:t xml:space="preserve"> </w:t>
      </w:r>
      <w:proofErr w:type="spellStart"/>
      <w:r w:rsidRPr="008A3224">
        <w:rPr>
          <w:i/>
          <w:iCs/>
        </w:rPr>
        <w:t>peploides</w:t>
      </w:r>
      <w:proofErr w:type="spellEnd"/>
      <w:r>
        <w:t xml:space="preserve">), there may not have been recruitment from seed but increases in cover and number due to growth or clonal expansion (rhizomes of </w:t>
      </w:r>
      <w:r w:rsidRPr="008A3224">
        <w:rPr>
          <w:i/>
          <w:iCs/>
        </w:rPr>
        <w:t xml:space="preserve">Cyperus </w:t>
      </w:r>
      <w:proofErr w:type="spellStart"/>
      <w:r w:rsidRPr="008A3224">
        <w:rPr>
          <w:i/>
          <w:iCs/>
        </w:rPr>
        <w:t>gymnocaulos</w:t>
      </w:r>
      <w:proofErr w:type="spellEnd"/>
      <w:r>
        <w:t xml:space="preserve"> and </w:t>
      </w:r>
      <w:r w:rsidRPr="008A3224">
        <w:rPr>
          <w:i/>
          <w:iCs/>
        </w:rPr>
        <w:t xml:space="preserve">Juncus </w:t>
      </w:r>
      <w:proofErr w:type="spellStart"/>
      <w:r w:rsidRPr="008A3224">
        <w:rPr>
          <w:i/>
          <w:iCs/>
        </w:rPr>
        <w:t>usitatus</w:t>
      </w:r>
      <w:proofErr w:type="spellEnd"/>
      <w:r>
        <w:t xml:space="preserve"> were widespread throughout sites).</w:t>
      </w:r>
    </w:p>
    <w:p w14:paraId="3E7A0632" w14:textId="4A9CCC4B" w:rsidR="002C611C" w:rsidRDefault="002C611C" w:rsidP="002C611C">
      <w:r>
        <w:t xml:space="preserve">Whilst there were consistent patterns of floristic composition between zones in each reach there were large differences between reaches, </w:t>
      </w:r>
      <w:proofErr w:type="gramStart"/>
      <w:r>
        <w:t>in particular between</w:t>
      </w:r>
      <w:proofErr w:type="gramEnd"/>
      <w:r>
        <w:t xml:space="preserve"> Lock 1 and the other two reaches (</w:t>
      </w:r>
      <w:r>
        <w:fldChar w:fldCharType="begin"/>
      </w:r>
      <w:r>
        <w:instrText xml:space="preserve"> REF _Ref58354694 \h </w:instrText>
      </w:r>
      <w:r>
        <w:fldChar w:fldCharType="separate"/>
      </w:r>
      <w:r w:rsidR="006045CA">
        <w:t xml:space="preserve">Figure </w:t>
      </w:r>
      <w:r w:rsidR="006045CA">
        <w:rPr>
          <w:noProof/>
        </w:rPr>
        <w:t>37</w:t>
      </w:r>
      <w:r>
        <w:fldChar w:fldCharType="end"/>
      </w:r>
      <w:r>
        <w:t xml:space="preserve">; </w:t>
      </w:r>
      <w:r>
        <w:fldChar w:fldCharType="begin"/>
      </w:r>
      <w:r>
        <w:instrText xml:space="preserve"> REF _Ref58438840 \h </w:instrText>
      </w:r>
      <w:r>
        <w:fldChar w:fldCharType="separate"/>
      </w:r>
      <w:r w:rsidR="006045CA">
        <w:t xml:space="preserve">Figure </w:t>
      </w:r>
      <w:r w:rsidR="006045CA">
        <w:rPr>
          <w:noProof/>
        </w:rPr>
        <w:t>39</w:t>
      </w:r>
      <w:r>
        <w:fldChar w:fldCharType="end"/>
      </w:r>
      <w:r>
        <w:t>). The reach below Lock 1 had higher species richness across all zones, which is probably due to the more variable water levels in comparison to the Lock 4 and Lock 6 reaches (</w:t>
      </w:r>
      <w:r>
        <w:fldChar w:fldCharType="begin"/>
      </w:r>
      <w:r>
        <w:instrText xml:space="preserve"> REF _Ref58353126 \h </w:instrText>
      </w:r>
      <w:r>
        <w:fldChar w:fldCharType="separate"/>
      </w:r>
      <w:r w:rsidR="006045CA">
        <w:t xml:space="preserve">Figure </w:t>
      </w:r>
      <w:r w:rsidR="006045CA">
        <w:rPr>
          <w:noProof/>
        </w:rPr>
        <w:t>35</w:t>
      </w:r>
      <w:r>
        <w:fldChar w:fldCharType="end"/>
      </w:r>
      <w:r>
        <w:t>). The reach below Lock 1 is connected to the Lower Lakes and wind driven water level changes (seiches) driven by lakes Alexandrina and Albert impact this weir pool.</w:t>
      </w:r>
    </w:p>
    <w:p w14:paraId="6A4C8C25" w14:textId="61D5D72A" w:rsidR="002C611C" w:rsidRDefault="002C611C" w:rsidP="002C611C">
      <w:r>
        <w:t xml:space="preserve">Despite having higher species richness, </w:t>
      </w:r>
      <w:r w:rsidRPr="00DE3EA7">
        <w:rPr>
          <w:i/>
          <w:iCs/>
        </w:rPr>
        <w:t>Eucalyptus camaldulensis</w:t>
      </w:r>
      <w:r>
        <w:t xml:space="preserve"> (river red gum) seedlings were absent in the Lock 1 reach. Areas where </w:t>
      </w:r>
      <w:r w:rsidR="005E53ED">
        <w:rPr>
          <w:i/>
          <w:iCs/>
        </w:rPr>
        <w:t>E.</w:t>
      </w:r>
      <w:r w:rsidR="005E53ED" w:rsidRPr="00DE3EA7">
        <w:rPr>
          <w:i/>
          <w:iCs/>
        </w:rPr>
        <w:t xml:space="preserve"> </w:t>
      </w:r>
      <w:r w:rsidRPr="00DE3EA7">
        <w:rPr>
          <w:i/>
          <w:iCs/>
        </w:rPr>
        <w:t>camaldulensis</w:t>
      </w:r>
      <w:r>
        <w:t xml:space="preserve"> seedlings were present were typically bare or sparsely vegetated sand bars, which were not present downstream of Lock 1. In the Lock 4 and Lock 6 reaches, the flow pulse not only provided hydrological conditions favourable for </w:t>
      </w:r>
      <w:r w:rsidR="005E53ED">
        <w:rPr>
          <w:i/>
          <w:iCs/>
        </w:rPr>
        <w:t>E.</w:t>
      </w:r>
      <w:r w:rsidR="005E53ED" w:rsidRPr="00B8442F">
        <w:rPr>
          <w:i/>
          <w:iCs/>
        </w:rPr>
        <w:t xml:space="preserve"> </w:t>
      </w:r>
      <w:r w:rsidRPr="00B8442F">
        <w:rPr>
          <w:i/>
          <w:iCs/>
        </w:rPr>
        <w:t>camaldulensis</w:t>
      </w:r>
      <w:r>
        <w:t xml:space="preserve"> seed germination but also the patches of bare substrate these species require for establishment in their early life stages (</w:t>
      </w:r>
      <w:proofErr w:type="spellStart"/>
      <w:r w:rsidRPr="00A10776">
        <w:rPr>
          <w:i/>
          <w:iCs/>
        </w:rPr>
        <w:t>sensu</w:t>
      </w:r>
      <w:proofErr w:type="spellEnd"/>
      <w:r>
        <w:t xml:space="preserve"> Petit and </w:t>
      </w:r>
      <w:proofErr w:type="spellStart"/>
      <w:r>
        <w:t>Froend</w:t>
      </w:r>
      <w:proofErr w:type="spellEnd"/>
      <w:r>
        <w:t xml:space="preserve"> 2001). The presence of </w:t>
      </w:r>
      <w:r w:rsidR="005E53ED">
        <w:rPr>
          <w:i/>
          <w:iCs/>
        </w:rPr>
        <w:t>E.</w:t>
      </w:r>
      <w:r w:rsidR="005E53ED" w:rsidRPr="00A10776">
        <w:rPr>
          <w:i/>
          <w:iCs/>
        </w:rPr>
        <w:t xml:space="preserve"> </w:t>
      </w:r>
      <w:r w:rsidRPr="00A10776">
        <w:rPr>
          <w:i/>
          <w:iCs/>
        </w:rPr>
        <w:t>camaldulensis</w:t>
      </w:r>
      <w:r>
        <w:t xml:space="preserve"> seedlings is important because they are generally not recorded in the monitoring programs of other watering interventions such as pumping (</w:t>
      </w:r>
      <w:r w:rsidRPr="00A10776">
        <w:t xml:space="preserve">Nicol </w:t>
      </w:r>
      <w:r w:rsidRPr="00A10776">
        <w:rPr>
          <w:i/>
          <w:iCs/>
        </w:rPr>
        <w:t>et al.</w:t>
      </w:r>
      <w:r w:rsidRPr="00A10776">
        <w:t xml:space="preserve"> 2010, Nicol 2012</w:t>
      </w:r>
      <w:r>
        <w:t xml:space="preserve">), weir pool manipulation </w:t>
      </w:r>
      <w:r w:rsidRPr="002C7851">
        <w:t xml:space="preserve">(Gehrig </w:t>
      </w:r>
      <w:r w:rsidRPr="002C7851">
        <w:rPr>
          <w:i/>
          <w:iCs/>
        </w:rPr>
        <w:t>et al.</w:t>
      </w:r>
      <w:r w:rsidRPr="002C7851">
        <w:t xml:space="preserve"> 2015, Gehrig </w:t>
      </w:r>
      <w:r w:rsidRPr="002C7851">
        <w:rPr>
          <w:i/>
          <w:iCs/>
        </w:rPr>
        <w:t>et al.</w:t>
      </w:r>
      <w:r w:rsidRPr="002C7851">
        <w:t xml:space="preserve"> 2016)</w:t>
      </w:r>
      <w:r>
        <w:t xml:space="preserve"> and environmental regulator operation </w:t>
      </w:r>
      <w:r w:rsidRPr="00A10776">
        <w:t xml:space="preserve">(Nicol </w:t>
      </w:r>
      <w:r w:rsidRPr="00A10776">
        <w:rPr>
          <w:i/>
          <w:iCs/>
        </w:rPr>
        <w:t>et al.</w:t>
      </w:r>
      <w:r w:rsidRPr="00A10776">
        <w:t xml:space="preserve"> 2020)</w:t>
      </w:r>
      <w:r>
        <w:t xml:space="preserve">. </w:t>
      </w:r>
      <w:r w:rsidR="00BF0952">
        <w:t xml:space="preserve">In future vegetation surveys the locations of up to 100 </w:t>
      </w:r>
      <w:r w:rsidR="005E53ED">
        <w:rPr>
          <w:i/>
          <w:iCs/>
        </w:rPr>
        <w:t>E.</w:t>
      </w:r>
      <w:r w:rsidR="005E53ED" w:rsidRPr="00C1574C">
        <w:rPr>
          <w:i/>
          <w:iCs/>
        </w:rPr>
        <w:t xml:space="preserve"> </w:t>
      </w:r>
      <w:r w:rsidR="00BF0952" w:rsidRPr="00C1574C">
        <w:rPr>
          <w:i/>
          <w:iCs/>
        </w:rPr>
        <w:t>camaldulensis</w:t>
      </w:r>
      <w:r w:rsidR="00BF0952">
        <w:t xml:space="preserve"> seedlings in each reach will be recorded by GPS and their survivorship in the short to medium-term monitored.</w:t>
      </w:r>
    </w:p>
    <w:p w14:paraId="15A95B6F" w14:textId="07ED17A4" w:rsidR="002C611C" w:rsidRDefault="00074180" w:rsidP="002C611C">
      <w:r>
        <w:t xml:space="preserve">Whilst the highest species richness in all reaches occurred in areas </w:t>
      </w:r>
      <w:r w:rsidR="002C611C">
        <w:t>that were inundated by the spring pulse, amphibious and flood dependent species were present across all zones in all reaches (</w:t>
      </w:r>
      <w:r w:rsidR="002C611C">
        <w:fldChar w:fldCharType="begin"/>
      </w:r>
      <w:r w:rsidR="002C611C">
        <w:instrText xml:space="preserve"> REF _Ref58354694 \h </w:instrText>
      </w:r>
      <w:r w:rsidR="002C611C">
        <w:fldChar w:fldCharType="separate"/>
      </w:r>
      <w:r w:rsidR="006045CA">
        <w:t xml:space="preserve">Figure </w:t>
      </w:r>
      <w:r w:rsidR="006045CA">
        <w:rPr>
          <w:noProof/>
        </w:rPr>
        <w:t>37</w:t>
      </w:r>
      <w:r w:rsidR="002C611C">
        <w:fldChar w:fldCharType="end"/>
      </w:r>
      <w:r w:rsidR="002C611C">
        <w:t xml:space="preserve">; </w:t>
      </w:r>
      <w:r w:rsidR="002C611C">
        <w:fldChar w:fldCharType="begin"/>
      </w:r>
      <w:r w:rsidR="002C611C">
        <w:instrText xml:space="preserve"> REF _Ref58573865 \h </w:instrText>
      </w:r>
      <w:r w:rsidR="002C611C">
        <w:fldChar w:fldCharType="separate"/>
      </w:r>
      <w:r w:rsidR="006045CA">
        <w:t xml:space="preserve">Figure </w:t>
      </w:r>
      <w:r w:rsidR="006045CA">
        <w:rPr>
          <w:noProof/>
        </w:rPr>
        <w:t>38</w:t>
      </w:r>
      <w:r w:rsidR="002C611C">
        <w:fldChar w:fldCharType="end"/>
      </w:r>
      <w:r w:rsidR="002C611C">
        <w:t xml:space="preserve">). Many amphibious species, such as </w:t>
      </w:r>
      <w:r w:rsidR="005E53ED">
        <w:rPr>
          <w:i/>
          <w:iCs/>
        </w:rPr>
        <w:t>E.</w:t>
      </w:r>
      <w:r w:rsidR="005E53ED" w:rsidRPr="00435F6E">
        <w:rPr>
          <w:i/>
          <w:iCs/>
        </w:rPr>
        <w:t xml:space="preserve"> </w:t>
      </w:r>
      <w:r w:rsidR="002C611C" w:rsidRPr="00435F6E">
        <w:rPr>
          <w:i/>
          <w:iCs/>
        </w:rPr>
        <w:t>camaldulensis</w:t>
      </w:r>
      <w:r w:rsidR="002C611C">
        <w:t xml:space="preserve">, </w:t>
      </w:r>
      <w:r w:rsidR="002C611C" w:rsidRPr="00435F6E">
        <w:rPr>
          <w:i/>
          <w:iCs/>
        </w:rPr>
        <w:t xml:space="preserve">Duma </w:t>
      </w:r>
      <w:proofErr w:type="spellStart"/>
      <w:r w:rsidR="002C611C" w:rsidRPr="00435F6E">
        <w:rPr>
          <w:i/>
          <w:iCs/>
        </w:rPr>
        <w:t>florulenta</w:t>
      </w:r>
      <w:proofErr w:type="spellEnd"/>
      <w:r w:rsidR="002C611C">
        <w:rPr>
          <w:i/>
          <w:iCs/>
        </w:rPr>
        <w:t xml:space="preserve"> </w:t>
      </w:r>
      <w:r w:rsidR="002C611C" w:rsidRPr="00435F6E">
        <w:t>and</w:t>
      </w:r>
      <w:r w:rsidR="002C611C">
        <w:rPr>
          <w:i/>
          <w:iCs/>
        </w:rPr>
        <w:t xml:space="preserve"> Cyperus </w:t>
      </w:r>
      <w:proofErr w:type="spellStart"/>
      <w:r w:rsidR="002C611C">
        <w:rPr>
          <w:i/>
          <w:iCs/>
        </w:rPr>
        <w:t>gymnocaulos</w:t>
      </w:r>
      <w:proofErr w:type="spellEnd"/>
      <w:r w:rsidR="002C611C">
        <w:t xml:space="preserve"> are long-lived perennials that are tolerant to low soil moisture (Cunningham </w:t>
      </w:r>
      <w:r w:rsidR="002C611C" w:rsidRPr="00435F6E">
        <w:rPr>
          <w:i/>
          <w:iCs/>
        </w:rPr>
        <w:t>et al.</w:t>
      </w:r>
      <w:r w:rsidR="002C611C">
        <w:t xml:space="preserve"> 1992) and are widespread across the entire floodplain. In addition, there were many flood dependent and amphibious species present in the </w:t>
      </w:r>
      <w:r w:rsidR="002C611C" w:rsidRPr="00240018">
        <w:rPr>
          <w:i/>
          <w:iCs/>
        </w:rPr>
        <w:t>Not inundated</w:t>
      </w:r>
      <w:r w:rsidR="002C611C">
        <w:t xml:space="preserve"> zone that had recruited in response to the 2016 flood (J. Nicol </w:t>
      </w:r>
      <w:r w:rsidR="002C611C" w:rsidRPr="000179C9">
        <w:rPr>
          <w:i/>
          <w:iCs/>
        </w:rPr>
        <w:t>pers. obs.</w:t>
      </w:r>
      <w:r w:rsidR="002C611C">
        <w:t xml:space="preserve">), which may have resulted in there being less difference in plant communities between inundated and </w:t>
      </w:r>
      <w:r>
        <w:t xml:space="preserve">non-inundated </w:t>
      </w:r>
      <w:r w:rsidR="002C611C">
        <w:t xml:space="preserve">areas. In future surveys the impact of the 2016 flood in the </w:t>
      </w:r>
      <w:r w:rsidR="002C611C" w:rsidRPr="00240018">
        <w:rPr>
          <w:i/>
          <w:iCs/>
        </w:rPr>
        <w:t>Not inundated</w:t>
      </w:r>
      <w:r w:rsidR="002C611C">
        <w:t xml:space="preserve"> zone will become less evident in the absence of large overbank floods.</w:t>
      </w:r>
    </w:p>
    <w:p w14:paraId="1D256BB2" w14:textId="77777777" w:rsidR="002C611C" w:rsidRDefault="002C611C" w:rsidP="002C611C">
      <w:r>
        <w:t>The second monitoring hypothesis was not supported by the results:</w:t>
      </w:r>
    </w:p>
    <w:p w14:paraId="3FA1523F" w14:textId="6EAFABB1" w:rsidR="002C611C" w:rsidRDefault="002C611C" w:rsidP="00103EF7">
      <w:pPr>
        <w:pStyle w:val="ListParagraph"/>
        <w:numPr>
          <w:ilvl w:val="0"/>
          <w:numId w:val="17"/>
        </w:numPr>
      </w:pPr>
      <w:r w:rsidRPr="00115B0F">
        <w:t xml:space="preserve">The increase in water level due to increases in flow above regulated entitlement flow will result in increased productivity of littoral vegetation </w:t>
      </w:r>
      <w:r>
        <w:t xml:space="preserve">in areas inundated </w:t>
      </w:r>
      <w:r w:rsidRPr="00115B0F">
        <w:t xml:space="preserve">compared to </w:t>
      </w:r>
      <w:r w:rsidR="00E02C97">
        <w:t xml:space="preserve">non-inundated </w:t>
      </w:r>
      <w:r w:rsidRPr="00115B0F">
        <w:t>areas.</w:t>
      </w:r>
    </w:p>
    <w:p w14:paraId="2ADD18C6" w14:textId="17BB9F15" w:rsidR="002C611C" w:rsidRDefault="002C611C" w:rsidP="002C611C">
      <w:r>
        <w:t xml:space="preserve">Patterns of above ground biomass at the different inundation zones varied between reaches. The patterns at the Lock 6 reach generally supported the hypothesis but it is unlikely that the differences between zones, </w:t>
      </w:r>
      <w:proofErr w:type="gramStart"/>
      <w:r>
        <w:t>with the exception of</w:t>
      </w:r>
      <w:proofErr w:type="gramEnd"/>
      <w:r>
        <w:t xml:space="preserve"> the </w:t>
      </w:r>
      <w:r w:rsidRPr="00240018">
        <w:rPr>
          <w:i/>
          <w:iCs/>
        </w:rPr>
        <w:t>Not inundated</w:t>
      </w:r>
      <w:r>
        <w:t xml:space="preserve"> zone, are significantly different (</w:t>
      </w:r>
      <w:r>
        <w:fldChar w:fldCharType="begin"/>
      </w:r>
      <w:r>
        <w:instrText xml:space="preserve"> REF _Ref58589490 \h </w:instrText>
      </w:r>
      <w:r>
        <w:fldChar w:fldCharType="separate"/>
      </w:r>
      <w:r w:rsidR="006045CA">
        <w:t xml:space="preserve">Figure </w:t>
      </w:r>
      <w:r w:rsidR="006045CA">
        <w:rPr>
          <w:noProof/>
        </w:rPr>
        <w:t>41</w:t>
      </w:r>
      <w:r>
        <w:fldChar w:fldCharType="end"/>
      </w:r>
      <w:r>
        <w:t xml:space="preserve">). The pattern downstream of Lock 4 was completely different with low biomass at </w:t>
      </w:r>
      <w:r w:rsidR="00240018" w:rsidRPr="00240018">
        <w:rPr>
          <w:i/>
          <w:iCs/>
        </w:rPr>
        <w:t>P</w:t>
      </w:r>
      <w:r w:rsidRPr="00240018">
        <w:rPr>
          <w:i/>
          <w:iCs/>
        </w:rPr>
        <w:t>ool level</w:t>
      </w:r>
      <w:r>
        <w:t xml:space="preserve"> and the highest on the edge of the inundation footprint (</w:t>
      </w:r>
      <w:r>
        <w:fldChar w:fldCharType="begin"/>
      </w:r>
      <w:r>
        <w:instrText xml:space="preserve"> REF _Ref58589490 \h </w:instrText>
      </w:r>
      <w:r>
        <w:fldChar w:fldCharType="separate"/>
      </w:r>
      <w:r w:rsidR="006045CA">
        <w:t xml:space="preserve">Figure </w:t>
      </w:r>
      <w:r w:rsidR="006045CA">
        <w:rPr>
          <w:noProof/>
        </w:rPr>
        <w:t>41</w:t>
      </w:r>
      <w:r>
        <w:fldChar w:fldCharType="end"/>
      </w:r>
      <w:r>
        <w:t xml:space="preserve">). </w:t>
      </w:r>
      <w:r w:rsidR="00074180">
        <w:t xml:space="preserve">Downstream from Lock 1 </w:t>
      </w:r>
      <w:r>
        <w:t>biomass decreased with decreasing elevation (</w:t>
      </w:r>
      <w:r>
        <w:fldChar w:fldCharType="begin"/>
      </w:r>
      <w:r>
        <w:instrText xml:space="preserve"> REF _Ref58589490 \h </w:instrText>
      </w:r>
      <w:r>
        <w:fldChar w:fldCharType="separate"/>
      </w:r>
      <w:r w:rsidR="006045CA">
        <w:t xml:space="preserve">Figure </w:t>
      </w:r>
      <w:r w:rsidR="006045CA">
        <w:rPr>
          <w:noProof/>
        </w:rPr>
        <w:t>41</w:t>
      </w:r>
      <w:r>
        <w:fldChar w:fldCharType="end"/>
      </w:r>
      <w:r>
        <w:t xml:space="preserve">). </w:t>
      </w:r>
    </w:p>
    <w:p w14:paraId="7F0C2E41" w14:textId="5820F287" w:rsidR="002C611C" w:rsidRDefault="002C611C" w:rsidP="002C611C">
      <w:r>
        <w:t xml:space="preserve">It is unclear why above ground biomass patterns were different at each reach. High biomass in the </w:t>
      </w:r>
      <w:r w:rsidRPr="00240018">
        <w:rPr>
          <w:i/>
          <w:iCs/>
        </w:rPr>
        <w:t>Not inundated</w:t>
      </w:r>
      <w:r>
        <w:t xml:space="preserve"> zone was probably the result of the 2016 flood; however, this was not evident in the Lock 6 reach (</w:t>
      </w:r>
      <w:r>
        <w:fldChar w:fldCharType="begin"/>
      </w:r>
      <w:r>
        <w:instrText xml:space="preserve"> REF _Ref58589490 \h </w:instrText>
      </w:r>
      <w:r>
        <w:fldChar w:fldCharType="separate"/>
      </w:r>
      <w:r w:rsidR="006045CA">
        <w:t xml:space="preserve">Figure </w:t>
      </w:r>
      <w:r w:rsidR="006045CA">
        <w:rPr>
          <w:noProof/>
        </w:rPr>
        <w:t>41</w:t>
      </w:r>
      <w:r>
        <w:fldChar w:fldCharType="end"/>
      </w:r>
      <w:r>
        <w:t xml:space="preserve">). There was evidence to suggest that increased root zone soil moisture at the </w:t>
      </w:r>
      <w:r w:rsidRPr="00240018">
        <w:rPr>
          <w:i/>
          <w:iCs/>
        </w:rPr>
        <w:t>Inundation extent</w:t>
      </w:r>
      <w:r>
        <w:t xml:space="preserve"> zone resulted in increased growth of the extant vegetation. This was clear in the Lock 4 reach, with relatively high biomass also recorded in the other two reaches (</w:t>
      </w:r>
      <w:r>
        <w:fldChar w:fldCharType="begin"/>
      </w:r>
      <w:r>
        <w:instrText xml:space="preserve"> REF _Ref58589490 \h </w:instrText>
      </w:r>
      <w:r>
        <w:fldChar w:fldCharType="separate"/>
      </w:r>
      <w:r w:rsidR="006045CA">
        <w:t xml:space="preserve">Figure </w:t>
      </w:r>
      <w:r w:rsidR="006045CA">
        <w:rPr>
          <w:noProof/>
        </w:rPr>
        <w:t>41</w:t>
      </w:r>
      <w:r>
        <w:fldChar w:fldCharType="end"/>
      </w:r>
      <w:r>
        <w:t>).</w:t>
      </w:r>
    </w:p>
    <w:p w14:paraId="11577B03" w14:textId="6C8FB53F" w:rsidR="002C611C" w:rsidRDefault="002C611C" w:rsidP="002C611C">
      <w:r>
        <w:t xml:space="preserve">Finally, the results (in particular, diversity and plant communities) showed that the elevation gradient can be used to demonstrate the benefit of environmental water when the water is used to create a flow pulse. In future years, the approach will be modified for different patterns of water delivery as it does not require the use of fixed position quadrats. In other monitoring programs where fixed position quadrats were used to monitor the change in vegetation before and after an intervention (e.g. Chowilla intervention monitoring) (Nicol </w:t>
      </w:r>
      <w:r w:rsidRPr="007A4E6E">
        <w:rPr>
          <w:i/>
          <w:iCs/>
        </w:rPr>
        <w:t>et al.</w:t>
      </w:r>
      <w:r>
        <w:t xml:space="preserve"> 2010; Nicol 2012), the zones of highest diversity and biomass after the intervention were often not sampled because there were no quadrats present. Comparing vegetation along an elevation gradient and positioning quadrats in relation to water delivery ensures that all important zones are monitored. The main drawback to this approach is that change through time is not measured but this can be overcome by having a sub-set of quadrats at fixed elevations surveyed every year. </w:t>
      </w:r>
    </w:p>
    <w:p w14:paraId="6416DE41" w14:textId="77777777" w:rsidR="002C611C" w:rsidRDefault="002C611C" w:rsidP="002C611C">
      <w:pPr>
        <w:pStyle w:val="Heading3"/>
      </w:pPr>
      <w:r>
        <w:t>Management implications</w:t>
      </w:r>
    </w:p>
    <w:p w14:paraId="5C595E58" w14:textId="67F3B897" w:rsidR="002C611C" w:rsidRDefault="002C611C" w:rsidP="002C611C">
      <w:r>
        <w:t xml:space="preserve">Results from the 2019-20 water year showed that delivery of a spring pulse was beneficial for littoral vegetation diversity, but the influence was unclear with regards to above ground biomass in the LMR. Delivering environmental water to support a spring flow pulse in the river channel reinstates part of the natural hydrograph. The increase in water level is coupled with an increase in water velocity and in turn hydraulic complexity and lateral and longitudinal connectivity. This is in contrast to other watering interventions commonly undertaken in the </w:t>
      </w:r>
      <w:r w:rsidR="00CD41EB">
        <w:t>LMR</w:t>
      </w:r>
      <w:r>
        <w:t xml:space="preserve"> such as weir pool raising and environmental regulator operation, where the water level rise is decoupled from the increase in flow velocity, or pumping where there is no connectivity with the river channel. Whilst these differences probably have less consequences for plants compared to other biotic groups, as water level is the key driver of plant communities and species typically have persistent (</w:t>
      </w:r>
      <w:proofErr w:type="spellStart"/>
      <w:r w:rsidRPr="00172876">
        <w:rPr>
          <w:i/>
          <w:iCs/>
        </w:rPr>
        <w:t>sensu</w:t>
      </w:r>
      <w:proofErr w:type="spellEnd"/>
      <w:r>
        <w:t xml:space="preserve"> Thompson 1992) or aerial seed banks (Nicol 2004), they may be significant. Although it is impossible to make direct comparisons between this study and other vegetation monitoring programs undertaken in the LMR; the presence of </w:t>
      </w:r>
      <w:r w:rsidRPr="002C7851">
        <w:rPr>
          <w:i/>
          <w:iCs/>
        </w:rPr>
        <w:t>Eucalyptus camaldulensis</w:t>
      </w:r>
      <w:r>
        <w:t xml:space="preserve"> seedlings is one significant outcome that is different between this intervention and other watering interventions, such as weir pool raising, regulator operation and pumping where they were </w:t>
      </w:r>
      <w:r w:rsidR="00A22C90">
        <w:t>not observed (</w:t>
      </w:r>
      <w:r w:rsidR="00A22C90" w:rsidRPr="00A10776">
        <w:t xml:space="preserve">Nicol </w:t>
      </w:r>
      <w:r w:rsidRPr="00A10776">
        <w:rPr>
          <w:i/>
          <w:iCs/>
        </w:rPr>
        <w:t>et al.</w:t>
      </w:r>
      <w:r w:rsidRPr="00A10776">
        <w:t xml:space="preserve"> 2010</w:t>
      </w:r>
      <w:r>
        <w:t>;</w:t>
      </w:r>
      <w:r w:rsidRPr="00A10776">
        <w:t xml:space="preserve"> Nicol 2012</w:t>
      </w:r>
      <w:r>
        <w:t xml:space="preserve">; </w:t>
      </w:r>
      <w:r w:rsidRPr="00C92AC5">
        <w:t xml:space="preserve">Gehrig </w:t>
      </w:r>
      <w:r w:rsidRPr="00C92AC5">
        <w:rPr>
          <w:i/>
          <w:iCs/>
        </w:rPr>
        <w:t>et al.</w:t>
      </w:r>
      <w:r w:rsidRPr="00C92AC5">
        <w:t xml:space="preserve"> 2015</w:t>
      </w:r>
      <w:r>
        <w:t>;</w:t>
      </w:r>
      <w:r w:rsidRPr="00C92AC5">
        <w:t xml:space="preserve"> Gehrig </w:t>
      </w:r>
      <w:r w:rsidRPr="00C92AC5">
        <w:rPr>
          <w:i/>
          <w:iCs/>
        </w:rPr>
        <w:t>et al.</w:t>
      </w:r>
      <w:r w:rsidRPr="00C92AC5">
        <w:t xml:space="preserve"> 2016</w:t>
      </w:r>
      <w:r>
        <w:t xml:space="preserve">; Nicol </w:t>
      </w:r>
      <w:r w:rsidRPr="00C92AC5">
        <w:rPr>
          <w:i/>
          <w:iCs/>
        </w:rPr>
        <w:t>et al.</w:t>
      </w:r>
      <w:r>
        <w:t xml:space="preserve"> 2020</w:t>
      </w:r>
      <w:r w:rsidRPr="00C92AC5">
        <w:t>)</w:t>
      </w:r>
      <w:r>
        <w:t xml:space="preserve">. Another benefit of water delivery as a flow pulse is that it supports hydrochory (dispersal of propagules by water), which is a significant source of propagule input to inundated areas (Gibbs </w:t>
      </w:r>
      <w:r w:rsidRPr="00286C07">
        <w:rPr>
          <w:i/>
          <w:iCs/>
        </w:rPr>
        <w:t>et al.</w:t>
      </w:r>
      <w:r>
        <w:t xml:space="preserve"> 2020). These results provide evidence that water delivery as a pulse is preferable compared to using environmental water to support weir pool raising, regulator operation or pumping. Whi</w:t>
      </w:r>
      <w:r w:rsidR="00BF0952">
        <w:t>l</w:t>
      </w:r>
      <w:r>
        <w:t xml:space="preserve">st the </w:t>
      </w:r>
      <w:proofErr w:type="gramStart"/>
      <w:r>
        <w:t>aforementioned interventions</w:t>
      </w:r>
      <w:proofErr w:type="gramEnd"/>
      <w:r>
        <w:t xml:space="preserve"> have positive outcomes for vegetation, they should be </w:t>
      </w:r>
      <w:r w:rsidR="00A22C90">
        <w:t>seen as measures for maintaining perennial vegetation during extended periods of low flow.</w:t>
      </w:r>
    </w:p>
    <w:p w14:paraId="6B854409" w14:textId="398D6475" w:rsidR="002C611C" w:rsidRDefault="00074180" w:rsidP="002C611C">
      <w:r>
        <w:t xml:space="preserve">One </w:t>
      </w:r>
      <w:r w:rsidR="00F83531">
        <w:t>drawback</w:t>
      </w:r>
      <w:r>
        <w:t xml:space="preserve"> of </w:t>
      </w:r>
      <w:r w:rsidR="002C611C">
        <w:t xml:space="preserve">the flow pulse was the recruitment of several exotic species, in particular the proclaimed pest plant </w:t>
      </w:r>
      <w:r w:rsidR="002C611C" w:rsidRPr="00944971">
        <w:rPr>
          <w:i/>
          <w:iCs/>
        </w:rPr>
        <w:t>Xanthium occidentale</w:t>
      </w:r>
      <w:r w:rsidR="002C611C">
        <w:t xml:space="preserve">. This species is a common amphibious pest plant on stream banks, floodplains and in temporary wetlands </w:t>
      </w:r>
      <w:r w:rsidR="002C611C" w:rsidRPr="006B4755">
        <w:t>(Hocking 1983</w:t>
      </w:r>
      <w:r w:rsidR="002C611C">
        <w:t>;</w:t>
      </w:r>
      <w:r w:rsidR="002C611C" w:rsidRPr="006B4755">
        <w:t xml:space="preserve"> Nicol </w:t>
      </w:r>
      <w:r w:rsidR="002C611C" w:rsidRPr="006B4755">
        <w:rPr>
          <w:i/>
          <w:iCs/>
        </w:rPr>
        <w:t>et al.</w:t>
      </w:r>
      <w:r w:rsidR="002C611C" w:rsidRPr="006B4755">
        <w:t xml:space="preserve"> 2018b)</w:t>
      </w:r>
      <w:r w:rsidR="002C611C">
        <w:t xml:space="preserve"> and is an unavoidable consequence of flooding or watering interventions in the </w:t>
      </w:r>
      <w:r w:rsidR="00CD41EB">
        <w:t>LMR</w:t>
      </w:r>
      <w:r w:rsidR="002C611C">
        <w:t xml:space="preserve">. The proximity to water prohibits the use of </w:t>
      </w:r>
      <w:r w:rsidR="00311502">
        <w:t>herbicides</w:t>
      </w:r>
      <w:r w:rsidR="002C611C">
        <w:t>, which makes control of pest plants difficult in littoral zones, but the benefits to native species as observed in this instance outweigh the negative impacts of pest plants.</w:t>
      </w:r>
    </w:p>
    <w:p w14:paraId="7F1ACA25" w14:textId="77777777" w:rsidR="00BF0952" w:rsidRDefault="00BF0952" w:rsidP="00BF0952">
      <w:pPr>
        <w:pStyle w:val="Heading3"/>
      </w:pPr>
      <w:r>
        <w:t>Conclusions</w:t>
      </w:r>
    </w:p>
    <w:p w14:paraId="0F9CA7BE" w14:textId="12FE3D1E" w:rsidR="00BE09D3" w:rsidRDefault="002C611C" w:rsidP="00846CBB">
      <w:pPr>
        <w:rPr>
          <w:rFonts w:eastAsiaTheme="majorEastAsia" w:cstheme="majorBidi"/>
          <w:color w:val="44546A" w:themeColor="text2"/>
          <w:sz w:val="26"/>
          <w:szCs w:val="26"/>
        </w:rPr>
      </w:pPr>
      <w:r>
        <w:t xml:space="preserve">The 2019-20 flow pulse (and in turn environmental water delivery) resulted in changes to the littoral plant community in areas that were inundated resulted in increased species and functional diversity. Water delivery also provided hydrological conditions to support </w:t>
      </w:r>
      <w:r w:rsidRPr="00477540">
        <w:rPr>
          <w:i/>
          <w:iCs/>
        </w:rPr>
        <w:t>Eucalyptus camaldulensis</w:t>
      </w:r>
      <w:r>
        <w:t xml:space="preserve"> germination</w:t>
      </w:r>
      <w:r w:rsidRPr="00F414C6">
        <w:t xml:space="preserve"> </w:t>
      </w:r>
      <w:r>
        <w:t xml:space="preserve">in areas where vegetation is sparse or absent. Patterns of biomass could not be related to water delivery and were inconclusive in 2019-20.  </w:t>
      </w:r>
      <w:r w:rsidR="00BE09D3">
        <w:br w:type="page"/>
      </w:r>
    </w:p>
    <w:p w14:paraId="35252EA4" w14:textId="08D7A139" w:rsidR="00914280" w:rsidRPr="00E35C12" w:rsidRDefault="00914280" w:rsidP="00914280">
      <w:pPr>
        <w:pStyle w:val="Heading2"/>
        <w:rPr>
          <w:i/>
        </w:rPr>
      </w:pPr>
      <w:bookmarkStart w:id="224" w:name="_Toc69309242"/>
      <w:proofErr w:type="spellStart"/>
      <w:r w:rsidRPr="00E35C12">
        <w:t>Microinvertebrate</w:t>
      </w:r>
      <w:proofErr w:type="spellEnd"/>
      <w:r w:rsidR="00846CBB">
        <w:t xml:space="preserve"> Asse</w:t>
      </w:r>
      <w:r w:rsidR="00846CBB" w:rsidRPr="00E35BD5">
        <w:t>mbla</w:t>
      </w:r>
      <w:r w:rsidR="00846CBB">
        <w:t>ge</w:t>
      </w:r>
      <w:bookmarkEnd w:id="201"/>
      <w:bookmarkEnd w:id="224"/>
    </w:p>
    <w:p w14:paraId="3627F41F" w14:textId="77777777" w:rsidR="001E11D2" w:rsidRPr="00BF0005" w:rsidRDefault="001E11D2" w:rsidP="001E11D2">
      <w:pPr>
        <w:pStyle w:val="Heading3"/>
      </w:pPr>
      <w:r w:rsidRPr="00E35C12">
        <w:t>Background</w:t>
      </w:r>
    </w:p>
    <w:p w14:paraId="4418DBA7" w14:textId="0ED3760A" w:rsidR="00EA35F8" w:rsidRPr="00BF0005" w:rsidRDefault="00EA35F8" w:rsidP="00EA35F8">
      <w:r w:rsidRPr="00BF0005">
        <w:t xml:space="preserve">To date, more than 400 species of planktonic and littoral </w:t>
      </w:r>
      <w:proofErr w:type="spellStart"/>
      <w:r w:rsidRPr="00BF0005">
        <w:t>microinvertebrates</w:t>
      </w:r>
      <w:proofErr w:type="spellEnd"/>
      <w:r w:rsidRPr="00BF0005">
        <w:t xml:space="preserve"> (protists, rotifers and microcrustaceans) have been identified in the </w:t>
      </w:r>
      <w:r>
        <w:t>LMR</w:t>
      </w:r>
      <w:r w:rsidRPr="00BF0005">
        <w:t xml:space="preserve"> and Lower Lakes. This assemblage provides an important food resource for a range of higher order </w:t>
      </w:r>
      <w:r w:rsidRPr="00291D53">
        <w:t xml:space="preserve">consumers (Shiel </w:t>
      </w:r>
      <w:r w:rsidRPr="00BE1769">
        <w:rPr>
          <w:i/>
          <w:iCs/>
        </w:rPr>
        <w:t>et al</w:t>
      </w:r>
      <w:r w:rsidRPr="00291D53">
        <w:t xml:space="preserve">. 1982; Shiel and Aldridge 2011; Shiel and Tan 2013a, </w:t>
      </w:r>
      <w:r w:rsidR="0089410C">
        <w:t>2013</w:t>
      </w:r>
      <w:r w:rsidRPr="00291D53">
        <w:t xml:space="preserve">b). </w:t>
      </w:r>
      <w:r w:rsidRPr="00BF0005">
        <w:t xml:space="preserve">Different habitat types </w:t>
      </w:r>
      <w:r>
        <w:t>support</w:t>
      </w:r>
      <w:r w:rsidRPr="00BF0005">
        <w:t xml:space="preserve"> different assemblages of </w:t>
      </w:r>
      <w:proofErr w:type="spellStart"/>
      <w:r w:rsidRPr="00BF0005">
        <w:t>microinvertebrates</w:t>
      </w:r>
      <w:proofErr w:type="spellEnd"/>
      <w:r w:rsidRPr="00BF0005">
        <w:t xml:space="preserve"> within riverine ecosystems, and at the simplest level can be classified as either littoral, limnetic, </w:t>
      </w:r>
      <w:proofErr w:type="gramStart"/>
      <w:r w:rsidRPr="00BF0005">
        <w:t>lotic</w:t>
      </w:r>
      <w:proofErr w:type="gramEnd"/>
      <w:r w:rsidRPr="00BF0005">
        <w:t xml:space="preserve"> or benthic. </w:t>
      </w:r>
    </w:p>
    <w:p w14:paraId="08AF676B" w14:textId="07930F36" w:rsidR="00EA35F8" w:rsidRPr="00BF0005" w:rsidRDefault="00074180" w:rsidP="00EA35F8">
      <w:proofErr w:type="spellStart"/>
      <w:r w:rsidRPr="00BF0005">
        <w:t>Microinvertebrates</w:t>
      </w:r>
      <w:proofErr w:type="spellEnd"/>
      <w:r w:rsidRPr="00BF0005">
        <w:t xml:space="preserve"> are rapid responders to environmental flows</w:t>
      </w:r>
      <w:r w:rsidR="00F83531">
        <w:t>.</w:t>
      </w:r>
      <w:r w:rsidRPr="00BF0005">
        <w:t xml:space="preserve"> </w:t>
      </w:r>
      <w:r w:rsidR="00F83531">
        <w:t>W</w:t>
      </w:r>
      <w:r w:rsidRPr="00BF0005">
        <w:t xml:space="preserve">ithin habitats that undergo wetting and drying cycles (e.g. the littoral zone and floodplains), </w:t>
      </w:r>
      <w:r>
        <w:t xml:space="preserve">these </w:t>
      </w:r>
      <w:r w:rsidRPr="00BF0005">
        <w:t xml:space="preserve">organisms start to emerge from an egg-bank and begin to reproduce within hours of </w:t>
      </w:r>
      <w:r w:rsidRPr="00291D53">
        <w:t xml:space="preserve">inundation (Tan and Shiel 1993). </w:t>
      </w:r>
      <w:r w:rsidRPr="00BF0005">
        <w:t xml:space="preserve">Therefore, a healthy egg-bank, which is primarily a result of </w:t>
      </w:r>
      <w:r>
        <w:t xml:space="preserve">a </w:t>
      </w:r>
      <w:r w:rsidRPr="00BF0005">
        <w:t>long-term flooding regime</w:t>
      </w:r>
      <w:r w:rsidR="00EA35F8" w:rsidRPr="00BF0005">
        <w:t xml:space="preserve">, is an important driver of the magnitude of response to inundation </w:t>
      </w:r>
      <w:r w:rsidR="00EA35F8" w:rsidRPr="00291D53">
        <w:t xml:space="preserve">(Boulton and Lloyd 1992). Once </w:t>
      </w:r>
      <w:r w:rsidR="00EA35F8" w:rsidRPr="00BF0005">
        <w:t xml:space="preserve">inundated, longer water residence times (WRT) will result in higher </w:t>
      </w:r>
      <w:r w:rsidR="00EA35F8">
        <w:t>density</w:t>
      </w:r>
      <w:r w:rsidR="00EA35F8" w:rsidRPr="00BF0005">
        <w:t xml:space="preserve"> and biomass of organisms and result in a shift from rotifer to crustacean dominated </w:t>
      </w:r>
      <w:r w:rsidR="00EA35F8" w:rsidRPr="00291D53">
        <w:t xml:space="preserve">communities (e.g. </w:t>
      </w:r>
      <w:proofErr w:type="spellStart"/>
      <w:r w:rsidR="0089410C" w:rsidRPr="00291D53">
        <w:t>Basu</w:t>
      </w:r>
      <w:proofErr w:type="spellEnd"/>
      <w:r w:rsidR="0089410C" w:rsidRPr="00291D53">
        <w:t xml:space="preserve"> and Pick 1996; </w:t>
      </w:r>
      <w:proofErr w:type="spellStart"/>
      <w:r w:rsidR="00EA35F8" w:rsidRPr="00291D53">
        <w:t>Baranyi</w:t>
      </w:r>
      <w:proofErr w:type="spellEnd"/>
      <w:r w:rsidR="00EA35F8" w:rsidRPr="00291D53">
        <w:t xml:space="preserve"> </w:t>
      </w:r>
      <w:r w:rsidR="00EA35F8" w:rsidRPr="00BE1769">
        <w:rPr>
          <w:i/>
          <w:iCs/>
        </w:rPr>
        <w:t>et al</w:t>
      </w:r>
      <w:r w:rsidR="00EA35F8" w:rsidRPr="00291D53">
        <w:t xml:space="preserve">. 2002; </w:t>
      </w:r>
      <w:proofErr w:type="spellStart"/>
      <w:r w:rsidR="00EA35F8" w:rsidRPr="00291D53">
        <w:t>Obertegger</w:t>
      </w:r>
      <w:proofErr w:type="spellEnd"/>
      <w:r w:rsidR="00EA35F8" w:rsidRPr="00291D53">
        <w:t xml:space="preserve"> </w:t>
      </w:r>
      <w:r w:rsidR="00EA35F8" w:rsidRPr="00BE1769">
        <w:rPr>
          <w:i/>
          <w:iCs/>
        </w:rPr>
        <w:t>et al</w:t>
      </w:r>
      <w:r w:rsidR="00EA35F8" w:rsidRPr="00291D53">
        <w:t xml:space="preserve">. 2007). </w:t>
      </w:r>
      <w:r w:rsidR="00EA35F8" w:rsidRPr="00BF0005">
        <w:t xml:space="preserve">Therefore, habitats such as littoral zones and floodplains favour the development of abundant </w:t>
      </w:r>
      <w:proofErr w:type="spellStart"/>
      <w:r w:rsidR="00EA35F8" w:rsidRPr="00BF0005">
        <w:t>microinvertebrate</w:t>
      </w:r>
      <w:proofErr w:type="spellEnd"/>
      <w:r w:rsidR="00EA35F8" w:rsidRPr="00BF0005">
        <w:t xml:space="preserve"> communities which can then be transferred between habitats, through hydrological mixing and exchange. Once in the main river channel, only some organisms will survive, with a component of the persistent community, reproducing within areas of the main river channel. Which component persists will largely depend on factors such as season and hydraulics. </w:t>
      </w:r>
    </w:p>
    <w:p w14:paraId="4C1F2DDD" w14:textId="77777777" w:rsidR="00EA35F8" w:rsidRPr="00BF0005" w:rsidRDefault="00EA35F8" w:rsidP="00EA35F8">
      <w:r w:rsidRPr="00BF0005">
        <w:t xml:space="preserve">Therefore, Commonwealth environmental water can facilitate the maintenance and development of </w:t>
      </w:r>
      <w:proofErr w:type="spellStart"/>
      <w:r w:rsidRPr="00BF0005">
        <w:t>microinvertebrate</w:t>
      </w:r>
      <w:proofErr w:type="spellEnd"/>
      <w:r w:rsidRPr="00BF0005">
        <w:t xml:space="preserve"> assemblages within the Lower Murray region by:  </w:t>
      </w:r>
    </w:p>
    <w:p w14:paraId="3F79F6FB" w14:textId="77777777" w:rsidR="00074180" w:rsidRPr="00BF0005" w:rsidRDefault="00074180" w:rsidP="00074180">
      <w:pPr>
        <w:pStyle w:val="ListParagraph"/>
        <w:numPr>
          <w:ilvl w:val="0"/>
          <w:numId w:val="22"/>
        </w:numPr>
      </w:pPr>
      <w:r>
        <w:t xml:space="preserve">Inundating areas </w:t>
      </w:r>
      <w:r w:rsidRPr="00BF0005">
        <w:t xml:space="preserve">adjacent to the main river channel and therefore </w:t>
      </w:r>
      <w:r>
        <w:t>supporting</w:t>
      </w:r>
      <w:r w:rsidRPr="00BF0005">
        <w:t xml:space="preserve"> populations that can act as a source to the main river channel community,</w:t>
      </w:r>
    </w:p>
    <w:p w14:paraId="4504C344" w14:textId="77777777" w:rsidR="00074180" w:rsidRPr="00BF0005" w:rsidRDefault="00074180" w:rsidP="00074180">
      <w:pPr>
        <w:pStyle w:val="ListParagraph"/>
        <w:numPr>
          <w:ilvl w:val="0"/>
          <w:numId w:val="22"/>
        </w:numPr>
      </w:pPr>
      <w:r w:rsidRPr="00BF0005">
        <w:t>Improving lateral</w:t>
      </w:r>
      <w:r>
        <w:t xml:space="preserve"> </w:t>
      </w:r>
      <w:r w:rsidRPr="00BF0005">
        <w:t>and longitudinal hydrological connectivity</w:t>
      </w:r>
      <w:r>
        <w:t xml:space="preserve"> </w:t>
      </w:r>
      <w:r w:rsidRPr="00BF0005">
        <w:t>which promotes the dispersal of organisms,</w:t>
      </w:r>
      <w:r>
        <w:t xml:space="preserve"> and</w:t>
      </w:r>
    </w:p>
    <w:p w14:paraId="62C3D780" w14:textId="77777777" w:rsidR="00074180" w:rsidRPr="00BF0005" w:rsidRDefault="00074180" w:rsidP="00074180">
      <w:pPr>
        <w:pStyle w:val="ListParagraph"/>
        <w:numPr>
          <w:ilvl w:val="0"/>
          <w:numId w:val="22"/>
        </w:numPr>
      </w:pPr>
      <w:r w:rsidRPr="00BF0005">
        <w:t>Improving the flow regime over the long</w:t>
      </w:r>
      <w:r>
        <w:t>-</w:t>
      </w:r>
      <w:r w:rsidRPr="00BF0005">
        <w:t>term to promote a more diverse and abundant egg-bank and thus more diverse and abundant community dispersed through lateral and longitudinal connectivity</w:t>
      </w:r>
      <w:r>
        <w:t>.</w:t>
      </w:r>
    </w:p>
    <w:p w14:paraId="7EE16E75" w14:textId="77777777" w:rsidR="00EA35F8" w:rsidRDefault="00EA35F8" w:rsidP="00EA35F8">
      <w:r w:rsidRPr="00BF0005">
        <w:t xml:space="preserve">To determine the responses of the </w:t>
      </w:r>
      <w:proofErr w:type="spellStart"/>
      <w:r w:rsidRPr="00BF0005">
        <w:t>microinvertebrate</w:t>
      </w:r>
      <w:proofErr w:type="spellEnd"/>
      <w:r w:rsidRPr="00BF0005">
        <w:t xml:space="preserve"> community to Commonwealth environmental water deliveries</w:t>
      </w:r>
      <w:r>
        <w:t xml:space="preserve"> in the LMR</w:t>
      </w:r>
      <w:r w:rsidRPr="00BF0005">
        <w:t>, the</w:t>
      </w:r>
      <w:r>
        <w:t>ir</w:t>
      </w:r>
      <w:r w:rsidRPr="00BF0005">
        <w:t xml:space="preserve"> diversity and </w:t>
      </w:r>
      <w:r>
        <w:t>density</w:t>
      </w:r>
      <w:r w:rsidRPr="00BF0005">
        <w:t xml:space="preserve"> </w:t>
      </w:r>
      <w:r>
        <w:t xml:space="preserve">is being assessed every year over the spring−summer period. These data can be used to model the response of different </w:t>
      </w:r>
      <w:proofErr w:type="spellStart"/>
      <w:r>
        <w:t>microinvertebrate</w:t>
      </w:r>
      <w:proofErr w:type="spellEnd"/>
      <w:r>
        <w:t xml:space="preserve"> taxa to flow, floodplain inundation and water quality. The </w:t>
      </w:r>
      <w:proofErr w:type="spellStart"/>
      <w:r>
        <w:t>microinvertebrate</w:t>
      </w:r>
      <w:proofErr w:type="spellEnd"/>
      <w:r>
        <w:t xml:space="preserve"> response models can then be used with different modelled flow scenarios to evaluate the contribution of </w:t>
      </w:r>
      <w:r w:rsidRPr="00BF0005">
        <w:t>Commonwealth environmental water</w:t>
      </w:r>
      <w:r>
        <w:t xml:space="preserve"> to </w:t>
      </w:r>
      <w:proofErr w:type="spellStart"/>
      <w:r>
        <w:t>microinvertebrate</w:t>
      </w:r>
      <w:proofErr w:type="spellEnd"/>
      <w:r>
        <w:t xml:space="preserve"> outcomes (for more details on the modelling approach see Appendix D).</w:t>
      </w:r>
      <w:r w:rsidRPr="00BF0005">
        <w:t xml:space="preserve"> </w:t>
      </w:r>
    </w:p>
    <w:p w14:paraId="3DD35F0D" w14:textId="77777777" w:rsidR="006C6E29" w:rsidRDefault="006C6E29" w:rsidP="00EA35F8">
      <w:pPr>
        <w:rPr>
          <w:i/>
          <w:u w:val="single"/>
        </w:rPr>
      </w:pPr>
    </w:p>
    <w:p w14:paraId="191CED6C" w14:textId="77777777" w:rsidR="006C6E29" w:rsidRDefault="006C6E29">
      <w:pPr>
        <w:spacing w:before="0" w:after="160" w:line="259" w:lineRule="auto"/>
        <w:jc w:val="left"/>
        <w:rPr>
          <w:i/>
          <w:u w:val="single"/>
        </w:rPr>
      </w:pPr>
      <w:r>
        <w:rPr>
          <w:i/>
          <w:u w:val="single"/>
        </w:rPr>
        <w:br w:type="page"/>
      </w:r>
    </w:p>
    <w:p w14:paraId="29577B43" w14:textId="7C574F7E" w:rsidR="00EA35F8" w:rsidRPr="005708C8" w:rsidRDefault="00EA35F8" w:rsidP="00EA35F8">
      <w:pPr>
        <w:rPr>
          <w:i/>
          <w:u w:val="single"/>
        </w:rPr>
      </w:pPr>
      <w:r w:rsidRPr="005708C8">
        <w:rPr>
          <w:i/>
          <w:u w:val="single"/>
        </w:rPr>
        <w:t>Major hypothes</w:t>
      </w:r>
      <w:r>
        <w:rPr>
          <w:i/>
          <w:u w:val="single"/>
        </w:rPr>
        <w:t>es</w:t>
      </w:r>
    </w:p>
    <w:p w14:paraId="1C207D74" w14:textId="775D89CD" w:rsidR="00EA35F8" w:rsidRPr="00B32D8C" w:rsidRDefault="00EA35F8" w:rsidP="00EA35F8">
      <w:pPr>
        <w:pStyle w:val="ListParagraph"/>
        <w:numPr>
          <w:ilvl w:val="0"/>
          <w:numId w:val="29"/>
        </w:numPr>
        <w:ind w:left="714" w:hanging="357"/>
        <w:contextualSpacing w:val="0"/>
      </w:pPr>
      <w:r w:rsidRPr="00B32D8C">
        <w:t xml:space="preserve">H1: Overall </w:t>
      </w:r>
      <w:proofErr w:type="spellStart"/>
      <w:r w:rsidRPr="00B32D8C">
        <w:t>microinvertebrate</w:t>
      </w:r>
      <w:proofErr w:type="spellEnd"/>
      <w:r w:rsidRPr="00B32D8C">
        <w:t xml:space="preserve"> density, and taxonomic richness, will increase with environmental water delivery due to the combined effects of longitudinal transport and improved lateral connectivity with </w:t>
      </w:r>
      <w:proofErr w:type="gramStart"/>
      <w:r w:rsidRPr="00B32D8C">
        <w:t>off-channel</w:t>
      </w:r>
      <w:proofErr w:type="gramEnd"/>
      <w:r w:rsidRPr="00B32D8C">
        <w:t xml:space="preserve"> habitats</w:t>
      </w:r>
      <w:r w:rsidR="00B32D8C" w:rsidRPr="00B32D8C">
        <w:t>;</w:t>
      </w:r>
    </w:p>
    <w:p w14:paraId="257982E4" w14:textId="0C410B38" w:rsidR="00EA35F8" w:rsidRPr="00B32D8C" w:rsidRDefault="00EA35F8" w:rsidP="00EA35F8">
      <w:pPr>
        <w:pStyle w:val="ListParagraph"/>
        <w:numPr>
          <w:ilvl w:val="0"/>
          <w:numId w:val="29"/>
        </w:numPr>
        <w:ind w:left="714" w:hanging="357"/>
        <w:contextualSpacing w:val="0"/>
      </w:pPr>
      <w:bookmarkStart w:id="225" w:name="_Hlk63805362"/>
      <w:r w:rsidRPr="00B32D8C">
        <w:t xml:space="preserve">H2: </w:t>
      </w:r>
      <w:r w:rsidR="006B0A28" w:rsidRPr="00B32D8C">
        <w:t>The density will i</w:t>
      </w:r>
      <w:r w:rsidRPr="00B32D8C">
        <w:t>ncrease</w:t>
      </w:r>
      <w:r w:rsidR="006B0A28" w:rsidRPr="00B32D8C">
        <w:t xml:space="preserve"> for ‘floodplain associated’</w:t>
      </w:r>
      <w:r w:rsidR="00A00A6E" w:rsidRPr="00B32D8C">
        <w:rPr>
          <w:rStyle w:val="FootnoteReference"/>
        </w:rPr>
        <w:footnoteReference w:id="6"/>
      </w:r>
      <w:r w:rsidRPr="00B32D8C">
        <w:t xml:space="preserve"> </w:t>
      </w:r>
      <w:proofErr w:type="spellStart"/>
      <w:r w:rsidRPr="00B32D8C">
        <w:t>microinvertebrates</w:t>
      </w:r>
      <w:proofErr w:type="spellEnd"/>
      <w:r w:rsidRPr="00B32D8C">
        <w:t xml:space="preserve"> during periods of greater floodplain inundation (H2a) and </w:t>
      </w:r>
      <w:r w:rsidR="006B0A28" w:rsidRPr="00B32D8C">
        <w:t xml:space="preserve">for </w:t>
      </w:r>
      <w:r w:rsidRPr="00B32D8C">
        <w:t>those that are likely to be transported to the LMR from upstream during periods of high longitudinal connectivity (H2b)</w:t>
      </w:r>
      <w:r w:rsidR="00B32D8C" w:rsidRPr="00B32D8C">
        <w:t>; and</w:t>
      </w:r>
    </w:p>
    <w:bookmarkEnd w:id="225"/>
    <w:p w14:paraId="104330B3" w14:textId="77777777" w:rsidR="00EA35F8" w:rsidRDefault="00EA35F8" w:rsidP="00EA35F8">
      <w:pPr>
        <w:pStyle w:val="ListParagraph"/>
        <w:numPr>
          <w:ilvl w:val="0"/>
          <w:numId w:val="29"/>
        </w:numPr>
        <w:ind w:left="714" w:hanging="357"/>
        <w:contextualSpacing w:val="0"/>
      </w:pPr>
      <w:r w:rsidRPr="00B32D8C">
        <w:t>H3: Environmental</w:t>
      </w:r>
      <w:r>
        <w:t xml:space="preserve"> water delivery</w:t>
      </w:r>
      <w:r w:rsidRPr="003D3BD3">
        <w:t xml:space="preserve"> during spring will increase the </w:t>
      </w:r>
      <w:r>
        <w:t xml:space="preserve">density of preferred </w:t>
      </w:r>
      <w:proofErr w:type="spellStart"/>
      <w:r>
        <w:t>microinvertebrate</w:t>
      </w:r>
      <w:proofErr w:type="spellEnd"/>
      <w:r>
        <w:t xml:space="preserve"> prey species for large-bodied fish larvae.</w:t>
      </w:r>
    </w:p>
    <w:p w14:paraId="7CB0003E" w14:textId="77777777" w:rsidR="00EA35F8" w:rsidRPr="00E35C12" w:rsidRDefault="00EA35F8" w:rsidP="00EA35F8">
      <w:pPr>
        <w:pStyle w:val="Heading3"/>
      </w:pPr>
      <w:r w:rsidRPr="00E35C12">
        <w:t>Methods</w:t>
      </w:r>
    </w:p>
    <w:p w14:paraId="070633BA" w14:textId="77777777" w:rsidR="00EA35F8" w:rsidRPr="005767B3" w:rsidRDefault="00EA35F8" w:rsidP="00EA35F8">
      <w:pPr>
        <w:pStyle w:val="Heading4"/>
        <w:numPr>
          <w:ilvl w:val="3"/>
          <w:numId w:val="21"/>
        </w:numPr>
        <w:ind w:left="0"/>
        <w:rPr>
          <w:szCs w:val="21"/>
        </w:rPr>
      </w:pPr>
      <w:r w:rsidRPr="005767B3">
        <w:rPr>
          <w:szCs w:val="21"/>
        </w:rPr>
        <w:t>Sampling sites and procedure</w:t>
      </w:r>
    </w:p>
    <w:p w14:paraId="13FB1AF3" w14:textId="1E65072F" w:rsidR="00EA35F8" w:rsidRDefault="00EA35F8" w:rsidP="00EA35F8">
      <w:proofErr w:type="spellStart"/>
      <w:r>
        <w:t>Microinvertebrate</w:t>
      </w:r>
      <w:proofErr w:type="spellEnd"/>
      <w:r>
        <w:t xml:space="preserve"> sampling was conducted three times during spring and three times during summer approximately two weeks apart between September and February at three core MER sites</w:t>
      </w:r>
      <w:r w:rsidRPr="000D1C09">
        <w:t>, concurrent</w:t>
      </w:r>
      <w:r>
        <w:t xml:space="preserve"> with stream metabolism sampling (</w:t>
      </w:r>
      <w:r>
        <w:fldChar w:fldCharType="begin"/>
      </w:r>
      <w:r>
        <w:instrText xml:space="preserve"> REF _Ref469926522 \h </w:instrText>
      </w:r>
      <w:r>
        <w:fldChar w:fldCharType="separate"/>
      </w:r>
      <w:r w:rsidR="006045CA">
        <w:t xml:space="preserve">Figure </w:t>
      </w:r>
      <w:r w:rsidR="006045CA">
        <w:rPr>
          <w:noProof/>
        </w:rPr>
        <w:t>1</w:t>
      </w:r>
      <w:r>
        <w:fldChar w:fldCharType="end"/>
      </w:r>
      <w:r>
        <w:t xml:space="preserve">). </w:t>
      </w:r>
      <w:bookmarkStart w:id="226" w:name="_Ref30770213"/>
      <w:r>
        <w:t xml:space="preserve">This sampling regime was </w:t>
      </w:r>
      <w:proofErr w:type="gramStart"/>
      <w:r>
        <w:t>similar to</w:t>
      </w:r>
      <w:proofErr w:type="gramEnd"/>
      <w:r>
        <w:t xml:space="preserve"> that undertaken during the LTIM Project</w:t>
      </w:r>
      <w:r w:rsidRPr="00133D08">
        <w:t xml:space="preserve">. See </w:t>
      </w:r>
      <w:r w:rsidRPr="00AF04AD">
        <w:rPr>
          <w:noProof/>
        </w:rPr>
        <w:t xml:space="preserve">(Ye </w:t>
      </w:r>
      <w:r w:rsidRPr="00BE1769">
        <w:rPr>
          <w:i/>
          <w:iCs/>
          <w:noProof/>
        </w:rPr>
        <w:t>et al.</w:t>
      </w:r>
      <w:r w:rsidRPr="00AF04AD">
        <w:rPr>
          <w:noProof/>
        </w:rPr>
        <w:t xml:space="preserve"> 2020)</w:t>
      </w:r>
      <w:r w:rsidRPr="00133D08">
        <w:t xml:space="preserve"> for more</w:t>
      </w:r>
      <w:r>
        <w:t xml:space="preserve"> details. </w:t>
      </w:r>
    </w:p>
    <w:p w14:paraId="23458E7B" w14:textId="5D4CF108" w:rsidR="00EA35F8" w:rsidRPr="009E6272" w:rsidRDefault="00EA35F8" w:rsidP="00F8184E">
      <w:pPr>
        <w:pStyle w:val="Captions"/>
        <w:rPr>
          <w:iCs/>
          <w:noProof/>
          <w:lang w:eastAsia="en-AU"/>
        </w:rPr>
      </w:pPr>
      <w:bookmarkStart w:id="227" w:name="_Ref59031186"/>
      <w:bookmarkStart w:id="228" w:name="_Toc63758531"/>
      <w:bookmarkStart w:id="229" w:name="_Toc69387743"/>
      <w:r w:rsidRPr="004A541F">
        <w:rPr>
          <w:noProof/>
          <w:lang w:eastAsia="en-AU"/>
        </w:rPr>
        <w:t xml:space="preserve">Table </w:t>
      </w:r>
      <w:r w:rsidRPr="004A541F">
        <w:rPr>
          <w:iCs/>
          <w:noProof/>
          <w:lang w:eastAsia="en-AU"/>
        </w:rPr>
        <w:fldChar w:fldCharType="begin"/>
      </w:r>
      <w:r w:rsidRPr="004A541F">
        <w:rPr>
          <w:noProof/>
          <w:lang w:eastAsia="en-AU"/>
        </w:rPr>
        <w:instrText xml:space="preserve"> SEQ Table \* ARABIC </w:instrText>
      </w:r>
      <w:r w:rsidRPr="004A541F">
        <w:rPr>
          <w:iCs/>
          <w:noProof/>
          <w:lang w:eastAsia="en-AU"/>
        </w:rPr>
        <w:fldChar w:fldCharType="separate"/>
      </w:r>
      <w:r w:rsidR="00CE5EF5">
        <w:rPr>
          <w:noProof/>
          <w:lang w:eastAsia="en-AU"/>
        </w:rPr>
        <w:t>14</w:t>
      </w:r>
      <w:r w:rsidRPr="004A541F">
        <w:rPr>
          <w:iCs/>
          <w:noProof/>
          <w:lang w:eastAsia="en-AU"/>
        </w:rPr>
        <w:fldChar w:fldCharType="end"/>
      </w:r>
      <w:bookmarkEnd w:id="226"/>
      <w:bookmarkEnd w:id="227"/>
      <w:r>
        <w:rPr>
          <w:iCs/>
          <w:noProof/>
          <w:lang w:eastAsia="en-AU"/>
        </w:rPr>
        <w:t>.</w:t>
      </w:r>
      <w:r w:rsidRPr="009E6272">
        <w:rPr>
          <w:noProof/>
          <w:lang w:eastAsia="en-AU"/>
        </w:rPr>
        <w:t xml:space="preserve"> </w:t>
      </w:r>
      <w:r w:rsidRPr="00322323">
        <w:rPr>
          <w:noProof/>
          <w:lang w:eastAsia="en-AU"/>
        </w:rPr>
        <w:t xml:space="preserve">Microinvertebrate sampling dates from </w:t>
      </w:r>
      <w:r>
        <w:rPr>
          <w:noProof/>
          <w:lang w:eastAsia="en-AU"/>
        </w:rPr>
        <w:t>2019-20</w:t>
      </w:r>
      <w:r w:rsidRPr="00322323">
        <w:rPr>
          <w:noProof/>
          <w:lang w:eastAsia="en-AU"/>
        </w:rPr>
        <w:t xml:space="preserve"> in the L</w:t>
      </w:r>
      <w:r>
        <w:rPr>
          <w:noProof/>
          <w:lang w:eastAsia="en-AU"/>
        </w:rPr>
        <w:t xml:space="preserve">ower </w:t>
      </w:r>
      <w:r w:rsidRPr="00322323">
        <w:rPr>
          <w:noProof/>
          <w:lang w:eastAsia="en-AU"/>
        </w:rPr>
        <w:t>M</w:t>
      </w:r>
      <w:r>
        <w:rPr>
          <w:noProof/>
          <w:lang w:eastAsia="en-AU"/>
        </w:rPr>
        <w:t xml:space="preserve">urray </w:t>
      </w:r>
      <w:r w:rsidRPr="00322323">
        <w:rPr>
          <w:noProof/>
          <w:lang w:eastAsia="en-AU"/>
        </w:rPr>
        <w:t>R</w:t>
      </w:r>
      <w:r>
        <w:rPr>
          <w:noProof/>
          <w:lang w:eastAsia="en-AU"/>
        </w:rPr>
        <w:t>iver</w:t>
      </w:r>
      <w:r w:rsidRPr="00322323">
        <w:rPr>
          <w:noProof/>
          <w:lang w:eastAsia="en-AU"/>
        </w:rPr>
        <w:t>.</w:t>
      </w:r>
      <w:bookmarkEnd w:id="228"/>
      <w:bookmarkEnd w:id="229"/>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4"/>
        <w:gridCol w:w="1701"/>
      </w:tblGrid>
      <w:tr w:rsidR="00EA35F8" w:rsidRPr="00A05904" w14:paraId="2ED97EED" w14:textId="77777777" w:rsidTr="008C15ED">
        <w:trPr>
          <w:trHeight w:val="340"/>
          <w:jc w:val="center"/>
        </w:trPr>
        <w:tc>
          <w:tcPr>
            <w:tcW w:w="794" w:type="dxa"/>
            <w:tcBorders>
              <w:top w:val="single" w:sz="4" w:space="0" w:color="auto"/>
              <w:bottom w:val="single" w:sz="4" w:space="0" w:color="auto"/>
            </w:tcBorders>
            <w:vAlign w:val="bottom"/>
          </w:tcPr>
          <w:p w14:paraId="3E77D2FC" w14:textId="77777777" w:rsidR="00EA35F8" w:rsidRDefault="00EA35F8" w:rsidP="008C15ED">
            <w:pPr>
              <w:contextualSpacing/>
              <w:jc w:val="center"/>
              <w:rPr>
                <w:b/>
                <w:sz w:val="19"/>
                <w:szCs w:val="19"/>
              </w:rPr>
            </w:pPr>
            <w:r>
              <w:rPr>
                <w:b/>
                <w:sz w:val="19"/>
                <w:szCs w:val="19"/>
              </w:rPr>
              <w:t>Trip</w:t>
            </w:r>
          </w:p>
        </w:tc>
        <w:tc>
          <w:tcPr>
            <w:tcW w:w="1701" w:type="dxa"/>
            <w:tcBorders>
              <w:top w:val="single" w:sz="4" w:space="0" w:color="auto"/>
              <w:bottom w:val="single" w:sz="4" w:space="0" w:color="auto"/>
            </w:tcBorders>
            <w:vAlign w:val="bottom"/>
          </w:tcPr>
          <w:p w14:paraId="15E5E045" w14:textId="77777777" w:rsidR="00EA35F8" w:rsidRDefault="00EA35F8" w:rsidP="008C15ED">
            <w:pPr>
              <w:contextualSpacing/>
              <w:jc w:val="center"/>
              <w:rPr>
                <w:b/>
                <w:sz w:val="19"/>
                <w:szCs w:val="19"/>
              </w:rPr>
            </w:pPr>
            <w:r>
              <w:rPr>
                <w:b/>
                <w:sz w:val="19"/>
                <w:szCs w:val="19"/>
              </w:rPr>
              <w:t>Sampling dates</w:t>
            </w:r>
          </w:p>
        </w:tc>
      </w:tr>
      <w:tr w:rsidR="00EA35F8" w:rsidRPr="00A05904" w14:paraId="714F1F77" w14:textId="77777777" w:rsidTr="008C15ED">
        <w:trPr>
          <w:trHeight w:val="340"/>
          <w:jc w:val="center"/>
        </w:trPr>
        <w:tc>
          <w:tcPr>
            <w:tcW w:w="794" w:type="dxa"/>
            <w:vAlign w:val="bottom"/>
          </w:tcPr>
          <w:p w14:paraId="68E704FD" w14:textId="77777777" w:rsidR="00EA35F8" w:rsidRPr="00510182" w:rsidRDefault="00EA35F8" w:rsidP="008C15ED">
            <w:pPr>
              <w:contextualSpacing/>
              <w:jc w:val="center"/>
              <w:rPr>
                <w:sz w:val="18"/>
                <w:szCs w:val="18"/>
              </w:rPr>
            </w:pPr>
            <w:r>
              <w:rPr>
                <w:sz w:val="18"/>
                <w:szCs w:val="18"/>
              </w:rPr>
              <w:t>1</w:t>
            </w:r>
          </w:p>
        </w:tc>
        <w:tc>
          <w:tcPr>
            <w:tcW w:w="1701" w:type="dxa"/>
            <w:vAlign w:val="bottom"/>
          </w:tcPr>
          <w:p w14:paraId="01B75546" w14:textId="77777777" w:rsidR="00EA35F8" w:rsidRPr="00510182" w:rsidRDefault="00EA35F8" w:rsidP="008C15ED">
            <w:pPr>
              <w:contextualSpacing/>
              <w:jc w:val="center"/>
              <w:rPr>
                <w:sz w:val="18"/>
                <w:szCs w:val="18"/>
              </w:rPr>
            </w:pPr>
            <w:r w:rsidRPr="00510182">
              <w:rPr>
                <w:sz w:val="18"/>
                <w:szCs w:val="18"/>
              </w:rPr>
              <w:t>10/10/2019</w:t>
            </w:r>
          </w:p>
        </w:tc>
      </w:tr>
      <w:tr w:rsidR="00EA35F8" w:rsidRPr="00A05904" w14:paraId="4D550221" w14:textId="77777777" w:rsidTr="008C15ED">
        <w:trPr>
          <w:trHeight w:val="340"/>
          <w:jc w:val="center"/>
        </w:trPr>
        <w:tc>
          <w:tcPr>
            <w:tcW w:w="794" w:type="dxa"/>
            <w:vAlign w:val="bottom"/>
          </w:tcPr>
          <w:p w14:paraId="03770B8D" w14:textId="77777777" w:rsidR="00EA35F8" w:rsidRPr="00510182" w:rsidRDefault="00EA35F8" w:rsidP="008C15ED">
            <w:pPr>
              <w:contextualSpacing/>
              <w:jc w:val="center"/>
              <w:rPr>
                <w:sz w:val="18"/>
                <w:szCs w:val="18"/>
              </w:rPr>
            </w:pPr>
            <w:r>
              <w:rPr>
                <w:sz w:val="18"/>
                <w:szCs w:val="18"/>
              </w:rPr>
              <w:t>2</w:t>
            </w:r>
          </w:p>
        </w:tc>
        <w:tc>
          <w:tcPr>
            <w:tcW w:w="1701" w:type="dxa"/>
            <w:vAlign w:val="bottom"/>
          </w:tcPr>
          <w:p w14:paraId="0902D93F" w14:textId="77777777" w:rsidR="00EA35F8" w:rsidRPr="00510182" w:rsidRDefault="00EA35F8" w:rsidP="008C15ED">
            <w:pPr>
              <w:contextualSpacing/>
              <w:jc w:val="center"/>
              <w:rPr>
                <w:sz w:val="18"/>
                <w:szCs w:val="18"/>
              </w:rPr>
            </w:pPr>
            <w:r w:rsidRPr="00510182">
              <w:rPr>
                <w:sz w:val="18"/>
                <w:szCs w:val="18"/>
              </w:rPr>
              <w:t>21/10/2019</w:t>
            </w:r>
          </w:p>
        </w:tc>
      </w:tr>
      <w:tr w:rsidR="00EA35F8" w:rsidRPr="00A05904" w14:paraId="212E6A24" w14:textId="77777777" w:rsidTr="008C15ED">
        <w:trPr>
          <w:trHeight w:val="340"/>
          <w:jc w:val="center"/>
        </w:trPr>
        <w:tc>
          <w:tcPr>
            <w:tcW w:w="794" w:type="dxa"/>
            <w:vAlign w:val="bottom"/>
          </w:tcPr>
          <w:p w14:paraId="513F8753" w14:textId="77777777" w:rsidR="00EA35F8" w:rsidRPr="00510182" w:rsidRDefault="00EA35F8" w:rsidP="008C15ED">
            <w:pPr>
              <w:contextualSpacing/>
              <w:jc w:val="center"/>
              <w:rPr>
                <w:sz w:val="18"/>
                <w:szCs w:val="18"/>
              </w:rPr>
            </w:pPr>
            <w:r>
              <w:rPr>
                <w:sz w:val="18"/>
                <w:szCs w:val="18"/>
              </w:rPr>
              <w:t>3</w:t>
            </w:r>
          </w:p>
        </w:tc>
        <w:tc>
          <w:tcPr>
            <w:tcW w:w="1701" w:type="dxa"/>
            <w:vAlign w:val="bottom"/>
          </w:tcPr>
          <w:p w14:paraId="0D37651B" w14:textId="77777777" w:rsidR="00EA35F8" w:rsidRPr="00510182" w:rsidRDefault="00EA35F8" w:rsidP="008C15ED">
            <w:pPr>
              <w:contextualSpacing/>
              <w:jc w:val="center"/>
              <w:rPr>
                <w:sz w:val="18"/>
                <w:szCs w:val="18"/>
              </w:rPr>
            </w:pPr>
            <w:r w:rsidRPr="00510182">
              <w:rPr>
                <w:sz w:val="18"/>
                <w:szCs w:val="18"/>
              </w:rPr>
              <w:t>4/11/2019</w:t>
            </w:r>
          </w:p>
        </w:tc>
      </w:tr>
      <w:tr w:rsidR="00EA35F8" w:rsidRPr="00A05904" w14:paraId="2D87C467" w14:textId="77777777" w:rsidTr="008C15ED">
        <w:trPr>
          <w:trHeight w:val="340"/>
          <w:jc w:val="center"/>
        </w:trPr>
        <w:tc>
          <w:tcPr>
            <w:tcW w:w="794" w:type="dxa"/>
            <w:vAlign w:val="bottom"/>
          </w:tcPr>
          <w:p w14:paraId="0CAABCCD" w14:textId="77777777" w:rsidR="00EA35F8" w:rsidRPr="00510182" w:rsidRDefault="00EA35F8" w:rsidP="008C15ED">
            <w:pPr>
              <w:contextualSpacing/>
              <w:jc w:val="center"/>
              <w:rPr>
                <w:sz w:val="18"/>
                <w:szCs w:val="18"/>
              </w:rPr>
            </w:pPr>
            <w:r>
              <w:rPr>
                <w:sz w:val="18"/>
                <w:szCs w:val="18"/>
              </w:rPr>
              <w:t>4</w:t>
            </w:r>
          </w:p>
        </w:tc>
        <w:tc>
          <w:tcPr>
            <w:tcW w:w="1701" w:type="dxa"/>
            <w:vAlign w:val="bottom"/>
          </w:tcPr>
          <w:p w14:paraId="0D19B029" w14:textId="77777777" w:rsidR="00EA35F8" w:rsidRPr="00510182" w:rsidRDefault="00EA35F8" w:rsidP="008C15ED">
            <w:pPr>
              <w:contextualSpacing/>
              <w:jc w:val="center"/>
              <w:rPr>
                <w:sz w:val="18"/>
                <w:szCs w:val="18"/>
              </w:rPr>
            </w:pPr>
            <w:r w:rsidRPr="00510182">
              <w:rPr>
                <w:sz w:val="18"/>
                <w:szCs w:val="18"/>
              </w:rPr>
              <w:t>18/11/2019</w:t>
            </w:r>
          </w:p>
        </w:tc>
      </w:tr>
      <w:tr w:rsidR="00EA35F8" w:rsidRPr="00A05904" w14:paraId="39DEC2B6" w14:textId="77777777" w:rsidTr="008C15ED">
        <w:trPr>
          <w:trHeight w:val="340"/>
          <w:jc w:val="center"/>
        </w:trPr>
        <w:tc>
          <w:tcPr>
            <w:tcW w:w="794" w:type="dxa"/>
            <w:vAlign w:val="bottom"/>
          </w:tcPr>
          <w:p w14:paraId="4C865D0A" w14:textId="77777777" w:rsidR="00EA35F8" w:rsidRPr="00510182" w:rsidRDefault="00EA35F8" w:rsidP="008C15ED">
            <w:pPr>
              <w:contextualSpacing/>
              <w:jc w:val="center"/>
              <w:rPr>
                <w:sz w:val="18"/>
                <w:szCs w:val="18"/>
              </w:rPr>
            </w:pPr>
            <w:r>
              <w:rPr>
                <w:sz w:val="18"/>
                <w:szCs w:val="18"/>
              </w:rPr>
              <w:t>5</w:t>
            </w:r>
          </w:p>
        </w:tc>
        <w:tc>
          <w:tcPr>
            <w:tcW w:w="1701" w:type="dxa"/>
            <w:vAlign w:val="bottom"/>
          </w:tcPr>
          <w:p w14:paraId="59AC1642" w14:textId="77777777" w:rsidR="00EA35F8" w:rsidRPr="00510182" w:rsidRDefault="00EA35F8" w:rsidP="008C15ED">
            <w:pPr>
              <w:contextualSpacing/>
              <w:jc w:val="center"/>
              <w:rPr>
                <w:sz w:val="18"/>
                <w:szCs w:val="18"/>
              </w:rPr>
            </w:pPr>
            <w:r w:rsidRPr="00510182">
              <w:rPr>
                <w:sz w:val="18"/>
                <w:szCs w:val="18"/>
              </w:rPr>
              <w:t>2/12/2019</w:t>
            </w:r>
          </w:p>
        </w:tc>
      </w:tr>
      <w:tr w:rsidR="00EA35F8" w:rsidRPr="00A05904" w14:paraId="42F20156" w14:textId="77777777" w:rsidTr="008C15ED">
        <w:trPr>
          <w:trHeight w:val="340"/>
          <w:jc w:val="center"/>
        </w:trPr>
        <w:tc>
          <w:tcPr>
            <w:tcW w:w="794" w:type="dxa"/>
            <w:vAlign w:val="bottom"/>
          </w:tcPr>
          <w:p w14:paraId="31E086B3" w14:textId="77777777" w:rsidR="00EA35F8" w:rsidRPr="00510182" w:rsidRDefault="00EA35F8" w:rsidP="008C15ED">
            <w:pPr>
              <w:contextualSpacing/>
              <w:jc w:val="center"/>
              <w:rPr>
                <w:sz w:val="18"/>
                <w:szCs w:val="18"/>
              </w:rPr>
            </w:pPr>
            <w:r>
              <w:rPr>
                <w:sz w:val="18"/>
                <w:szCs w:val="18"/>
              </w:rPr>
              <w:t>6</w:t>
            </w:r>
          </w:p>
        </w:tc>
        <w:tc>
          <w:tcPr>
            <w:tcW w:w="1701" w:type="dxa"/>
            <w:vAlign w:val="bottom"/>
          </w:tcPr>
          <w:p w14:paraId="0D9C5EEA" w14:textId="77777777" w:rsidR="00EA35F8" w:rsidRPr="00510182" w:rsidRDefault="00EA35F8" w:rsidP="008C15ED">
            <w:pPr>
              <w:contextualSpacing/>
              <w:jc w:val="center"/>
              <w:rPr>
                <w:sz w:val="18"/>
                <w:szCs w:val="18"/>
              </w:rPr>
            </w:pPr>
            <w:r w:rsidRPr="00510182">
              <w:rPr>
                <w:sz w:val="18"/>
                <w:szCs w:val="18"/>
              </w:rPr>
              <w:t>17/12/2019</w:t>
            </w:r>
          </w:p>
        </w:tc>
      </w:tr>
      <w:tr w:rsidR="00EA35F8" w:rsidRPr="00A05904" w14:paraId="26373DDE" w14:textId="77777777" w:rsidTr="008C15ED">
        <w:trPr>
          <w:trHeight w:val="340"/>
          <w:jc w:val="center"/>
        </w:trPr>
        <w:tc>
          <w:tcPr>
            <w:tcW w:w="794" w:type="dxa"/>
            <w:tcBorders>
              <w:bottom w:val="single" w:sz="4" w:space="0" w:color="auto"/>
            </w:tcBorders>
            <w:vAlign w:val="bottom"/>
          </w:tcPr>
          <w:p w14:paraId="592A2146" w14:textId="77777777" w:rsidR="00EA35F8" w:rsidRPr="00510182" w:rsidRDefault="00EA35F8" w:rsidP="008C15ED">
            <w:pPr>
              <w:contextualSpacing/>
              <w:jc w:val="center"/>
              <w:rPr>
                <w:sz w:val="18"/>
                <w:szCs w:val="18"/>
              </w:rPr>
            </w:pPr>
            <w:r>
              <w:rPr>
                <w:sz w:val="18"/>
                <w:szCs w:val="18"/>
              </w:rPr>
              <w:t>7</w:t>
            </w:r>
          </w:p>
        </w:tc>
        <w:tc>
          <w:tcPr>
            <w:tcW w:w="1701" w:type="dxa"/>
            <w:tcBorders>
              <w:bottom w:val="single" w:sz="4" w:space="0" w:color="auto"/>
            </w:tcBorders>
            <w:vAlign w:val="bottom"/>
          </w:tcPr>
          <w:p w14:paraId="404B5CE3" w14:textId="77777777" w:rsidR="00EA35F8" w:rsidRPr="00510182" w:rsidRDefault="00EA35F8" w:rsidP="008C15ED">
            <w:pPr>
              <w:contextualSpacing/>
              <w:jc w:val="center"/>
              <w:rPr>
                <w:sz w:val="18"/>
                <w:szCs w:val="18"/>
              </w:rPr>
            </w:pPr>
            <w:r w:rsidRPr="00510182">
              <w:rPr>
                <w:sz w:val="18"/>
                <w:szCs w:val="18"/>
              </w:rPr>
              <w:t>8/01/2020</w:t>
            </w:r>
          </w:p>
        </w:tc>
      </w:tr>
    </w:tbl>
    <w:p w14:paraId="304D397A" w14:textId="77777777" w:rsidR="00EA35F8" w:rsidRDefault="00EA35F8" w:rsidP="00EA35F8"/>
    <w:p w14:paraId="794A79ED" w14:textId="0F002A6A" w:rsidR="006C6E29" w:rsidRDefault="00EA35F8" w:rsidP="00A00A6E">
      <w:pPr>
        <w:rPr>
          <w:noProof/>
          <w:lang w:eastAsia="en-AU"/>
        </w:rPr>
      </w:pPr>
      <w:r>
        <w:t xml:space="preserve">A Perspex Haney plankton trap (4.5 L capacity) was used mid-channel (by boat) to collect surface, middle and bottom volumes (9 L), which were filtered through a 37 µm-mesh plankton net suspended in a bucket and rinsed into a 200 ml PET bottle screwed to a purpose-built ferrule at the net end. The filtrate was then preserved in the field (100% ethanol) to a final concentration of ~75%, and a volume of &lt;200 ml. In the laboratory, the sample was decanted into a measuring cylinder, the volume noted, the cylinder agitated, </w:t>
      </w:r>
      <w:bookmarkStart w:id="230" w:name="_Ref30770214"/>
      <w:bookmarkStart w:id="231" w:name="_Toc63758532"/>
      <w:r w:rsidR="00074180">
        <w:t xml:space="preserve">and a 1 ml aliquot withdrawn using a Gilson auto pipette. This aliquot was run into a Pyrex 1 ml Sedgewick-Rafter cell, and the </w:t>
      </w:r>
      <w:proofErr w:type="spellStart"/>
      <w:r w:rsidR="00074180">
        <w:t>microinvertebrates</w:t>
      </w:r>
      <w:proofErr w:type="spellEnd"/>
      <w:r w:rsidR="00074180">
        <w:t xml:space="preserve"> present were counted and identified. Counts for each sample were based on a single subsample.</w:t>
      </w:r>
    </w:p>
    <w:p w14:paraId="2D5AADEE" w14:textId="77777777" w:rsidR="006C6E29" w:rsidRDefault="006C6E29">
      <w:pPr>
        <w:spacing w:before="0" w:after="160" w:line="259" w:lineRule="auto"/>
        <w:jc w:val="left"/>
        <w:rPr>
          <w:rFonts w:eastAsia="MS Mincho" w:cs="Arial"/>
          <w:b/>
          <w:bCs/>
          <w:noProof/>
          <w:color w:val="auto"/>
          <w:kern w:val="0"/>
          <w:sz w:val="20"/>
          <w:lang w:val="en-US" w:eastAsia="en-AU"/>
        </w:rPr>
      </w:pPr>
      <w:r>
        <w:rPr>
          <w:noProof/>
          <w:lang w:eastAsia="en-AU"/>
        </w:rPr>
        <w:br w:type="page"/>
      </w:r>
    </w:p>
    <w:p w14:paraId="0A1C9D78" w14:textId="042D82F9" w:rsidR="00EA35F8" w:rsidRPr="009E6272" w:rsidRDefault="00EA35F8" w:rsidP="00F8184E">
      <w:pPr>
        <w:pStyle w:val="Captions"/>
        <w:rPr>
          <w:iCs/>
          <w:noProof/>
          <w:lang w:eastAsia="en-AU"/>
        </w:rPr>
      </w:pPr>
      <w:bookmarkStart w:id="232" w:name="_Toc69387744"/>
      <w:r w:rsidRPr="004A541F">
        <w:rPr>
          <w:noProof/>
          <w:lang w:eastAsia="en-AU"/>
        </w:rPr>
        <w:t xml:space="preserve">Table </w:t>
      </w:r>
      <w:r w:rsidRPr="004A541F">
        <w:rPr>
          <w:iCs/>
          <w:noProof/>
          <w:lang w:eastAsia="en-AU"/>
        </w:rPr>
        <w:fldChar w:fldCharType="begin"/>
      </w:r>
      <w:r w:rsidRPr="004A541F">
        <w:rPr>
          <w:noProof/>
          <w:lang w:eastAsia="en-AU"/>
        </w:rPr>
        <w:instrText xml:space="preserve"> SEQ Table \* ARABIC </w:instrText>
      </w:r>
      <w:r w:rsidRPr="004A541F">
        <w:rPr>
          <w:iCs/>
          <w:noProof/>
          <w:lang w:eastAsia="en-AU"/>
        </w:rPr>
        <w:fldChar w:fldCharType="separate"/>
      </w:r>
      <w:r w:rsidR="00CE5EF5">
        <w:rPr>
          <w:noProof/>
          <w:lang w:eastAsia="en-AU"/>
        </w:rPr>
        <w:t>15</w:t>
      </w:r>
      <w:r w:rsidRPr="004A541F">
        <w:rPr>
          <w:iCs/>
          <w:noProof/>
          <w:lang w:eastAsia="en-AU"/>
        </w:rPr>
        <w:fldChar w:fldCharType="end"/>
      </w:r>
      <w:bookmarkEnd w:id="230"/>
      <w:r>
        <w:rPr>
          <w:iCs/>
          <w:noProof/>
          <w:lang w:eastAsia="en-AU"/>
        </w:rPr>
        <w:t>.</w:t>
      </w:r>
      <w:r w:rsidRPr="009E6272">
        <w:rPr>
          <w:noProof/>
          <w:lang w:eastAsia="en-AU"/>
        </w:rPr>
        <w:t xml:space="preserve"> </w:t>
      </w:r>
      <w:r w:rsidRPr="00A05904">
        <w:rPr>
          <w:noProof/>
          <w:lang w:eastAsia="en-AU"/>
        </w:rPr>
        <w:t>Details of microinvertebrate sampling sites in the L</w:t>
      </w:r>
      <w:r>
        <w:rPr>
          <w:noProof/>
          <w:lang w:eastAsia="en-AU"/>
        </w:rPr>
        <w:t xml:space="preserve">ower </w:t>
      </w:r>
      <w:r w:rsidRPr="00A05904">
        <w:rPr>
          <w:noProof/>
          <w:lang w:eastAsia="en-AU"/>
        </w:rPr>
        <w:t>M</w:t>
      </w:r>
      <w:r>
        <w:rPr>
          <w:noProof/>
          <w:lang w:eastAsia="en-AU"/>
        </w:rPr>
        <w:t xml:space="preserve">urray </w:t>
      </w:r>
      <w:r w:rsidRPr="00A05904">
        <w:rPr>
          <w:noProof/>
          <w:lang w:eastAsia="en-AU"/>
        </w:rPr>
        <w:t>R</w:t>
      </w:r>
      <w:r>
        <w:rPr>
          <w:noProof/>
          <w:lang w:eastAsia="en-AU"/>
        </w:rPr>
        <w:t>iver</w:t>
      </w:r>
      <w:r w:rsidRPr="00A05904">
        <w:rPr>
          <w:noProof/>
          <w:lang w:eastAsia="en-AU"/>
        </w:rPr>
        <w:t>.</w:t>
      </w:r>
      <w:bookmarkEnd w:id="231"/>
      <w:bookmarkEnd w:id="232"/>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77"/>
        <w:gridCol w:w="1883"/>
        <w:gridCol w:w="1059"/>
        <w:gridCol w:w="1213"/>
      </w:tblGrid>
      <w:tr w:rsidR="00EA35F8" w:rsidRPr="000942B3" w14:paraId="18634D0B" w14:textId="77777777" w:rsidTr="008C15ED">
        <w:trPr>
          <w:trHeight w:val="340"/>
          <w:jc w:val="center"/>
        </w:trPr>
        <w:tc>
          <w:tcPr>
            <w:tcW w:w="0" w:type="auto"/>
            <w:tcBorders>
              <w:top w:val="single" w:sz="4" w:space="0" w:color="auto"/>
              <w:bottom w:val="single" w:sz="4" w:space="0" w:color="auto"/>
            </w:tcBorders>
            <w:vAlign w:val="bottom"/>
          </w:tcPr>
          <w:p w14:paraId="06D1B321" w14:textId="77777777" w:rsidR="00EA35F8" w:rsidRPr="000942B3" w:rsidRDefault="00EA35F8" w:rsidP="008C15ED">
            <w:pPr>
              <w:contextualSpacing/>
              <w:jc w:val="left"/>
              <w:rPr>
                <w:b/>
                <w:sz w:val="19"/>
                <w:szCs w:val="19"/>
              </w:rPr>
            </w:pPr>
            <w:r w:rsidRPr="000942B3">
              <w:rPr>
                <w:b/>
                <w:sz w:val="19"/>
                <w:szCs w:val="19"/>
              </w:rPr>
              <w:t>Zone</w:t>
            </w:r>
          </w:p>
        </w:tc>
        <w:tc>
          <w:tcPr>
            <w:tcW w:w="0" w:type="auto"/>
            <w:tcBorders>
              <w:top w:val="single" w:sz="4" w:space="0" w:color="auto"/>
              <w:bottom w:val="single" w:sz="4" w:space="0" w:color="auto"/>
            </w:tcBorders>
            <w:vAlign w:val="bottom"/>
          </w:tcPr>
          <w:p w14:paraId="35D1A4BF" w14:textId="77777777" w:rsidR="00EA35F8" w:rsidRPr="000942B3" w:rsidRDefault="00EA35F8" w:rsidP="008C15ED">
            <w:pPr>
              <w:contextualSpacing/>
              <w:jc w:val="left"/>
              <w:rPr>
                <w:b/>
                <w:sz w:val="19"/>
                <w:szCs w:val="19"/>
              </w:rPr>
            </w:pPr>
            <w:r w:rsidRPr="000942B3">
              <w:rPr>
                <w:b/>
                <w:sz w:val="19"/>
                <w:szCs w:val="19"/>
              </w:rPr>
              <w:t>Site</w:t>
            </w:r>
          </w:p>
        </w:tc>
        <w:tc>
          <w:tcPr>
            <w:tcW w:w="0" w:type="auto"/>
            <w:tcBorders>
              <w:top w:val="single" w:sz="4" w:space="0" w:color="auto"/>
              <w:bottom w:val="single" w:sz="4" w:space="0" w:color="auto"/>
            </w:tcBorders>
            <w:vAlign w:val="bottom"/>
          </w:tcPr>
          <w:p w14:paraId="46AA1039" w14:textId="77777777" w:rsidR="00EA35F8" w:rsidRPr="000942B3" w:rsidRDefault="00EA35F8" w:rsidP="008C15ED">
            <w:pPr>
              <w:contextualSpacing/>
              <w:jc w:val="left"/>
              <w:rPr>
                <w:b/>
                <w:sz w:val="19"/>
                <w:szCs w:val="19"/>
              </w:rPr>
            </w:pPr>
            <w:r w:rsidRPr="000942B3">
              <w:rPr>
                <w:b/>
                <w:sz w:val="19"/>
                <w:szCs w:val="19"/>
              </w:rPr>
              <w:t>Latitude</w:t>
            </w:r>
          </w:p>
        </w:tc>
        <w:tc>
          <w:tcPr>
            <w:tcW w:w="0" w:type="auto"/>
            <w:tcBorders>
              <w:top w:val="single" w:sz="4" w:space="0" w:color="auto"/>
              <w:bottom w:val="single" w:sz="4" w:space="0" w:color="auto"/>
            </w:tcBorders>
            <w:vAlign w:val="bottom"/>
          </w:tcPr>
          <w:p w14:paraId="053D3693" w14:textId="77777777" w:rsidR="00EA35F8" w:rsidRPr="000942B3" w:rsidRDefault="00EA35F8" w:rsidP="008C15ED">
            <w:pPr>
              <w:contextualSpacing/>
              <w:jc w:val="left"/>
              <w:rPr>
                <w:b/>
                <w:sz w:val="19"/>
                <w:szCs w:val="19"/>
              </w:rPr>
            </w:pPr>
            <w:r w:rsidRPr="000942B3">
              <w:rPr>
                <w:b/>
                <w:sz w:val="19"/>
                <w:szCs w:val="19"/>
              </w:rPr>
              <w:t>Longitude</w:t>
            </w:r>
          </w:p>
        </w:tc>
      </w:tr>
      <w:tr w:rsidR="00EA35F8" w:rsidRPr="000942B3" w14:paraId="4170EDD4" w14:textId="77777777" w:rsidTr="008C15ED">
        <w:trPr>
          <w:trHeight w:val="340"/>
          <w:jc w:val="center"/>
        </w:trPr>
        <w:tc>
          <w:tcPr>
            <w:tcW w:w="0" w:type="auto"/>
            <w:tcBorders>
              <w:top w:val="single" w:sz="4" w:space="0" w:color="auto"/>
            </w:tcBorders>
            <w:vAlign w:val="bottom"/>
          </w:tcPr>
          <w:p w14:paraId="348F55D8" w14:textId="77777777" w:rsidR="00EA35F8" w:rsidRPr="000942B3" w:rsidRDefault="00EA35F8" w:rsidP="008C15ED">
            <w:pPr>
              <w:contextualSpacing/>
              <w:jc w:val="left"/>
              <w:rPr>
                <w:sz w:val="19"/>
                <w:szCs w:val="19"/>
              </w:rPr>
            </w:pPr>
            <w:r w:rsidRPr="000942B3">
              <w:rPr>
                <w:sz w:val="19"/>
                <w:szCs w:val="19"/>
              </w:rPr>
              <w:t>Floodplain</w:t>
            </w:r>
          </w:p>
        </w:tc>
        <w:tc>
          <w:tcPr>
            <w:tcW w:w="0" w:type="auto"/>
            <w:tcBorders>
              <w:top w:val="single" w:sz="4" w:space="0" w:color="auto"/>
            </w:tcBorders>
            <w:vAlign w:val="bottom"/>
          </w:tcPr>
          <w:p w14:paraId="79DD17CE" w14:textId="77777777" w:rsidR="00EA35F8" w:rsidRPr="000942B3" w:rsidRDefault="00EA35F8" w:rsidP="008C15ED">
            <w:pPr>
              <w:contextualSpacing/>
              <w:jc w:val="left"/>
              <w:rPr>
                <w:sz w:val="19"/>
                <w:szCs w:val="19"/>
              </w:rPr>
            </w:pPr>
            <w:r w:rsidRPr="000942B3">
              <w:rPr>
                <w:sz w:val="19"/>
                <w:szCs w:val="19"/>
              </w:rPr>
              <w:t>5</w:t>
            </w:r>
            <w:r>
              <w:rPr>
                <w:sz w:val="19"/>
                <w:szCs w:val="19"/>
              </w:rPr>
              <w:t>–15</w:t>
            </w:r>
            <w:r w:rsidRPr="000942B3">
              <w:rPr>
                <w:sz w:val="19"/>
                <w:szCs w:val="19"/>
              </w:rPr>
              <w:t xml:space="preserve"> km DS Lock 6</w:t>
            </w:r>
          </w:p>
        </w:tc>
        <w:tc>
          <w:tcPr>
            <w:tcW w:w="0" w:type="auto"/>
            <w:tcBorders>
              <w:top w:val="single" w:sz="4" w:space="0" w:color="auto"/>
            </w:tcBorders>
            <w:vAlign w:val="bottom"/>
          </w:tcPr>
          <w:p w14:paraId="31E73FF5" w14:textId="77777777" w:rsidR="00EA35F8" w:rsidRPr="000942B3" w:rsidRDefault="00EA35F8" w:rsidP="008C15ED">
            <w:pPr>
              <w:contextualSpacing/>
              <w:jc w:val="left"/>
              <w:rPr>
                <w:sz w:val="19"/>
                <w:szCs w:val="19"/>
              </w:rPr>
            </w:pPr>
            <w:r w:rsidRPr="000942B3">
              <w:rPr>
                <w:sz w:val="19"/>
                <w:szCs w:val="19"/>
              </w:rPr>
              <w:t>S</w:t>
            </w:r>
            <w:r>
              <w:rPr>
                <w:sz w:val="19"/>
                <w:szCs w:val="19"/>
              </w:rPr>
              <w:t>-</w:t>
            </w:r>
            <w:r w:rsidRPr="000942B3">
              <w:rPr>
                <w:sz w:val="19"/>
                <w:szCs w:val="19"/>
              </w:rPr>
              <w:t>34.0190</w:t>
            </w:r>
          </w:p>
        </w:tc>
        <w:tc>
          <w:tcPr>
            <w:tcW w:w="0" w:type="auto"/>
            <w:tcBorders>
              <w:top w:val="single" w:sz="4" w:space="0" w:color="auto"/>
            </w:tcBorders>
            <w:vAlign w:val="bottom"/>
          </w:tcPr>
          <w:p w14:paraId="0F8D793E" w14:textId="77777777" w:rsidR="00EA35F8" w:rsidRPr="000942B3" w:rsidRDefault="00EA35F8" w:rsidP="008C15ED">
            <w:pPr>
              <w:contextualSpacing/>
              <w:jc w:val="left"/>
              <w:rPr>
                <w:sz w:val="19"/>
                <w:szCs w:val="19"/>
              </w:rPr>
            </w:pPr>
            <w:r w:rsidRPr="000942B3">
              <w:rPr>
                <w:sz w:val="19"/>
                <w:szCs w:val="19"/>
              </w:rPr>
              <w:t>E140.87572</w:t>
            </w:r>
          </w:p>
        </w:tc>
      </w:tr>
      <w:tr w:rsidR="00EA35F8" w:rsidRPr="000942B3" w14:paraId="0BD0E377" w14:textId="77777777" w:rsidTr="008C15ED">
        <w:trPr>
          <w:trHeight w:val="340"/>
          <w:jc w:val="center"/>
        </w:trPr>
        <w:tc>
          <w:tcPr>
            <w:tcW w:w="0" w:type="auto"/>
            <w:vAlign w:val="bottom"/>
          </w:tcPr>
          <w:p w14:paraId="2460C199" w14:textId="77777777" w:rsidR="00EA35F8" w:rsidRPr="000942B3" w:rsidRDefault="00EA35F8" w:rsidP="008C15ED">
            <w:pPr>
              <w:contextualSpacing/>
              <w:jc w:val="left"/>
              <w:rPr>
                <w:sz w:val="19"/>
                <w:szCs w:val="19"/>
              </w:rPr>
            </w:pPr>
            <w:r>
              <w:rPr>
                <w:sz w:val="19"/>
                <w:szCs w:val="19"/>
              </w:rPr>
              <w:t>Floodplain</w:t>
            </w:r>
          </w:p>
        </w:tc>
        <w:tc>
          <w:tcPr>
            <w:tcW w:w="0" w:type="auto"/>
            <w:vAlign w:val="bottom"/>
          </w:tcPr>
          <w:p w14:paraId="2EEFCD6B" w14:textId="77777777" w:rsidR="00EA35F8" w:rsidRPr="000942B3" w:rsidRDefault="00EA35F8" w:rsidP="008C15ED">
            <w:pPr>
              <w:contextualSpacing/>
              <w:jc w:val="left"/>
              <w:rPr>
                <w:sz w:val="19"/>
                <w:szCs w:val="19"/>
              </w:rPr>
            </w:pPr>
            <w:r>
              <w:rPr>
                <w:sz w:val="19"/>
                <w:szCs w:val="19"/>
              </w:rPr>
              <w:t>15 km DS Lock 4</w:t>
            </w:r>
          </w:p>
        </w:tc>
        <w:tc>
          <w:tcPr>
            <w:tcW w:w="0" w:type="auto"/>
            <w:vAlign w:val="bottom"/>
          </w:tcPr>
          <w:p w14:paraId="40A85C9C" w14:textId="77777777" w:rsidR="00EA35F8" w:rsidRPr="000942B3" w:rsidRDefault="00EA35F8" w:rsidP="008C15ED">
            <w:pPr>
              <w:contextualSpacing/>
              <w:jc w:val="left"/>
              <w:rPr>
                <w:sz w:val="19"/>
                <w:szCs w:val="19"/>
              </w:rPr>
            </w:pPr>
            <w:r>
              <w:rPr>
                <w:sz w:val="19"/>
                <w:szCs w:val="19"/>
              </w:rPr>
              <w:t>S-</w:t>
            </w:r>
            <w:r w:rsidRPr="00AF04AD">
              <w:rPr>
                <w:sz w:val="19"/>
                <w:szCs w:val="19"/>
              </w:rPr>
              <w:t>34.389</w:t>
            </w:r>
            <w:r>
              <w:rPr>
                <w:sz w:val="19"/>
                <w:szCs w:val="19"/>
              </w:rPr>
              <w:t>2</w:t>
            </w:r>
          </w:p>
        </w:tc>
        <w:tc>
          <w:tcPr>
            <w:tcW w:w="0" w:type="auto"/>
            <w:vAlign w:val="bottom"/>
          </w:tcPr>
          <w:p w14:paraId="15F5A53D" w14:textId="77777777" w:rsidR="00EA35F8" w:rsidRPr="000942B3" w:rsidRDefault="00EA35F8" w:rsidP="008C15ED">
            <w:pPr>
              <w:contextualSpacing/>
              <w:jc w:val="left"/>
              <w:rPr>
                <w:sz w:val="19"/>
                <w:szCs w:val="19"/>
              </w:rPr>
            </w:pPr>
            <w:r>
              <w:rPr>
                <w:sz w:val="19"/>
                <w:szCs w:val="19"/>
              </w:rPr>
              <w:t>E140.59477</w:t>
            </w:r>
          </w:p>
        </w:tc>
      </w:tr>
      <w:tr w:rsidR="00EA35F8" w:rsidRPr="000942B3" w14:paraId="21C8F86A" w14:textId="77777777" w:rsidTr="008C15ED">
        <w:trPr>
          <w:trHeight w:val="340"/>
          <w:jc w:val="center"/>
        </w:trPr>
        <w:tc>
          <w:tcPr>
            <w:tcW w:w="0" w:type="auto"/>
            <w:tcBorders>
              <w:bottom w:val="single" w:sz="4" w:space="0" w:color="auto"/>
            </w:tcBorders>
            <w:vAlign w:val="bottom"/>
          </w:tcPr>
          <w:p w14:paraId="67B2F896" w14:textId="77777777" w:rsidR="00EA35F8" w:rsidRPr="000942B3" w:rsidRDefault="00EA35F8" w:rsidP="008C15ED">
            <w:pPr>
              <w:contextualSpacing/>
              <w:jc w:val="left"/>
              <w:rPr>
                <w:sz w:val="19"/>
                <w:szCs w:val="19"/>
              </w:rPr>
            </w:pPr>
            <w:r w:rsidRPr="000942B3">
              <w:rPr>
                <w:sz w:val="19"/>
                <w:szCs w:val="19"/>
              </w:rPr>
              <w:t>Gorge</w:t>
            </w:r>
          </w:p>
        </w:tc>
        <w:tc>
          <w:tcPr>
            <w:tcW w:w="0" w:type="auto"/>
            <w:tcBorders>
              <w:bottom w:val="single" w:sz="4" w:space="0" w:color="auto"/>
            </w:tcBorders>
            <w:vAlign w:val="bottom"/>
          </w:tcPr>
          <w:p w14:paraId="57F780B6" w14:textId="77777777" w:rsidR="00EA35F8" w:rsidRPr="000942B3" w:rsidRDefault="00EA35F8" w:rsidP="008C15ED">
            <w:pPr>
              <w:contextualSpacing/>
              <w:jc w:val="left"/>
              <w:rPr>
                <w:sz w:val="19"/>
                <w:szCs w:val="19"/>
              </w:rPr>
            </w:pPr>
            <w:r w:rsidRPr="000942B3">
              <w:rPr>
                <w:sz w:val="19"/>
                <w:szCs w:val="19"/>
              </w:rPr>
              <w:t>5</w:t>
            </w:r>
            <w:r>
              <w:rPr>
                <w:sz w:val="19"/>
                <w:szCs w:val="19"/>
              </w:rPr>
              <w:t>–15</w:t>
            </w:r>
            <w:r w:rsidRPr="000942B3">
              <w:rPr>
                <w:sz w:val="19"/>
                <w:szCs w:val="19"/>
              </w:rPr>
              <w:t xml:space="preserve"> km DS Lock 1</w:t>
            </w:r>
          </w:p>
        </w:tc>
        <w:tc>
          <w:tcPr>
            <w:tcW w:w="0" w:type="auto"/>
            <w:tcBorders>
              <w:bottom w:val="single" w:sz="4" w:space="0" w:color="auto"/>
            </w:tcBorders>
            <w:vAlign w:val="bottom"/>
          </w:tcPr>
          <w:p w14:paraId="4D11A760" w14:textId="77777777" w:rsidR="00EA35F8" w:rsidRPr="000942B3" w:rsidRDefault="00EA35F8" w:rsidP="008C15ED">
            <w:pPr>
              <w:contextualSpacing/>
              <w:jc w:val="left"/>
              <w:rPr>
                <w:sz w:val="19"/>
                <w:szCs w:val="19"/>
              </w:rPr>
            </w:pPr>
            <w:r w:rsidRPr="000942B3">
              <w:rPr>
                <w:sz w:val="19"/>
                <w:szCs w:val="19"/>
              </w:rPr>
              <w:t>S</w:t>
            </w:r>
            <w:r>
              <w:rPr>
                <w:sz w:val="19"/>
                <w:szCs w:val="19"/>
              </w:rPr>
              <w:t>-</w:t>
            </w:r>
            <w:r w:rsidRPr="000942B3">
              <w:rPr>
                <w:sz w:val="19"/>
                <w:szCs w:val="19"/>
              </w:rPr>
              <w:t>34.4052</w:t>
            </w:r>
          </w:p>
        </w:tc>
        <w:tc>
          <w:tcPr>
            <w:tcW w:w="0" w:type="auto"/>
            <w:tcBorders>
              <w:bottom w:val="single" w:sz="4" w:space="0" w:color="auto"/>
            </w:tcBorders>
            <w:vAlign w:val="bottom"/>
          </w:tcPr>
          <w:p w14:paraId="394EDEE0" w14:textId="77777777" w:rsidR="00EA35F8" w:rsidRPr="000942B3" w:rsidRDefault="00EA35F8" w:rsidP="008C15ED">
            <w:pPr>
              <w:contextualSpacing/>
              <w:jc w:val="left"/>
              <w:rPr>
                <w:sz w:val="19"/>
                <w:szCs w:val="19"/>
              </w:rPr>
            </w:pPr>
            <w:r w:rsidRPr="000942B3">
              <w:rPr>
                <w:sz w:val="19"/>
                <w:szCs w:val="19"/>
              </w:rPr>
              <w:t>E139.61723</w:t>
            </w:r>
          </w:p>
        </w:tc>
      </w:tr>
    </w:tbl>
    <w:p w14:paraId="35EEC776" w14:textId="77777777" w:rsidR="00EA35F8" w:rsidRDefault="00EA35F8" w:rsidP="00EA35F8"/>
    <w:p w14:paraId="2466C240" w14:textId="77777777" w:rsidR="00EA35F8" w:rsidRDefault="00EA35F8" w:rsidP="00EA35F8">
      <w:pPr>
        <w:pStyle w:val="Heading4"/>
        <w:numPr>
          <w:ilvl w:val="3"/>
          <w:numId w:val="21"/>
        </w:numPr>
        <w:ind w:left="0"/>
        <w:rPr>
          <w:szCs w:val="21"/>
        </w:rPr>
      </w:pPr>
      <w:r w:rsidRPr="005767B3">
        <w:rPr>
          <w:szCs w:val="21"/>
        </w:rPr>
        <w:t>Modelling and statistical analyses</w:t>
      </w:r>
    </w:p>
    <w:p w14:paraId="1536D690" w14:textId="77777777" w:rsidR="00EA35F8" w:rsidRPr="00DE521A" w:rsidRDefault="00EA35F8" w:rsidP="00EA35F8">
      <w:r>
        <w:t xml:space="preserve">Both categorical and continuous predictors were used to build a model to predict the response of </w:t>
      </w:r>
      <w:proofErr w:type="spellStart"/>
      <w:r>
        <w:t>microinvertebrates</w:t>
      </w:r>
      <w:proofErr w:type="spellEnd"/>
      <w:r>
        <w:t xml:space="preserve"> to flow. Categorical predictors were month, water year, </w:t>
      </w:r>
      <w:proofErr w:type="gramStart"/>
      <w:r>
        <w:t>lock</w:t>
      </w:r>
      <w:proofErr w:type="gramEnd"/>
      <w:r>
        <w:t xml:space="preserve"> and site, while continuous predictors quantified: (1) flow, (2) flow variability, (3) water quality and (4) inundated floodplain area (Appendix D). For flow, we calculated both short-term (mean flow on the date of sampling) and long-term flow (mean flow over the preceding 12-week period) predictors. Flow variability was quantified as the change in flow over the preceding 10-days prior to sampling (denoted ‘flow trend’ or ‘dQ10’). Water quality parameters used were daily temperature and electrical conductivity. Floodplain inundated area was quantified using the DEW MIKE model outputs (M. Gibbs, pers comm; see Appendix D for details). Values were summed over 28- and 60-day periods to estimate inundated floodplain area corresponding to an estimated minimum period required for </w:t>
      </w:r>
      <w:proofErr w:type="gramStart"/>
      <w:r>
        <w:t>the majority of</w:t>
      </w:r>
      <w:proofErr w:type="gramEnd"/>
      <w:r>
        <w:t xml:space="preserve"> taxa to emerge from the egg bank and complete one or two life cycles. A global model including all predictors was fit first, then optimised using an automated procedure. Model predictive performance was assessed prior to use in modelling scenarios (see Appendix D for details). </w:t>
      </w:r>
    </w:p>
    <w:p w14:paraId="5B4EC6E4" w14:textId="1EE5820B" w:rsidR="00EA35F8" w:rsidRDefault="00EA35F8" w:rsidP="00EA35F8">
      <w:pPr>
        <w:rPr>
          <w:lang w:val="en-US"/>
        </w:rPr>
      </w:pPr>
      <w:r>
        <w:t xml:space="preserve">To assess the influence of Commonwealth environmental water on </w:t>
      </w:r>
      <w:proofErr w:type="spellStart"/>
      <w:r>
        <w:t>microinvertebrate</w:t>
      </w:r>
      <w:proofErr w:type="spellEnd"/>
      <w:r>
        <w:t xml:space="preserve"> density, taxonomic richness and community assemblage structure (including rotifers, </w:t>
      </w:r>
      <w:proofErr w:type="spellStart"/>
      <w:r>
        <w:t>cladocerans</w:t>
      </w:r>
      <w:proofErr w:type="spellEnd"/>
      <w:r>
        <w:t xml:space="preserve"> and copepods) over the long-term (5 years), </w:t>
      </w:r>
      <w:r>
        <w:rPr>
          <w:lang w:val="en-US"/>
        </w:rPr>
        <w:t>variation between sampling years (i.e. 2014-15, 2015-16, 2016-17, 2017-18 and 2019-20</w:t>
      </w:r>
      <w:r w:rsidR="00651D6F">
        <w:rPr>
          <w:lang w:val="en-US"/>
        </w:rPr>
        <w:t>, presented in Appendix D</w:t>
      </w:r>
      <w:r>
        <w:rPr>
          <w:lang w:val="en-US"/>
        </w:rPr>
        <w:t>) and sites (2019-20</w:t>
      </w:r>
      <w:r w:rsidR="00651D6F">
        <w:rPr>
          <w:lang w:val="en-US"/>
        </w:rPr>
        <w:t>, presented below</w:t>
      </w:r>
      <w:r>
        <w:rPr>
          <w:lang w:val="en-US"/>
        </w:rPr>
        <w:t xml:space="preserve">) was investigated. In testing all hypotheses, a common methodology was used. First, models were fit to all existing data using observed flow conditions and other predictors (following section). Second, the predictors were re-calculated using the modelled flow data for scenarios of no Commonwealth environmental water contributions (hereafter </w:t>
      </w:r>
      <w:r w:rsidRPr="00EA367A">
        <w:rPr>
          <w:b/>
          <w:bCs/>
          <w:lang w:val="en-US"/>
        </w:rPr>
        <w:t>“No CEW”</w:t>
      </w:r>
      <w:r>
        <w:rPr>
          <w:lang w:val="en-US"/>
        </w:rPr>
        <w:t>) and no environmental water at all (</w:t>
      </w:r>
      <w:r w:rsidRPr="00EA367A">
        <w:rPr>
          <w:b/>
          <w:bCs/>
          <w:lang w:val="en-US"/>
        </w:rPr>
        <w:t>“No eWater”</w:t>
      </w:r>
      <w:r>
        <w:rPr>
          <w:lang w:val="en-US"/>
        </w:rPr>
        <w:t xml:space="preserve">). Models were re-run using the predictors calculated on modelled scenarios and the predicted </w:t>
      </w:r>
      <w:proofErr w:type="spellStart"/>
      <w:r>
        <w:rPr>
          <w:lang w:val="en-US"/>
        </w:rPr>
        <w:t>microinvertebrate</w:t>
      </w:r>
      <w:proofErr w:type="spellEnd"/>
      <w:r>
        <w:rPr>
          <w:lang w:val="en-US"/>
        </w:rPr>
        <w:t xml:space="preserve"> metrics were compared between the three scenarios using paired t-tests to determine whether predicted changes in </w:t>
      </w:r>
      <w:proofErr w:type="spellStart"/>
      <w:r>
        <w:rPr>
          <w:lang w:val="en-US"/>
        </w:rPr>
        <w:t>microinvertebrates</w:t>
      </w:r>
      <w:proofErr w:type="spellEnd"/>
      <w:r>
        <w:rPr>
          <w:lang w:val="en-US"/>
        </w:rPr>
        <w:t xml:space="preserve"> differed from observed variability (i.e., whether such a result would be expected at random). The overall contribution of environmental water was calculated as the difference between the observed and modelled No eWater scenarios. The difference between the No CEW and observed scenarios was the contribution by Commonwealth environmental water. Models were built to test each hypothesis as follows:</w:t>
      </w:r>
    </w:p>
    <w:p w14:paraId="7830F390" w14:textId="7F05EA97" w:rsidR="00EA35F8" w:rsidRDefault="00B32D8C" w:rsidP="00EA35F8">
      <w:pPr>
        <w:pStyle w:val="ListParagraph"/>
        <w:numPr>
          <w:ilvl w:val="0"/>
          <w:numId w:val="24"/>
        </w:numPr>
        <w:rPr>
          <w:lang w:val="en-US"/>
        </w:rPr>
      </w:pPr>
      <w:r>
        <w:rPr>
          <w:lang w:val="en-US"/>
        </w:rPr>
        <w:t xml:space="preserve">H1: </w:t>
      </w:r>
      <w:r w:rsidR="00EA35F8">
        <w:rPr>
          <w:lang w:val="en-US"/>
        </w:rPr>
        <w:t xml:space="preserve">(a) density of </w:t>
      </w:r>
      <w:proofErr w:type="spellStart"/>
      <w:r w:rsidR="00EA35F8">
        <w:rPr>
          <w:lang w:val="en-US"/>
        </w:rPr>
        <w:t>microinvertebrates</w:t>
      </w:r>
      <w:proofErr w:type="spellEnd"/>
      <w:r w:rsidR="00EA35F8">
        <w:rPr>
          <w:lang w:val="en-US"/>
        </w:rPr>
        <w:t xml:space="preserve"> (estimated as the mean of three replicates) and</w:t>
      </w:r>
      <w:r>
        <w:rPr>
          <w:lang w:val="en-US"/>
        </w:rPr>
        <w:t xml:space="preserve"> </w:t>
      </w:r>
      <w:r w:rsidR="00EA35F8">
        <w:rPr>
          <w:lang w:val="en-US"/>
        </w:rPr>
        <w:t>(b) taxonomic richness (total taxa within the three replicates</w:t>
      </w:r>
      <w:proofErr w:type="gramStart"/>
      <w:r w:rsidR="00EA35F8">
        <w:rPr>
          <w:lang w:val="en-US"/>
        </w:rPr>
        <w:t>)</w:t>
      </w:r>
      <w:r>
        <w:rPr>
          <w:lang w:val="en-US"/>
        </w:rPr>
        <w:t>;</w:t>
      </w:r>
      <w:proofErr w:type="gramEnd"/>
    </w:p>
    <w:p w14:paraId="08FCDA3F" w14:textId="6F41F44C" w:rsidR="00EA35F8" w:rsidRDefault="00B32D8C" w:rsidP="00EA35F8">
      <w:pPr>
        <w:pStyle w:val="ListParagraph"/>
        <w:numPr>
          <w:ilvl w:val="0"/>
          <w:numId w:val="24"/>
        </w:numPr>
        <w:rPr>
          <w:lang w:val="en-US"/>
        </w:rPr>
      </w:pPr>
      <w:r>
        <w:rPr>
          <w:lang w:val="en-US"/>
        </w:rPr>
        <w:t xml:space="preserve">H2: </w:t>
      </w:r>
      <w:r w:rsidR="00EA35F8">
        <w:rPr>
          <w:lang w:val="en-US"/>
        </w:rPr>
        <w:t xml:space="preserve">Density of </w:t>
      </w:r>
      <w:proofErr w:type="spellStart"/>
      <w:r w:rsidR="00EA35F8">
        <w:rPr>
          <w:lang w:val="en-US"/>
        </w:rPr>
        <w:t>microinvertebrate</w:t>
      </w:r>
      <w:proofErr w:type="spellEnd"/>
      <w:r w:rsidR="00EA35F8">
        <w:rPr>
          <w:lang w:val="en-US"/>
        </w:rPr>
        <w:t xml:space="preserve"> taxa with assumed greater dependence on: (</w:t>
      </w:r>
      <w:proofErr w:type="spellStart"/>
      <w:r w:rsidR="00EA35F8">
        <w:rPr>
          <w:lang w:val="en-US"/>
        </w:rPr>
        <w:t>i</w:t>
      </w:r>
      <w:proofErr w:type="spellEnd"/>
      <w:r w:rsidR="00EA35F8">
        <w:rPr>
          <w:lang w:val="en-US"/>
        </w:rPr>
        <w:t xml:space="preserve">) lateral connectivity (due to the longer period of time to complete their life cycle), </w:t>
      </w:r>
      <w:proofErr w:type="gramStart"/>
      <w:r w:rsidR="00EA35F8">
        <w:rPr>
          <w:lang w:val="en-US"/>
        </w:rPr>
        <w:t>and,</w:t>
      </w:r>
      <w:proofErr w:type="gramEnd"/>
      <w:r w:rsidR="00EA35F8">
        <w:rPr>
          <w:lang w:val="en-US"/>
        </w:rPr>
        <w:t xml:space="preserve"> (ii) longitudinal transport. Category (</w:t>
      </w:r>
      <w:proofErr w:type="spellStart"/>
      <w:r w:rsidR="00EA35F8">
        <w:rPr>
          <w:lang w:val="en-US"/>
        </w:rPr>
        <w:t>i</w:t>
      </w:r>
      <w:proofErr w:type="spellEnd"/>
      <w:r w:rsidR="00EA35F8">
        <w:rPr>
          <w:lang w:val="en-US"/>
        </w:rPr>
        <w:t xml:space="preserve">) taxa were littoral and pelagic </w:t>
      </w:r>
      <w:proofErr w:type="spellStart"/>
      <w:r w:rsidR="00EA35F8">
        <w:rPr>
          <w:lang w:val="en-US"/>
        </w:rPr>
        <w:t>cladocerans</w:t>
      </w:r>
      <w:proofErr w:type="spellEnd"/>
      <w:r w:rsidR="00EA35F8">
        <w:rPr>
          <w:lang w:val="en-US"/>
        </w:rPr>
        <w:t>, and calanoid and cyclopoid copepods, comprising 32 taxa (</w:t>
      </w:r>
      <w:r w:rsidR="00EA35F8">
        <w:rPr>
          <w:lang w:val="en-US"/>
        </w:rPr>
        <w:fldChar w:fldCharType="begin"/>
      </w:r>
      <w:r w:rsidR="00EA35F8">
        <w:rPr>
          <w:lang w:val="en-US"/>
        </w:rPr>
        <w:instrText xml:space="preserve"> REF _Ref58064141 \h </w:instrText>
      </w:r>
      <w:r w:rsidR="00EA35F8">
        <w:rPr>
          <w:lang w:val="en-US"/>
        </w:rPr>
      </w:r>
      <w:r w:rsidR="00EA35F8">
        <w:rPr>
          <w:lang w:val="en-US"/>
        </w:rPr>
        <w:fldChar w:fldCharType="separate"/>
      </w:r>
      <w:r w:rsidR="00682431">
        <w:t xml:space="preserve">Table </w:t>
      </w:r>
      <w:r w:rsidR="00682431">
        <w:rPr>
          <w:noProof/>
        </w:rPr>
        <w:t>16</w:t>
      </w:r>
      <w:r w:rsidR="00EA35F8">
        <w:rPr>
          <w:lang w:val="en-US"/>
        </w:rPr>
        <w:fldChar w:fldCharType="end"/>
      </w:r>
      <w:r w:rsidR="00EA35F8">
        <w:rPr>
          <w:lang w:val="en-US"/>
        </w:rPr>
        <w:t>a). Category (ii) taxa (</w:t>
      </w:r>
      <w:r w:rsidR="00EA35F8">
        <w:rPr>
          <w:lang w:val="en-US"/>
        </w:rPr>
        <w:fldChar w:fldCharType="begin"/>
      </w:r>
      <w:r w:rsidR="00EA35F8">
        <w:rPr>
          <w:lang w:val="en-US"/>
        </w:rPr>
        <w:instrText xml:space="preserve"> REF _Ref58064141 \h </w:instrText>
      </w:r>
      <w:r w:rsidR="00EA35F8">
        <w:rPr>
          <w:lang w:val="en-US"/>
        </w:rPr>
      </w:r>
      <w:r w:rsidR="00EA35F8">
        <w:rPr>
          <w:lang w:val="en-US"/>
        </w:rPr>
        <w:fldChar w:fldCharType="separate"/>
      </w:r>
      <w:r w:rsidR="00682431">
        <w:t xml:space="preserve">Table </w:t>
      </w:r>
      <w:r w:rsidR="00682431">
        <w:rPr>
          <w:noProof/>
        </w:rPr>
        <w:t>16</w:t>
      </w:r>
      <w:r w:rsidR="00EA35F8">
        <w:rPr>
          <w:lang w:val="en-US"/>
        </w:rPr>
        <w:fldChar w:fldCharType="end"/>
      </w:r>
      <w:r w:rsidR="00EA35F8">
        <w:rPr>
          <w:lang w:val="en-US"/>
        </w:rPr>
        <w:t xml:space="preserve">b) were primarily pelagic rotifers, with their dependence inferred from their known biogeographical range (R. Shiel, pers comm, 2020) along with prior reports indicating the importance of upstream taxa in determining the turnover of lower Murray </w:t>
      </w:r>
      <w:proofErr w:type="spellStart"/>
      <w:r w:rsidR="00EA35F8">
        <w:rPr>
          <w:lang w:val="en-US"/>
        </w:rPr>
        <w:t>microinvertebrate</w:t>
      </w:r>
      <w:proofErr w:type="spellEnd"/>
      <w:r w:rsidR="00EA35F8">
        <w:rPr>
          <w:lang w:val="en-US"/>
        </w:rPr>
        <w:t xml:space="preserve"> </w:t>
      </w:r>
      <w:r w:rsidR="00EA35F8" w:rsidRPr="00291D53">
        <w:rPr>
          <w:lang w:val="en-US"/>
        </w:rPr>
        <w:t xml:space="preserve">assemblages (Ye </w:t>
      </w:r>
      <w:r w:rsidR="00EA35F8" w:rsidRPr="00BE1769">
        <w:rPr>
          <w:i/>
          <w:iCs/>
          <w:lang w:val="en-US"/>
        </w:rPr>
        <w:t>et al</w:t>
      </w:r>
      <w:r w:rsidR="00EA35F8" w:rsidRPr="00291D53">
        <w:rPr>
          <w:lang w:val="en-US"/>
        </w:rPr>
        <w:t>. 2020</w:t>
      </w:r>
      <w:proofErr w:type="gramStart"/>
      <w:r w:rsidR="00EA35F8" w:rsidRPr="00291D53">
        <w:rPr>
          <w:lang w:val="en-US"/>
        </w:rPr>
        <w:t>)</w:t>
      </w:r>
      <w:r>
        <w:rPr>
          <w:lang w:val="en-US"/>
        </w:rPr>
        <w:t>;</w:t>
      </w:r>
      <w:proofErr w:type="gramEnd"/>
    </w:p>
    <w:p w14:paraId="674D4AF9" w14:textId="2D8CC08D" w:rsidR="00EA35F8" w:rsidRDefault="00B32D8C" w:rsidP="00EA35F8">
      <w:pPr>
        <w:pStyle w:val="ListParagraph"/>
        <w:numPr>
          <w:ilvl w:val="0"/>
          <w:numId w:val="24"/>
        </w:numPr>
        <w:rPr>
          <w:lang w:val="en-US"/>
        </w:rPr>
      </w:pPr>
      <w:r>
        <w:rPr>
          <w:lang w:val="en-US"/>
        </w:rPr>
        <w:t xml:space="preserve">H3: </w:t>
      </w:r>
      <w:r w:rsidR="00EA35F8">
        <w:rPr>
          <w:lang w:val="en-US"/>
        </w:rPr>
        <w:t>Density</w:t>
      </w:r>
      <w:r w:rsidR="00EA35F8" w:rsidRPr="00B02158">
        <w:rPr>
          <w:lang w:val="en-US"/>
        </w:rPr>
        <w:t xml:space="preserve"> of </w:t>
      </w:r>
      <w:proofErr w:type="spellStart"/>
      <w:r w:rsidR="00EA35F8" w:rsidRPr="00B02158">
        <w:rPr>
          <w:lang w:val="en-US"/>
        </w:rPr>
        <w:t>microinvertebrate</w:t>
      </w:r>
      <w:proofErr w:type="spellEnd"/>
      <w:r w:rsidR="00EA35F8" w:rsidRPr="00B02158">
        <w:rPr>
          <w:lang w:val="en-US"/>
        </w:rPr>
        <w:t xml:space="preserve"> taxa identified in</w:t>
      </w:r>
      <w:r w:rsidR="00EA35F8">
        <w:rPr>
          <w:lang w:val="en-US"/>
        </w:rPr>
        <w:t xml:space="preserve"> the</w:t>
      </w:r>
      <w:r w:rsidR="00EA35F8" w:rsidRPr="00B02158">
        <w:rPr>
          <w:lang w:val="en-US"/>
        </w:rPr>
        <w:t xml:space="preserve"> Long</w:t>
      </w:r>
      <w:r w:rsidR="00EA35F8">
        <w:rPr>
          <w:lang w:val="en-US"/>
        </w:rPr>
        <w:t>-</w:t>
      </w:r>
      <w:r w:rsidR="00EA35F8" w:rsidRPr="00B02158">
        <w:rPr>
          <w:lang w:val="en-US"/>
        </w:rPr>
        <w:t xml:space="preserve">Term Intervention </w:t>
      </w:r>
      <w:r w:rsidR="00EA35F8">
        <w:rPr>
          <w:lang w:val="en-US"/>
        </w:rPr>
        <w:t>M</w:t>
      </w:r>
      <w:r w:rsidR="00EA35F8" w:rsidRPr="00B02158">
        <w:rPr>
          <w:lang w:val="en-US"/>
        </w:rPr>
        <w:t xml:space="preserve">onitoring </w:t>
      </w:r>
      <w:r w:rsidR="00EA35F8">
        <w:rPr>
          <w:lang w:val="en-US"/>
        </w:rPr>
        <w:t xml:space="preserve">technical </w:t>
      </w:r>
      <w:r w:rsidR="00EA35F8" w:rsidRPr="00291D53">
        <w:rPr>
          <w:lang w:val="en-US"/>
        </w:rPr>
        <w:t xml:space="preserve">report (Ye </w:t>
      </w:r>
      <w:r w:rsidR="00EA35F8" w:rsidRPr="00BE1769">
        <w:rPr>
          <w:i/>
          <w:iCs/>
          <w:lang w:val="en-US"/>
        </w:rPr>
        <w:t>et al</w:t>
      </w:r>
      <w:r w:rsidR="00EA35F8" w:rsidRPr="00291D53">
        <w:rPr>
          <w:lang w:val="en-US"/>
        </w:rPr>
        <w:t xml:space="preserve">. 2020) </w:t>
      </w:r>
      <w:r w:rsidR="00EA35F8" w:rsidRPr="00B02158">
        <w:rPr>
          <w:lang w:val="en-US"/>
        </w:rPr>
        <w:t>as preferred fish prey species</w:t>
      </w:r>
      <w:r w:rsidR="006045CA">
        <w:rPr>
          <w:lang w:val="en-US"/>
        </w:rPr>
        <w:t xml:space="preserve"> (</w:t>
      </w:r>
      <w:r w:rsidR="006045CA">
        <w:rPr>
          <w:lang w:val="en-US"/>
        </w:rPr>
        <w:fldChar w:fldCharType="begin"/>
      </w:r>
      <w:r w:rsidR="006045CA">
        <w:rPr>
          <w:lang w:val="en-US"/>
        </w:rPr>
        <w:instrText xml:space="preserve"> REF _Ref69310760 \h </w:instrText>
      </w:r>
      <w:r w:rsidR="006045CA">
        <w:rPr>
          <w:lang w:val="en-US"/>
        </w:rPr>
      </w:r>
      <w:r w:rsidR="006045CA">
        <w:rPr>
          <w:lang w:val="en-US"/>
        </w:rPr>
        <w:fldChar w:fldCharType="separate"/>
      </w:r>
      <w:r w:rsidR="006045CA">
        <w:t xml:space="preserve">Table </w:t>
      </w:r>
      <w:r w:rsidR="006045CA">
        <w:rPr>
          <w:noProof/>
        </w:rPr>
        <w:t>17</w:t>
      </w:r>
      <w:r w:rsidR="006045CA">
        <w:rPr>
          <w:lang w:val="en-US"/>
        </w:rPr>
        <w:fldChar w:fldCharType="end"/>
      </w:r>
      <w:r w:rsidR="006045CA">
        <w:rPr>
          <w:lang w:val="en-US"/>
        </w:rPr>
        <w:t>)</w:t>
      </w:r>
      <w:r w:rsidR="00EA35F8" w:rsidRPr="00B02158">
        <w:rPr>
          <w:lang w:val="en-US"/>
        </w:rPr>
        <w:t>.</w:t>
      </w:r>
    </w:p>
    <w:p w14:paraId="1B42131E" w14:textId="77777777" w:rsidR="00EA35F8" w:rsidRPr="0067577B" w:rsidRDefault="00EA35F8" w:rsidP="00EA35F8">
      <w:pPr>
        <w:spacing w:before="0" w:after="160" w:line="259" w:lineRule="auto"/>
        <w:jc w:val="left"/>
        <w:rPr>
          <w:lang w:val="en-US"/>
        </w:rPr>
      </w:pPr>
    </w:p>
    <w:p w14:paraId="50E42583" w14:textId="30571764" w:rsidR="00EA35F8" w:rsidRDefault="00EA35F8" w:rsidP="00F8184E">
      <w:pPr>
        <w:pStyle w:val="Captions"/>
      </w:pPr>
      <w:bookmarkStart w:id="233" w:name="_Ref58064141"/>
      <w:bookmarkStart w:id="234" w:name="_Toc63758533"/>
      <w:bookmarkStart w:id="235" w:name="_Toc69387745"/>
      <w:r>
        <w:t xml:space="preserve">Table </w:t>
      </w:r>
      <w:r>
        <w:fldChar w:fldCharType="begin"/>
      </w:r>
      <w:r>
        <w:instrText xml:space="preserve"> SEQ Table \* ARABIC </w:instrText>
      </w:r>
      <w:r>
        <w:fldChar w:fldCharType="separate"/>
      </w:r>
      <w:r w:rsidR="00CE5EF5">
        <w:rPr>
          <w:noProof/>
        </w:rPr>
        <w:t>16</w:t>
      </w:r>
      <w:r>
        <w:rPr>
          <w:noProof/>
        </w:rPr>
        <w:fldChar w:fldCharType="end"/>
      </w:r>
      <w:bookmarkEnd w:id="233"/>
      <w:r>
        <w:rPr>
          <w:noProof/>
        </w:rPr>
        <w:t>.</w:t>
      </w:r>
      <w:r>
        <w:t xml:space="preserve"> Taxa used to quantify the influence of environmental water on</w:t>
      </w:r>
      <w:bookmarkEnd w:id="234"/>
      <w:r>
        <w:t>.</w:t>
      </w:r>
      <w:bookmarkEnd w:id="235"/>
    </w:p>
    <w:tbl>
      <w:tblPr>
        <w:tblStyle w:val="TableGrid"/>
        <w:tblW w:w="90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5"/>
        <w:gridCol w:w="6682"/>
      </w:tblGrid>
      <w:tr w:rsidR="00EA35F8" w14:paraId="1EDF7B53" w14:textId="77777777" w:rsidTr="008C15ED">
        <w:tc>
          <w:tcPr>
            <w:tcW w:w="2385" w:type="dxa"/>
            <w:tcBorders>
              <w:top w:val="single" w:sz="4" w:space="0" w:color="auto"/>
              <w:bottom w:val="single" w:sz="4" w:space="0" w:color="auto"/>
            </w:tcBorders>
          </w:tcPr>
          <w:p w14:paraId="5B7FF498" w14:textId="77777777" w:rsidR="00EA35F8" w:rsidRDefault="00EA35F8" w:rsidP="008C15ED">
            <w:pPr>
              <w:pStyle w:val="TableHeading"/>
              <w:rPr>
                <w:lang w:val="en-US"/>
              </w:rPr>
            </w:pPr>
            <w:r>
              <w:rPr>
                <w:lang w:val="en-US"/>
              </w:rPr>
              <w:t>Dependence group</w:t>
            </w:r>
          </w:p>
        </w:tc>
        <w:tc>
          <w:tcPr>
            <w:tcW w:w="6682" w:type="dxa"/>
            <w:tcBorders>
              <w:top w:val="single" w:sz="4" w:space="0" w:color="auto"/>
              <w:bottom w:val="single" w:sz="4" w:space="0" w:color="auto"/>
            </w:tcBorders>
          </w:tcPr>
          <w:p w14:paraId="56D75B89" w14:textId="77777777" w:rsidR="00EA35F8" w:rsidRDefault="00EA35F8" w:rsidP="008C15ED">
            <w:pPr>
              <w:pStyle w:val="TableHeading"/>
              <w:rPr>
                <w:lang w:val="en-US"/>
              </w:rPr>
            </w:pPr>
            <w:r>
              <w:rPr>
                <w:lang w:val="en-US"/>
              </w:rPr>
              <w:t>Taxa</w:t>
            </w:r>
          </w:p>
        </w:tc>
      </w:tr>
      <w:tr w:rsidR="00EA35F8" w14:paraId="78B91BA4" w14:textId="77777777" w:rsidTr="008C15ED">
        <w:tc>
          <w:tcPr>
            <w:tcW w:w="2385" w:type="dxa"/>
            <w:tcBorders>
              <w:top w:val="single" w:sz="4" w:space="0" w:color="auto"/>
              <w:bottom w:val="single" w:sz="4" w:space="0" w:color="auto"/>
            </w:tcBorders>
          </w:tcPr>
          <w:p w14:paraId="7E8AEFD9" w14:textId="77777777" w:rsidR="00EA35F8" w:rsidRPr="00887EF3" w:rsidRDefault="00EA35F8" w:rsidP="008C15ED">
            <w:pPr>
              <w:pStyle w:val="TableHeading"/>
              <w:rPr>
                <w:lang w:val="en-US"/>
              </w:rPr>
            </w:pPr>
            <w:r>
              <w:rPr>
                <w:lang w:val="en-US"/>
              </w:rPr>
              <w:t>(</w:t>
            </w:r>
            <w:proofErr w:type="spellStart"/>
            <w:r>
              <w:rPr>
                <w:lang w:val="en-US"/>
              </w:rPr>
              <w:t>i</w:t>
            </w:r>
            <w:proofErr w:type="spellEnd"/>
            <w:r>
              <w:rPr>
                <w:lang w:val="en-US"/>
              </w:rPr>
              <w:t>) </w:t>
            </w:r>
            <w:r w:rsidRPr="00887EF3">
              <w:rPr>
                <w:lang w:val="en-US"/>
              </w:rPr>
              <w:t>Lateral connectivity</w:t>
            </w:r>
          </w:p>
        </w:tc>
        <w:tc>
          <w:tcPr>
            <w:tcW w:w="6682" w:type="dxa"/>
            <w:tcBorders>
              <w:top w:val="single" w:sz="4" w:space="0" w:color="auto"/>
              <w:bottom w:val="single" w:sz="4" w:space="0" w:color="auto"/>
            </w:tcBorders>
          </w:tcPr>
          <w:p w14:paraId="332049B9" w14:textId="77777777" w:rsidR="00EA35F8" w:rsidRPr="00064CF4" w:rsidRDefault="00EA35F8" w:rsidP="008C15ED">
            <w:pPr>
              <w:pStyle w:val="TableText"/>
              <w:rPr>
                <w:i/>
                <w:iCs/>
                <w:lang w:val="en-US"/>
              </w:rPr>
            </w:pPr>
            <w:proofErr w:type="spellStart"/>
            <w:r w:rsidRPr="00064CF4">
              <w:rPr>
                <w:i/>
                <w:iCs/>
                <w:lang w:val="en-US"/>
              </w:rPr>
              <w:t>Acanthocyclops</w:t>
            </w:r>
            <w:proofErr w:type="spellEnd"/>
            <w:r w:rsidRPr="00064CF4">
              <w:rPr>
                <w:i/>
                <w:iCs/>
                <w:lang w:val="en-US"/>
              </w:rPr>
              <w:t xml:space="preserve"> </w:t>
            </w:r>
            <w:r w:rsidRPr="00064CF4">
              <w:rPr>
                <w:lang w:val="en-US"/>
              </w:rPr>
              <w:t>cf</w:t>
            </w:r>
            <w:r w:rsidRPr="00064CF4">
              <w:rPr>
                <w:i/>
                <w:iCs/>
                <w:lang w:val="en-US"/>
              </w:rPr>
              <w:t xml:space="preserve">. </w:t>
            </w:r>
            <w:proofErr w:type="spellStart"/>
            <w:r w:rsidRPr="00064CF4">
              <w:rPr>
                <w:i/>
                <w:iCs/>
                <w:lang w:val="en-US"/>
              </w:rPr>
              <w:t>vernalis</w:t>
            </w:r>
            <w:proofErr w:type="spellEnd"/>
            <w:r w:rsidRPr="00064CF4">
              <w:rPr>
                <w:i/>
                <w:iCs/>
                <w:lang w:val="en-US"/>
              </w:rPr>
              <w:t xml:space="preserve">, </w:t>
            </w:r>
            <w:proofErr w:type="spellStart"/>
            <w:r w:rsidRPr="00064CF4">
              <w:rPr>
                <w:i/>
                <w:iCs/>
                <w:lang w:val="en-US"/>
              </w:rPr>
              <w:t>Armatalona</w:t>
            </w:r>
            <w:proofErr w:type="spellEnd"/>
            <w:r w:rsidRPr="00064CF4">
              <w:rPr>
                <w:i/>
                <w:iCs/>
                <w:lang w:val="en-US"/>
              </w:rPr>
              <w:t xml:space="preserve"> </w:t>
            </w:r>
            <w:proofErr w:type="spellStart"/>
            <w:r w:rsidRPr="00064CF4">
              <w:rPr>
                <w:i/>
                <w:iCs/>
                <w:lang w:val="en-US"/>
              </w:rPr>
              <w:t>macrocopa</w:t>
            </w:r>
            <w:proofErr w:type="spellEnd"/>
            <w:r w:rsidRPr="00064CF4">
              <w:rPr>
                <w:i/>
                <w:iCs/>
                <w:lang w:val="en-US"/>
              </w:rPr>
              <w:t xml:space="preserve">, </w:t>
            </w:r>
            <w:proofErr w:type="spellStart"/>
            <w:r w:rsidRPr="00064CF4">
              <w:rPr>
                <w:i/>
                <w:iCs/>
                <w:lang w:val="en-US"/>
              </w:rPr>
              <w:t>Australocyclops</w:t>
            </w:r>
            <w:proofErr w:type="spellEnd"/>
            <w:r w:rsidRPr="00064CF4">
              <w:rPr>
                <w:i/>
                <w:iCs/>
                <w:lang w:val="en-US"/>
              </w:rPr>
              <w:t xml:space="preserve"> australis, </w:t>
            </w:r>
            <w:proofErr w:type="spellStart"/>
            <w:r w:rsidRPr="00064CF4">
              <w:rPr>
                <w:i/>
                <w:iCs/>
                <w:lang w:val="en-US"/>
              </w:rPr>
              <w:t>Boeckella</w:t>
            </w:r>
            <w:proofErr w:type="spellEnd"/>
            <w:r w:rsidRPr="00064CF4">
              <w:rPr>
                <w:i/>
                <w:iCs/>
                <w:lang w:val="en-US"/>
              </w:rPr>
              <w:t xml:space="preserve"> </w:t>
            </w:r>
            <w:proofErr w:type="spellStart"/>
            <w:r w:rsidRPr="00064CF4">
              <w:rPr>
                <w:i/>
                <w:iCs/>
                <w:lang w:val="en-US"/>
              </w:rPr>
              <w:t>triarticulata</w:t>
            </w:r>
            <w:proofErr w:type="spellEnd"/>
            <w:r w:rsidRPr="00064CF4">
              <w:rPr>
                <w:i/>
                <w:iCs/>
                <w:lang w:val="en-US"/>
              </w:rPr>
              <w:t xml:space="preserve">, Bosmina </w:t>
            </w:r>
            <w:proofErr w:type="spellStart"/>
            <w:r w:rsidRPr="00064CF4">
              <w:rPr>
                <w:i/>
                <w:iCs/>
                <w:lang w:val="en-US"/>
              </w:rPr>
              <w:t>meridionalis</w:t>
            </w:r>
            <w:proofErr w:type="spellEnd"/>
            <w:r w:rsidRPr="00064CF4">
              <w:rPr>
                <w:i/>
                <w:iCs/>
                <w:lang w:val="en-US"/>
              </w:rPr>
              <w:t xml:space="preserve">, </w:t>
            </w:r>
            <w:proofErr w:type="spellStart"/>
            <w:r w:rsidRPr="00064CF4">
              <w:rPr>
                <w:i/>
                <w:iCs/>
                <w:lang w:val="en-US"/>
              </w:rPr>
              <w:t>Calamoecia</w:t>
            </w:r>
            <w:proofErr w:type="spellEnd"/>
            <w:r w:rsidRPr="00064CF4">
              <w:rPr>
                <w:i/>
                <w:iCs/>
                <w:lang w:val="en-US"/>
              </w:rPr>
              <w:t xml:space="preserve"> ampulla, </w:t>
            </w:r>
            <w:proofErr w:type="spellStart"/>
            <w:r w:rsidRPr="00064CF4">
              <w:rPr>
                <w:i/>
                <w:iCs/>
                <w:lang w:val="en-US"/>
              </w:rPr>
              <w:t>Calamoecia</w:t>
            </w:r>
            <w:proofErr w:type="spellEnd"/>
            <w:r w:rsidRPr="00064CF4">
              <w:rPr>
                <w:i/>
                <w:iCs/>
                <w:lang w:val="en-US"/>
              </w:rPr>
              <w:t xml:space="preserve"> sp., </w:t>
            </w:r>
            <w:r w:rsidRPr="00064CF4">
              <w:rPr>
                <w:lang w:val="en-US"/>
              </w:rPr>
              <w:t>calanoid and cyclopoid copepodites</w:t>
            </w:r>
            <w:r w:rsidRPr="00064CF4">
              <w:rPr>
                <w:i/>
                <w:iCs/>
                <w:lang w:val="en-US"/>
              </w:rPr>
              <w:t xml:space="preserve">, </w:t>
            </w:r>
            <w:proofErr w:type="spellStart"/>
            <w:r w:rsidRPr="00064CF4">
              <w:rPr>
                <w:i/>
                <w:iCs/>
                <w:lang w:val="en-US"/>
              </w:rPr>
              <w:t>Ceriodaphnia</w:t>
            </w:r>
            <w:proofErr w:type="spellEnd"/>
            <w:r w:rsidRPr="00064CF4">
              <w:rPr>
                <w:i/>
                <w:iCs/>
                <w:lang w:val="en-US"/>
              </w:rPr>
              <w:t xml:space="preserve"> </w:t>
            </w:r>
            <w:proofErr w:type="spellStart"/>
            <w:r w:rsidRPr="00064CF4">
              <w:rPr>
                <w:i/>
                <w:iCs/>
                <w:lang w:val="en-US"/>
              </w:rPr>
              <w:t>cornuta</w:t>
            </w:r>
            <w:proofErr w:type="spellEnd"/>
            <w:r w:rsidRPr="00064CF4">
              <w:rPr>
                <w:i/>
                <w:iCs/>
                <w:lang w:val="en-US"/>
              </w:rPr>
              <w:t xml:space="preserve">, </w:t>
            </w:r>
            <w:proofErr w:type="spellStart"/>
            <w:r w:rsidRPr="00064CF4">
              <w:rPr>
                <w:i/>
                <w:iCs/>
                <w:lang w:val="en-US"/>
              </w:rPr>
              <w:t>Ceriodaphnia</w:t>
            </w:r>
            <w:proofErr w:type="spellEnd"/>
            <w:r w:rsidRPr="00064CF4">
              <w:rPr>
                <w:i/>
                <w:iCs/>
                <w:lang w:val="en-US"/>
              </w:rPr>
              <w:t xml:space="preserve"> </w:t>
            </w:r>
            <w:r w:rsidRPr="00064CF4">
              <w:rPr>
                <w:lang w:val="en-US"/>
              </w:rPr>
              <w:t>sp</w:t>
            </w:r>
            <w:r w:rsidRPr="00064CF4">
              <w:rPr>
                <w:i/>
                <w:iCs/>
                <w:lang w:val="en-US"/>
              </w:rPr>
              <w:t xml:space="preserve">., </w:t>
            </w:r>
            <w:proofErr w:type="spellStart"/>
            <w:r w:rsidRPr="00064CF4">
              <w:rPr>
                <w:i/>
                <w:iCs/>
                <w:lang w:val="en-US"/>
              </w:rPr>
              <w:t>Chydorus</w:t>
            </w:r>
            <w:proofErr w:type="spellEnd"/>
            <w:r w:rsidRPr="00064CF4">
              <w:rPr>
                <w:i/>
                <w:iCs/>
                <w:lang w:val="en-US"/>
              </w:rPr>
              <w:t xml:space="preserve"> </w:t>
            </w:r>
            <w:r w:rsidRPr="00064CF4">
              <w:rPr>
                <w:lang w:val="en-US"/>
              </w:rPr>
              <w:t>cf</w:t>
            </w:r>
            <w:r w:rsidRPr="00064CF4">
              <w:rPr>
                <w:i/>
                <w:iCs/>
                <w:lang w:val="en-US"/>
              </w:rPr>
              <w:t xml:space="preserve">. </w:t>
            </w:r>
            <w:proofErr w:type="spellStart"/>
            <w:r w:rsidRPr="00064CF4">
              <w:rPr>
                <w:i/>
                <w:iCs/>
                <w:lang w:val="en-US"/>
              </w:rPr>
              <w:t>eurynotus</w:t>
            </w:r>
            <w:proofErr w:type="spellEnd"/>
            <w:r w:rsidRPr="00064CF4">
              <w:rPr>
                <w:i/>
                <w:iCs/>
                <w:lang w:val="en-US"/>
              </w:rPr>
              <w:t xml:space="preserve">, Daphnia </w:t>
            </w:r>
            <w:proofErr w:type="spellStart"/>
            <w:r w:rsidRPr="00064CF4">
              <w:rPr>
                <w:i/>
                <w:iCs/>
                <w:lang w:val="en-US"/>
              </w:rPr>
              <w:t>carinata</w:t>
            </w:r>
            <w:proofErr w:type="spellEnd"/>
            <w:r w:rsidRPr="00064CF4">
              <w:rPr>
                <w:i/>
                <w:iCs/>
                <w:lang w:val="en-US"/>
              </w:rPr>
              <w:t xml:space="preserve"> </w:t>
            </w:r>
            <w:proofErr w:type="spellStart"/>
            <w:r w:rsidRPr="00064CF4">
              <w:rPr>
                <w:i/>
                <w:iCs/>
                <w:lang w:val="en-US"/>
              </w:rPr>
              <w:t>s.l.</w:t>
            </w:r>
            <w:proofErr w:type="spellEnd"/>
            <w:r w:rsidRPr="00064CF4">
              <w:rPr>
                <w:i/>
                <w:iCs/>
                <w:lang w:val="en-US"/>
              </w:rPr>
              <w:t>, D</w:t>
            </w:r>
            <w:r>
              <w:rPr>
                <w:i/>
                <w:iCs/>
                <w:lang w:val="en-US"/>
              </w:rPr>
              <w:t>.</w:t>
            </w:r>
            <w:r w:rsidRPr="00064CF4">
              <w:rPr>
                <w:i/>
                <w:iCs/>
                <w:lang w:val="en-US"/>
              </w:rPr>
              <w:t xml:space="preserve"> </w:t>
            </w:r>
            <w:proofErr w:type="spellStart"/>
            <w:r w:rsidRPr="00064CF4">
              <w:rPr>
                <w:i/>
                <w:iCs/>
                <w:lang w:val="en-US"/>
              </w:rPr>
              <w:t>galeata</w:t>
            </w:r>
            <w:proofErr w:type="spellEnd"/>
            <w:r w:rsidRPr="00064CF4">
              <w:rPr>
                <w:i/>
                <w:iCs/>
                <w:lang w:val="en-US"/>
              </w:rPr>
              <w:t>, D</w:t>
            </w:r>
            <w:r>
              <w:rPr>
                <w:i/>
                <w:iCs/>
                <w:lang w:val="en-US"/>
              </w:rPr>
              <w:t xml:space="preserve">. </w:t>
            </w:r>
            <w:proofErr w:type="spellStart"/>
            <w:r w:rsidRPr="00064CF4">
              <w:rPr>
                <w:i/>
                <w:iCs/>
                <w:lang w:val="en-US"/>
              </w:rPr>
              <w:t>lumholtzi</w:t>
            </w:r>
            <w:proofErr w:type="spellEnd"/>
            <w:r w:rsidRPr="00064CF4">
              <w:rPr>
                <w:i/>
                <w:iCs/>
                <w:lang w:val="en-US"/>
              </w:rPr>
              <w:t xml:space="preserve">, Daphnia sp., </w:t>
            </w:r>
            <w:proofErr w:type="spellStart"/>
            <w:r w:rsidRPr="00064CF4">
              <w:rPr>
                <w:i/>
                <w:iCs/>
                <w:lang w:val="en-US"/>
              </w:rPr>
              <w:t>Diaphanosoma</w:t>
            </w:r>
            <w:proofErr w:type="spellEnd"/>
            <w:r w:rsidRPr="00064CF4">
              <w:rPr>
                <w:i/>
                <w:iCs/>
                <w:lang w:val="en-US"/>
              </w:rPr>
              <w:t xml:space="preserve"> </w:t>
            </w:r>
            <w:proofErr w:type="spellStart"/>
            <w:r w:rsidRPr="00064CF4">
              <w:rPr>
                <w:i/>
                <w:iCs/>
                <w:lang w:val="en-US"/>
              </w:rPr>
              <w:t>excisum</w:t>
            </w:r>
            <w:proofErr w:type="spellEnd"/>
            <w:r w:rsidRPr="00064CF4">
              <w:rPr>
                <w:i/>
                <w:iCs/>
                <w:lang w:val="en-US"/>
              </w:rPr>
              <w:t xml:space="preserve">, </w:t>
            </w:r>
            <w:proofErr w:type="spellStart"/>
            <w:r w:rsidRPr="00064CF4">
              <w:rPr>
                <w:i/>
                <w:iCs/>
                <w:lang w:val="en-US"/>
              </w:rPr>
              <w:t>Gladioferens</w:t>
            </w:r>
            <w:proofErr w:type="spellEnd"/>
            <w:r w:rsidRPr="00064CF4">
              <w:rPr>
                <w:i/>
                <w:iCs/>
                <w:lang w:val="en-US"/>
              </w:rPr>
              <w:t xml:space="preserve"> </w:t>
            </w:r>
            <w:r w:rsidRPr="00064CF4">
              <w:rPr>
                <w:lang w:val="en-US"/>
              </w:rPr>
              <w:t>sp</w:t>
            </w:r>
            <w:r w:rsidRPr="00064CF4">
              <w:rPr>
                <w:i/>
                <w:iCs/>
                <w:lang w:val="en-US"/>
              </w:rPr>
              <w:t xml:space="preserve">., </w:t>
            </w:r>
            <w:proofErr w:type="spellStart"/>
            <w:r w:rsidRPr="00064CF4">
              <w:rPr>
                <w:i/>
                <w:iCs/>
                <w:lang w:val="en-US"/>
              </w:rPr>
              <w:t>Ilyocryptus</w:t>
            </w:r>
            <w:proofErr w:type="spellEnd"/>
            <w:r w:rsidRPr="00064CF4">
              <w:rPr>
                <w:i/>
                <w:iCs/>
                <w:lang w:val="en-US"/>
              </w:rPr>
              <w:t xml:space="preserve"> </w:t>
            </w:r>
            <w:r w:rsidRPr="00064CF4">
              <w:rPr>
                <w:lang w:val="en-US"/>
              </w:rPr>
              <w:t>sp</w:t>
            </w:r>
            <w:r w:rsidRPr="00064CF4">
              <w:rPr>
                <w:i/>
                <w:iCs/>
                <w:lang w:val="en-US"/>
              </w:rPr>
              <w:t xml:space="preserve">., </w:t>
            </w:r>
            <w:proofErr w:type="spellStart"/>
            <w:r w:rsidRPr="00064CF4">
              <w:rPr>
                <w:i/>
                <w:iCs/>
                <w:lang w:val="en-US"/>
              </w:rPr>
              <w:t>Leberis</w:t>
            </w:r>
            <w:proofErr w:type="spellEnd"/>
            <w:r>
              <w:rPr>
                <w:i/>
                <w:iCs/>
                <w:lang w:val="en-US"/>
              </w:rPr>
              <w:t xml:space="preserve"> </w:t>
            </w:r>
            <w:proofErr w:type="spellStart"/>
            <w:r>
              <w:rPr>
                <w:i/>
                <w:iCs/>
              </w:rPr>
              <w:t>diaphanus</w:t>
            </w:r>
            <w:proofErr w:type="spellEnd"/>
            <w:r w:rsidRPr="00064CF4">
              <w:rPr>
                <w:i/>
                <w:iCs/>
                <w:lang w:val="en-US"/>
              </w:rPr>
              <w:t xml:space="preserve">, </w:t>
            </w:r>
            <w:proofErr w:type="spellStart"/>
            <w:r w:rsidRPr="00064CF4">
              <w:rPr>
                <w:i/>
                <w:iCs/>
                <w:lang w:val="en-US"/>
              </w:rPr>
              <w:t>Macrothrix</w:t>
            </w:r>
            <w:proofErr w:type="spellEnd"/>
            <w:r w:rsidRPr="00064CF4">
              <w:rPr>
                <w:i/>
                <w:iCs/>
                <w:lang w:val="en-US"/>
              </w:rPr>
              <w:t xml:space="preserve"> </w:t>
            </w:r>
            <w:r w:rsidRPr="00064CF4">
              <w:rPr>
                <w:lang w:val="en-US"/>
              </w:rPr>
              <w:t>sp</w:t>
            </w:r>
            <w:r w:rsidRPr="00064CF4">
              <w:rPr>
                <w:i/>
                <w:iCs/>
                <w:lang w:val="en-US"/>
              </w:rPr>
              <w:t xml:space="preserve">., </w:t>
            </w:r>
            <w:proofErr w:type="spellStart"/>
            <w:r w:rsidRPr="00064CF4">
              <w:rPr>
                <w:i/>
                <w:iCs/>
                <w:lang w:val="en-US"/>
              </w:rPr>
              <w:t>Mesocyclops</w:t>
            </w:r>
            <w:proofErr w:type="spellEnd"/>
            <w:r w:rsidRPr="00064CF4">
              <w:rPr>
                <w:i/>
                <w:iCs/>
                <w:lang w:val="en-US"/>
              </w:rPr>
              <w:t xml:space="preserve"> </w:t>
            </w:r>
            <w:proofErr w:type="spellStart"/>
            <w:r w:rsidRPr="00064CF4">
              <w:rPr>
                <w:i/>
                <w:iCs/>
                <w:lang w:val="en-US"/>
              </w:rPr>
              <w:t>notius</w:t>
            </w:r>
            <w:proofErr w:type="spellEnd"/>
            <w:r w:rsidRPr="00064CF4">
              <w:rPr>
                <w:i/>
                <w:iCs/>
                <w:lang w:val="en-US"/>
              </w:rPr>
              <w:t xml:space="preserve">, </w:t>
            </w:r>
            <w:proofErr w:type="spellStart"/>
            <w:r w:rsidRPr="00064CF4">
              <w:rPr>
                <w:i/>
                <w:iCs/>
                <w:lang w:val="en-US"/>
              </w:rPr>
              <w:t>Microcyclops</w:t>
            </w:r>
            <w:proofErr w:type="spellEnd"/>
            <w:r w:rsidRPr="00064CF4">
              <w:rPr>
                <w:i/>
                <w:iCs/>
                <w:lang w:val="en-US"/>
              </w:rPr>
              <w:t xml:space="preserve"> </w:t>
            </w:r>
            <w:proofErr w:type="spellStart"/>
            <w:r w:rsidRPr="00064CF4">
              <w:rPr>
                <w:i/>
                <w:iCs/>
                <w:lang w:val="en-US"/>
              </w:rPr>
              <w:t>varicans</w:t>
            </w:r>
            <w:proofErr w:type="spellEnd"/>
            <w:r w:rsidRPr="00064CF4">
              <w:rPr>
                <w:i/>
                <w:iCs/>
                <w:lang w:val="en-US"/>
              </w:rPr>
              <w:t xml:space="preserve">, </w:t>
            </w:r>
            <w:proofErr w:type="spellStart"/>
            <w:r w:rsidRPr="00064CF4">
              <w:rPr>
                <w:i/>
                <w:iCs/>
                <w:lang w:val="en-US"/>
              </w:rPr>
              <w:t>Moina</w:t>
            </w:r>
            <w:proofErr w:type="spellEnd"/>
            <w:r w:rsidRPr="00064CF4">
              <w:rPr>
                <w:i/>
                <w:iCs/>
                <w:lang w:val="en-US"/>
              </w:rPr>
              <w:t xml:space="preserve"> cf. </w:t>
            </w:r>
            <w:proofErr w:type="spellStart"/>
            <w:r w:rsidRPr="00064CF4">
              <w:rPr>
                <w:i/>
                <w:iCs/>
                <w:lang w:val="en-US"/>
              </w:rPr>
              <w:t>australiensis</w:t>
            </w:r>
            <w:proofErr w:type="spellEnd"/>
            <w:r w:rsidRPr="00064CF4">
              <w:rPr>
                <w:i/>
                <w:iCs/>
                <w:lang w:val="en-US"/>
              </w:rPr>
              <w:t xml:space="preserve">, </w:t>
            </w:r>
            <w:proofErr w:type="spellStart"/>
            <w:r w:rsidRPr="00064CF4">
              <w:rPr>
                <w:i/>
                <w:iCs/>
                <w:lang w:val="en-US"/>
              </w:rPr>
              <w:t>Moina</w:t>
            </w:r>
            <w:proofErr w:type="spellEnd"/>
            <w:r w:rsidRPr="00064CF4">
              <w:rPr>
                <w:i/>
                <w:iCs/>
                <w:lang w:val="en-US"/>
              </w:rPr>
              <w:t xml:space="preserve"> </w:t>
            </w:r>
            <w:r w:rsidRPr="00064CF4">
              <w:rPr>
                <w:lang w:val="en-US"/>
              </w:rPr>
              <w:t>cf</w:t>
            </w:r>
            <w:r w:rsidRPr="00064CF4">
              <w:rPr>
                <w:i/>
                <w:iCs/>
                <w:lang w:val="en-US"/>
              </w:rPr>
              <w:t xml:space="preserve">. </w:t>
            </w:r>
            <w:proofErr w:type="spellStart"/>
            <w:r w:rsidRPr="00064CF4">
              <w:rPr>
                <w:i/>
                <w:iCs/>
                <w:lang w:val="en-US"/>
              </w:rPr>
              <w:t>tenuicornis</w:t>
            </w:r>
            <w:proofErr w:type="spellEnd"/>
            <w:r w:rsidRPr="00064CF4">
              <w:rPr>
                <w:i/>
                <w:iCs/>
                <w:lang w:val="en-US"/>
              </w:rPr>
              <w:t xml:space="preserve">, </w:t>
            </w:r>
            <w:proofErr w:type="spellStart"/>
            <w:r w:rsidRPr="00064CF4">
              <w:rPr>
                <w:i/>
                <w:iCs/>
                <w:lang w:val="en-US"/>
              </w:rPr>
              <w:t>Moina</w:t>
            </w:r>
            <w:proofErr w:type="spellEnd"/>
            <w:r w:rsidRPr="00064CF4">
              <w:rPr>
                <w:i/>
                <w:iCs/>
                <w:lang w:val="en-US"/>
              </w:rPr>
              <w:t xml:space="preserve"> </w:t>
            </w:r>
            <w:proofErr w:type="spellStart"/>
            <w:r w:rsidRPr="00064CF4">
              <w:rPr>
                <w:i/>
                <w:iCs/>
                <w:lang w:val="en-US"/>
              </w:rPr>
              <w:t>micrura</w:t>
            </w:r>
            <w:proofErr w:type="spellEnd"/>
            <w:r w:rsidRPr="00064CF4">
              <w:rPr>
                <w:i/>
                <w:iCs/>
                <w:lang w:val="en-US"/>
              </w:rPr>
              <w:t xml:space="preserve">, </w:t>
            </w:r>
            <w:proofErr w:type="spellStart"/>
            <w:r w:rsidRPr="00064CF4">
              <w:rPr>
                <w:i/>
                <w:iCs/>
                <w:lang w:val="en-US"/>
              </w:rPr>
              <w:t>Neothrix</w:t>
            </w:r>
            <w:proofErr w:type="spellEnd"/>
            <w:r w:rsidRPr="00064CF4">
              <w:rPr>
                <w:i/>
                <w:iCs/>
                <w:lang w:val="en-US"/>
              </w:rPr>
              <w:t xml:space="preserve"> </w:t>
            </w:r>
            <w:proofErr w:type="spellStart"/>
            <w:r w:rsidRPr="00064CF4">
              <w:rPr>
                <w:i/>
                <w:iCs/>
                <w:lang w:val="en-US"/>
              </w:rPr>
              <w:t>sp</w:t>
            </w:r>
            <w:proofErr w:type="spellEnd"/>
            <w:r w:rsidRPr="00064CF4">
              <w:rPr>
                <w:i/>
                <w:iCs/>
                <w:lang w:val="en-US"/>
              </w:rPr>
              <w:t>.,</w:t>
            </w:r>
            <w:proofErr w:type="spellStart"/>
            <w:r w:rsidRPr="00064CF4">
              <w:rPr>
                <w:i/>
                <w:iCs/>
                <w:lang w:val="en-US"/>
              </w:rPr>
              <w:t>Pseudochydorus</w:t>
            </w:r>
            <w:proofErr w:type="spellEnd"/>
            <w:r w:rsidRPr="00064CF4">
              <w:rPr>
                <w:i/>
                <w:iCs/>
                <w:lang w:val="en-US"/>
              </w:rPr>
              <w:t xml:space="preserve"> </w:t>
            </w:r>
            <w:proofErr w:type="spellStart"/>
            <w:r w:rsidRPr="00064CF4">
              <w:rPr>
                <w:i/>
                <w:iCs/>
                <w:lang w:val="en-US"/>
              </w:rPr>
              <w:t>globosus</w:t>
            </w:r>
            <w:proofErr w:type="spellEnd"/>
            <w:r w:rsidRPr="00064CF4">
              <w:rPr>
                <w:i/>
                <w:iCs/>
                <w:lang w:val="en-US"/>
              </w:rPr>
              <w:t xml:space="preserve">, </w:t>
            </w:r>
            <w:proofErr w:type="spellStart"/>
            <w:r w:rsidRPr="00064CF4">
              <w:rPr>
                <w:i/>
                <w:iCs/>
                <w:lang w:val="en-US"/>
              </w:rPr>
              <w:t>Pseudomonospilus</w:t>
            </w:r>
            <w:proofErr w:type="spellEnd"/>
            <w:r w:rsidRPr="00064CF4">
              <w:rPr>
                <w:i/>
                <w:iCs/>
                <w:lang w:val="en-US"/>
              </w:rPr>
              <w:t xml:space="preserve"> </w:t>
            </w:r>
            <w:proofErr w:type="spellStart"/>
            <w:r w:rsidRPr="00064CF4">
              <w:rPr>
                <w:i/>
                <w:iCs/>
                <w:lang w:val="en-US"/>
              </w:rPr>
              <w:t>diporus</w:t>
            </w:r>
            <w:proofErr w:type="spellEnd"/>
            <w:r w:rsidRPr="00064CF4">
              <w:rPr>
                <w:i/>
                <w:iCs/>
                <w:lang w:val="en-US"/>
              </w:rPr>
              <w:t xml:space="preserve">, </w:t>
            </w:r>
            <w:proofErr w:type="spellStart"/>
            <w:r w:rsidRPr="00064CF4">
              <w:rPr>
                <w:i/>
                <w:iCs/>
                <w:lang w:val="en-US"/>
              </w:rPr>
              <w:t>Simocephalus</w:t>
            </w:r>
            <w:proofErr w:type="spellEnd"/>
            <w:r w:rsidRPr="00064CF4">
              <w:rPr>
                <w:i/>
                <w:iCs/>
                <w:lang w:val="en-US"/>
              </w:rPr>
              <w:t xml:space="preserve"> </w:t>
            </w:r>
            <w:r w:rsidRPr="00064CF4">
              <w:rPr>
                <w:lang w:val="en-US"/>
              </w:rPr>
              <w:t>sp</w:t>
            </w:r>
            <w:r w:rsidRPr="00064CF4">
              <w:rPr>
                <w:i/>
                <w:iCs/>
                <w:lang w:val="en-US"/>
              </w:rPr>
              <w:t xml:space="preserve">., </w:t>
            </w:r>
            <w:proofErr w:type="spellStart"/>
            <w:r w:rsidRPr="00064CF4">
              <w:rPr>
                <w:i/>
                <w:iCs/>
                <w:lang w:val="en-US"/>
              </w:rPr>
              <w:t>Thermocyclops</w:t>
            </w:r>
            <w:proofErr w:type="spellEnd"/>
            <w:r w:rsidRPr="00064CF4">
              <w:rPr>
                <w:i/>
                <w:iCs/>
                <w:lang w:val="en-US"/>
              </w:rPr>
              <w:t xml:space="preserve"> </w:t>
            </w:r>
            <w:r w:rsidRPr="00064CF4">
              <w:rPr>
                <w:lang w:val="en-US"/>
              </w:rPr>
              <w:t>sp</w:t>
            </w:r>
            <w:r w:rsidRPr="00064CF4">
              <w:rPr>
                <w:i/>
                <w:iCs/>
                <w:lang w:val="en-US"/>
              </w:rPr>
              <w:t>.</w:t>
            </w:r>
          </w:p>
        </w:tc>
      </w:tr>
      <w:tr w:rsidR="00EA35F8" w14:paraId="4CCCDD62" w14:textId="77777777" w:rsidTr="008C15ED">
        <w:tc>
          <w:tcPr>
            <w:tcW w:w="2385" w:type="dxa"/>
            <w:tcBorders>
              <w:top w:val="single" w:sz="4" w:space="0" w:color="auto"/>
              <w:bottom w:val="single" w:sz="4" w:space="0" w:color="auto"/>
            </w:tcBorders>
          </w:tcPr>
          <w:p w14:paraId="70664FD2" w14:textId="77777777" w:rsidR="00EA35F8" w:rsidRPr="00887EF3" w:rsidRDefault="00EA35F8" w:rsidP="008C15ED">
            <w:pPr>
              <w:pStyle w:val="TableHeading"/>
              <w:rPr>
                <w:lang w:val="en-US"/>
              </w:rPr>
            </w:pPr>
            <w:r>
              <w:rPr>
                <w:lang w:val="en-US"/>
              </w:rPr>
              <w:t>(ii) </w:t>
            </w:r>
            <w:r w:rsidRPr="00887EF3">
              <w:rPr>
                <w:lang w:val="en-US"/>
              </w:rPr>
              <w:t>Longitudinal connectivity</w:t>
            </w:r>
          </w:p>
        </w:tc>
        <w:tc>
          <w:tcPr>
            <w:tcW w:w="6682" w:type="dxa"/>
            <w:tcBorders>
              <w:top w:val="single" w:sz="4" w:space="0" w:color="auto"/>
              <w:bottom w:val="single" w:sz="4" w:space="0" w:color="auto"/>
            </w:tcBorders>
          </w:tcPr>
          <w:p w14:paraId="20112533" w14:textId="77777777" w:rsidR="00EA35F8" w:rsidRPr="001E2700" w:rsidRDefault="00EA35F8" w:rsidP="008C15ED">
            <w:pPr>
              <w:rPr>
                <w:i/>
                <w:iCs/>
                <w:sz w:val="20"/>
                <w:lang w:val="en-US"/>
              </w:rPr>
            </w:pPr>
            <w:proofErr w:type="spellStart"/>
            <w:r w:rsidRPr="001E2700">
              <w:rPr>
                <w:i/>
                <w:iCs/>
                <w:sz w:val="20"/>
                <w:lang w:val="en-US"/>
              </w:rPr>
              <w:t>Anuraeopsis</w:t>
            </w:r>
            <w:proofErr w:type="spellEnd"/>
            <w:r w:rsidRPr="001E2700">
              <w:rPr>
                <w:i/>
                <w:iCs/>
                <w:sz w:val="20"/>
                <w:lang w:val="en-US"/>
              </w:rPr>
              <w:t xml:space="preserve"> </w:t>
            </w:r>
            <w:proofErr w:type="spellStart"/>
            <w:r w:rsidRPr="001E2700">
              <w:rPr>
                <w:i/>
                <w:iCs/>
                <w:sz w:val="20"/>
                <w:lang w:val="en-US"/>
              </w:rPr>
              <w:t>coelata</w:t>
            </w:r>
            <w:proofErr w:type="spellEnd"/>
            <w:r w:rsidRPr="001E2700">
              <w:rPr>
                <w:i/>
                <w:iCs/>
                <w:sz w:val="20"/>
                <w:lang w:val="en-US"/>
              </w:rPr>
              <w:t xml:space="preserve">, </w:t>
            </w:r>
            <w:proofErr w:type="spellStart"/>
            <w:r w:rsidRPr="001E2700">
              <w:rPr>
                <w:i/>
                <w:iCs/>
                <w:sz w:val="20"/>
                <w:lang w:val="en-US"/>
              </w:rPr>
              <w:t>Anuraeopsis</w:t>
            </w:r>
            <w:proofErr w:type="spellEnd"/>
            <w:r w:rsidRPr="001E2700">
              <w:rPr>
                <w:i/>
                <w:iCs/>
                <w:sz w:val="20"/>
                <w:lang w:val="en-US"/>
              </w:rPr>
              <w:t xml:space="preserve"> </w:t>
            </w:r>
            <w:proofErr w:type="spellStart"/>
            <w:r w:rsidRPr="001E2700">
              <w:rPr>
                <w:i/>
                <w:iCs/>
                <w:sz w:val="20"/>
                <w:lang w:val="en-US"/>
              </w:rPr>
              <w:t>fissa</w:t>
            </w:r>
            <w:proofErr w:type="spellEnd"/>
            <w:r w:rsidRPr="001E2700">
              <w:rPr>
                <w:i/>
                <w:iCs/>
                <w:sz w:val="20"/>
                <w:lang w:val="en-US"/>
              </w:rPr>
              <w:t xml:space="preserve">, </w:t>
            </w:r>
            <w:proofErr w:type="spellStart"/>
            <w:r w:rsidRPr="001E2700">
              <w:rPr>
                <w:i/>
                <w:iCs/>
                <w:sz w:val="20"/>
                <w:lang w:val="en-US"/>
              </w:rPr>
              <w:t>Brachionus</w:t>
            </w:r>
            <w:proofErr w:type="spellEnd"/>
            <w:r w:rsidRPr="001E2700">
              <w:rPr>
                <w:i/>
                <w:iCs/>
                <w:sz w:val="20"/>
                <w:lang w:val="en-US"/>
              </w:rPr>
              <w:t xml:space="preserve"> </w:t>
            </w:r>
            <w:proofErr w:type="spellStart"/>
            <w:r w:rsidRPr="001E2700">
              <w:rPr>
                <w:i/>
                <w:iCs/>
                <w:sz w:val="20"/>
                <w:lang w:val="en-US"/>
              </w:rPr>
              <w:t>bidens</w:t>
            </w:r>
            <w:proofErr w:type="spellEnd"/>
            <w:r w:rsidRPr="001E2700">
              <w:rPr>
                <w:i/>
                <w:iCs/>
                <w:sz w:val="20"/>
                <w:lang w:val="en-US"/>
              </w:rPr>
              <w:t xml:space="preserve">, B. </w:t>
            </w:r>
            <w:proofErr w:type="spellStart"/>
            <w:r w:rsidRPr="001E2700">
              <w:rPr>
                <w:i/>
                <w:iCs/>
                <w:sz w:val="20"/>
                <w:lang w:val="en-US"/>
              </w:rPr>
              <w:t>calyciflorus</w:t>
            </w:r>
            <w:proofErr w:type="spellEnd"/>
            <w:r w:rsidRPr="001E2700">
              <w:rPr>
                <w:i/>
                <w:iCs/>
                <w:sz w:val="20"/>
                <w:lang w:val="en-US"/>
              </w:rPr>
              <w:t xml:space="preserve"> </w:t>
            </w:r>
            <w:proofErr w:type="spellStart"/>
            <w:r w:rsidRPr="001E2700">
              <w:rPr>
                <w:i/>
                <w:iCs/>
                <w:sz w:val="20"/>
                <w:lang w:val="en-US"/>
              </w:rPr>
              <w:t>amphiceros</w:t>
            </w:r>
            <w:proofErr w:type="spellEnd"/>
            <w:r w:rsidRPr="001E2700">
              <w:rPr>
                <w:i/>
                <w:iCs/>
                <w:sz w:val="20"/>
                <w:lang w:val="en-US"/>
              </w:rPr>
              <w:t xml:space="preserve">, B. </w:t>
            </w:r>
            <w:proofErr w:type="spellStart"/>
            <w:r w:rsidRPr="001E2700">
              <w:rPr>
                <w:i/>
                <w:iCs/>
                <w:sz w:val="20"/>
                <w:lang w:val="en-US"/>
              </w:rPr>
              <w:t>diversicornis</w:t>
            </w:r>
            <w:proofErr w:type="spellEnd"/>
            <w:r w:rsidRPr="001E2700">
              <w:rPr>
                <w:i/>
                <w:iCs/>
                <w:sz w:val="20"/>
                <w:lang w:val="en-US"/>
              </w:rPr>
              <w:t xml:space="preserve">, B. </w:t>
            </w:r>
            <w:proofErr w:type="spellStart"/>
            <w:r w:rsidRPr="001E2700">
              <w:rPr>
                <w:i/>
                <w:iCs/>
                <w:sz w:val="20"/>
                <w:lang w:val="en-US"/>
              </w:rPr>
              <w:t>falcatus</w:t>
            </w:r>
            <w:proofErr w:type="spellEnd"/>
            <w:r w:rsidRPr="001E2700">
              <w:rPr>
                <w:i/>
                <w:iCs/>
                <w:sz w:val="20"/>
                <w:lang w:val="en-US"/>
              </w:rPr>
              <w:t xml:space="preserve">, </w:t>
            </w:r>
            <w:proofErr w:type="spellStart"/>
            <w:r w:rsidRPr="001E2700">
              <w:rPr>
                <w:i/>
                <w:iCs/>
                <w:sz w:val="20"/>
                <w:lang w:val="en-US"/>
              </w:rPr>
              <w:t>Cephalodella</w:t>
            </w:r>
            <w:proofErr w:type="spellEnd"/>
            <w:r w:rsidRPr="001E2700">
              <w:rPr>
                <w:i/>
                <w:iCs/>
                <w:sz w:val="20"/>
                <w:lang w:val="en-US"/>
              </w:rPr>
              <w:t xml:space="preserve"> </w:t>
            </w:r>
            <w:proofErr w:type="spellStart"/>
            <w:r w:rsidRPr="001E2700">
              <w:rPr>
                <w:i/>
                <w:iCs/>
                <w:sz w:val="20"/>
                <w:lang w:val="en-US"/>
              </w:rPr>
              <w:t>catellina</w:t>
            </w:r>
            <w:proofErr w:type="spellEnd"/>
            <w:r w:rsidRPr="001E2700">
              <w:rPr>
                <w:i/>
                <w:iCs/>
                <w:sz w:val="20"/>
                <w:lang w:val="en-US"/>
              </w:rPr>
              <w:t xml:space="preserve">, </w:t>
            </w:r>
            <w:proofErr w:type="spellStart"/>
            <w:r w:rsidRPr="001E2700">
              <w:rPr>
                <w:i/>
                <w:iCs/>
                <w:sz w:val="20"/>
                <w:lang w:val="en-US"/>
              </w:rPr>
              <w:t>Collotheca</w:t>
            </w:r>
            <w:proofErr w:type="spellEnd"/>
            <w:r w:rsidRPr="001E2700">
              <w:rPr>
                <w:i/>
                <w:iCs/>
                <w:sz w:val="20"/>
                <w:lang w:val="en-US"/>
              </w:rPr>
              <w:t xml:space="preserve"> cf. </w:t>
            </w:r>
            <w:proofErr w:type="spellStart"/>
            <w:r w:rsidRPr="001E2700">
              <w:rPr>
                <w:i/>
                <w:iCs/>
                <w:sz w:val="20"/>
                <w:lang w:val="en-US"/>
              </w:rPr>
              <w:t>tenuilobata</w:t>
            </w:r>
            <w:proofErr w:type="spellEnd"/>
            <w:r w:rsidRPr="001E2700">
              <w:rPr>
                <w:i/>
                <w:iCs/>
                <w:sz w:val="20"/>
                <w:lang w:val="en-US"/>
              </w:rPr>
              <w:t xml:space="preserve">, </w:t>
            </w:r>
            <w:proofErr w:type="spellStart"/>
            <w:r w:rsidRPr="001E2700">
              <w:rPr>
                <w:i/>
                <w:iCs/>
                <w:sz w:val="20"/>
                <w:lang w:val="en-US"/>
              </w:rPr>
              <w:t>Conochilus</w:t>
            </w:r>
            <w:proofErr w:type="spellEnd"/>
            <w:r w:rsidRPr="001E2700">
              <w:rPr>
                <w:i/>
                <w:iCs/>
                <w:sz w:val="20"/>
                <w:lang w:val="en-US"/>
              </w:rPr>
              <w:t xml:space="preserve"> </w:t>
            </w:r>
            <w:proofErr w:type="spellStart"/>
            <w:r w:rsidRPr="001E2700">
              <w:rPr>
                <w:i/>
                <w:iCs/>
                <w:sz w:val="20"/>
                <w:lang w:val="en-US"/>
              </w:rPr>
              <w:t>dossuarius</w:t>
            </w:r>
            <w:proofErr w:type="spellEnd"/>
            <w:r w:rsidRPr="001E2700">
              <w:rPr>
                <w:i/>
                <w:iCs/>
                <w:sz w:val="20"/>
                <w:lang w:val="en-US"/>
              </w:rPr>
              <w:t xml:space="preserve">, C. </w:t>
            </w:r>
            <w:proofErr w:type="spellStart"/>
            <w:r w:rsidRPr="001E2700">
              <w:rPr>
                <w:i/>
                <w:iCs/>
                <w:sz w:val="20"/>
                <w:lang w:val="en-US"/>
              </w:rPr>
              <w:t>natans</w:t>
            </w:r>
            <w:proofErr w:type="spellEnd"/>
            <w:r w:rsidRPr="001E2700">
              <w:rPr>
                <w:i/>
                <w:iCs/>
                <w:sz w:val="20"/>
                <w:lang w:val="en-US"/>
              </w:rPr>
              <w:t xml:space="preserve">, C. </w:t>
            </w:r>
            <w:proofErr w:type="spellStart"/>
            <w:r w:rsidRPr="001E2700">
              <w:rPr>
                <w:i/>
                <w:iCs/>
                <w:sz w:val="20"/>
                <w:lang w:val="en-US"/>
              </w:rPr>
              <w:t>unicornis</w:t>
            </w:r>
            <w:proofErr w:type="spellEnd"/>
            <w:r w:rsidRPr="001E2700">
              <w:rPr>
                <w:i/>
                <w:iCs/>
                <w:sz w:val="20"/>
                <w:lang w:val="en-US"/>
              </w:rPr>
              <w:t xml:space="preserve">, </w:t>
            </w:r>
            <w:proofErr w:type="spellStart"/>
            <w:r w:rsidRPr="001E2700">
              <w:rPr>
                <w:i/>
                <w:iCs/>
                <w:sz w:val="20"/>
                <w:lang w:val="en-US"/>
              </w:rPr>
              <w:t>Filinia</w:t>
            </w:r>
            <w:proofErr w:type="spellEnd"/>
            <w:r w:rsidRPr="001E2700">
              <w:rPr>
                <w:i/>
                <w:iCs/>
                <w:sz w:val="20"/>
                <w:lang w:val="en-US"/>
              </w:rPr>
              <w:t xml:space="preserve"> </w:t>
            </w:r>
            <w:proofErr w:type="spellStart"/>
            <w:r w:rsidRPr="001E2700">
              <w:rPr>
                <w:i/>
                <w:iCs/>
                <w:sz w:val="20"/>
                <w:lang w:val="en-US"/>
              </w:rPr>
              <w:t>longiseta</w:t>
            </w:r>
            <w:proofErr w:type="spellEnd"/>
            <w:r w:rsidRPr="001E2700">
              <w:rPr>
                <w:i/>
                <w:iCs/>
                <w:sz w:val="20"/>
                <w:lang w:val="en-US"/>
              </w:rPr>
              <w:t xml:space="preserve">, F. </w:t>
            </w:r>
            <w:proofErr w:type="spellStart"/>
            <w:r w:rsidRPr="001E2700">
              <w:rPr>
                <w:i/>
                <w:iCs/>
                <w:sz w:val="20"/>
                <w:lang w:val="en-US"/>
              </w:rPr>
              <w:t>pejleri</w:t>
            </w:r>
            <w:proofErr w:type="spellEnd"/>
            <w:r w:rsidRPr="001E2700">
              <w:rPr>
                <w:i/>
                <w:iCs/>
                <w:sz w:val="20"/>
                <w:lang w:val="en-US"/>
              </w:rPr>
              <w:t xml:space="preserve">, F. terminalis, </w:t>
            </w:r>
            <w:proofErr w:type="spellStart"/>
            <w:r w:rsidRPr="001E2700">
              <w:rPr>
                <w:i/>
                <w:iCs/>
                <w:sz w:val="20"/>
                <w:lang w:val="en-US"/>
              </w:rPr>
              <w:t>Keratella</w:t>
            </w:r>
            <w:proofErr w:type="spellEnd"/>
            <w:r w:rsidRPr="001E2700">
              <w:rPr>
                <w:i/>
                <w:iCs/>
                <w:sz w:val="20"/>
                <w:lang w:val="en-US"/>
              </w:rPr>
              <w:t xml:space="preserve"> australis, K. </w:t>
            </w:r>
            <w:proofErr w:type="spellStart"/>
            <w:r w:rsidRPr="001E2700">
              <w:rPr>
                <w:i/>
                <w:iCs/>
                <w:sz w:val="20"/>
                <w:lang w:val="en-US"/>
              </w:rPr>
              <w:t>cochlearis</w:t>
            </w:r>
            <w:proofErr w:type="spellEnd"/>
            <w:r w:rsidRPr="001E2700">
              <w:rPr>
                <w:i/>
                <w:iCs/>
                <w:sz w:val="20"/>
                <w:lang w:val="en-US"/>
              </w:rPr>
              <w:t xml:space="preserve">, K. </w:t>
            </w:r>
            <w:proofErr w:type="spellStart"/>
            <w:r w:rsidRPr="001E2700">
              <w:rPr>
                <w:i/>
                <w:iCs/>
                <w:sz w:val="20"/>
                <w:lang w:val="en-US"/>
              </w:rPr>
              <w:t>lenzi</w:t>
            </w:r>
            <w:proofErr w:type="spellEnd"/>
            <w:r w:rsidRPr="001E2700">
              <w:rPr>
                <w:i/>
                <w:iCs/>
                <w:sz w:val="20"/>
                <w:lang w:val="en-US"/>
              </w:rPr>
              <w:t xml:space="preserve">, K. </w:t>
            </w:r>
            <w:proofErr w:type="spellStart"/>
            <w:r w:rsidRPr="001E2700">
              <w:rPr>
                <w:i/>
                <w:iCs/>
                <w:sz w:val="20"/>
                <w:lang w:val="en-US"/>
              </w:rPr>
              <w:t>procurva</w:t>
            </w:r>
            <w:proofErr w:type="spellEnd"/>
            <w:r w:rsidRPr="001E2700">
              <w:rPr>
                <w:i/>
                <w:iCs/>
                <w:sz w:val="20"/>
                <w:lang w:val="en-US"/>
              </w:rPr>
              <w:t xml:space="preserve">, K. </w:t>
            </w:r>
            <w:proofErr w:type="spellStart"/>
            <w:r w:rsidRPr="001E2700">
              <w:rPr>
                <w:i/>
                <w:iCs/>
                <w:sz w:val="20"/>
                <w:lang w:val="en-US"/>
              </w:rPr>
              <w:t>slacki</w:t>
            </w:r>
            <w:proofErr w:type="spellEnd"/>
            <w:r w:rsidRPr="001E2700">
              <w:rPr>
                <w:i/>
                <w:iCs/>
                <w:sz w:val="20"/>
                <w:lang w:val="en-US"/>
              </w:rPr>
              <w:t xml:space="preserve">, </w:t>
            </w:r>
            <w:proofErr w:type="spellStart"/>
            <w:r w:rsidRPr="001E2700">
              <w:rPr>
                <w:i/>
                <w:iCs/>
                <w:sz w:val="20"/>
                <w:lang w:val="en-US"/>
              </w:rPr>
              <w:t>Polyarthra</w:t>
            </w:r>
            <w:proofErr w:type="spellEnd"/>
            <w:r w:rsidRPr="001E2700">
              <w:rPr>
                <w:i/>
                <w:iCs/>
                <w:sz w:val="20"/>
                <w:lang w:val="en-US"/>
              </w:rPr>
              <w:t xml:space="preserve"> </w:t>
            </w:r>
            <w:proofErr w:type="spellStart"/>
            <w:r w:rsidRPr="001E2700">
              <w:rPr>
                <w:i/>
                <w:iCs/>
                <w:sz w:val="20"/>
                <w:lang w:val="en-US"/>
              </w:rPr>
              <w:t>remata</w:t>
            </w:r>
            <w:proofErr w:type="spellEnd"/>
            <w:r w:rsidRPr="001E2700">
              <w:rPr>
                <w:i/>
                <w:iCs/>
                <w:sz w:val="20"/>
                <w:lang w:val="en-US"/>
              </w:rPr>
              <w:t xml:space="preserve">, P. vulgaris, </w:t>
            </w:r>
            <w:proofErr w:type="spellStart"/>
            <w:r w:rsidRPr="001E2700">
              <w:rPr>
                <w:i/>
                <w:iCs/>
                <w:sz w:val="20"/>
                <w:lang w:val="en-US"/>
              </w:rPr>
              <w:t>Synchaeta</w:t>
            </w:r>
            <w:proofErr w:type="spellEnd"/>
            <w:r w:rsidRPr="001E2700">
              <w:rPr>
                <w:i/>
                <w:iCs/>
                <w:sz w:val="20"/>
                <w:lang w:val="en-US"/>
              </w:rPr>
              <w:t xml:space="preserve"> oblonga, S. </w:t>
            </w:r>
            <w:proofErr w:type="spellStart"/>
            <w:r w:rsidRPr="001E2700">
              <w:rPr>
                <w:i/>
                <w:iCs/>
                <w:sz w:val="20"/>
                <w:lang w:val="en-US"/>
              </w:rPr>
              <w:t>pectinata</w:t>
            </w:r>
            <w:proofErr w:type="spellEnd"/>
            <w:r w:rsidRPr="001E2700">
              <w:rPr>
                <w:i/>
                <w:iCs/>
                <w:sz w:val="20"/>
                <w:lang w:val="en-US"/>
              </w:rPr>
              <w:t xml:space="preserve">, </w:t>
            </w:r>
            <w:proofErr w:type="spellStart"/>
            <w:r w:rsidRPr="001E2700">
              <w:rPr>
                <w:i/>
                <w:iCs/>
                <w:sz w:val="20"/>
                <w:lang w:val="en-US"/>
              </w:rPr>
              <w:t>Trichocerca</w:t>
            </w:r>
            <w:proofErr w:type="spellEnd"/>
            <w:r w:rsidRPr="001E2700">
              <w:rPr>
                <w:i/>
                <w:iCs/>
                <w:sz w:val="20"/>
                <w:lang w:val="en-US"/>
              </w:rPr>
              <w:t xml:space="preserve"> </w:t>
            </w:r>
            <w:proofErr w:type="spellStart"/>
            <w:r w:rsidRPr="001E2700">
              <w:rPr>
                <w:i/>
                <w:iCs/>
                <w:sz w:val="20"/>
                <w:lang w:val="en-US"/>
              </w:rPr>
              <w:t>pusilla</w:t>
            </w:r>
            <w:proofErr w:type="spellEnd"/>
            <w:r w:rsidRPr="001E2700">
              <w:rPr>
                <w:i/>
                <w:iCs/>
                <w:sz w:val="20"/>
                <w:lang w:val="en-US"/>
              </w:rPr>
              <w:t xml:space="preserve"> complex, T. </w:t>
            </w:r>
            <w:proofErr w:type="spellStart"/>
            <w:r w:rsidRPr="001E2700">
              <w:rPr>
                <w:i/>
                <w:iCs/>
                <w:sz w:val="20"/>
                <w:lang w:val="en-US"/>
              </w:rPr>
              <w:t>similis</w:t>
            </w:r>
            <w:proofErr w:type="spellEnd"/>
            <w:r w:rsidRPr="001E2700">
              <w:rPr>
                <w:i/>
                <w:iCs/>
                <w:sz w:val="20"/>
                <w:lang w:val="en-US"/>
              </w:rPr>
              <w:t xml:space="preserve">, T. </w:t>
            </w:r>
            <w:proofErr w:type="spellStart"/>
            <w:r w:rsidRPr="001E2700">
              <w:rPr>
                <w:i/>
                <w:iCs/>
                <w:sz w:val="20"/>
                <w:lang w:val="en-US"/>
              </w:rPr>
              <w:t>similis</w:t>
            </w:r>
            <w:proofErr w:type="spellEnd"/>
            <w:r w:rsidRPr="001E2700">
              <w:rPr>
                <w:i/>
                <w:iCs/>
                <w:sz w:val="20"/>
                <w:lang w:val="en-US"/>
              </w:rPr>
              <w:t xml:space="preserve"> grandis</w:t>
            </w:r>
          </w:p>
        </w:tc>
      </w:tr>
    </w:tbl>
    <w:p w14:paraId="6A55D9DB" w14:textId="77777777" w:rsidR="00EA35F8" w:rsidRPr="007C4086" w:rsidRDefault="00EA35F8" w:rsidP="00EA35F8">
      <w:pPr>
        <w:rPr>
          <w:lang w:val="en-US"/>
        </w:rPr>
      </w:pPr>
    </w:p>
    <w:p w14:paraId="25DDD3F8" w14:textId="77777777" w:rsidR="00B32D8C" w:rsidRDefault="00B32D8C" w:rsidP="00F8184E">
      <w:pPr>
        <w:pStyle w:val="Captions"/>
      </w:pPr>
      <w:bookmarkStart w:id="236" w:name="_Ref57920136"/>
      <w:bookmarkStart w:id="237" w:name="_Toc63758534"/>
    </w:p>
    <w:p w14:paraId="532D221C" w14:textId="77777777" w:rsidR="00B32D8C" w:rsidRDefault="00B32D8C">
      <w:pPr>
        <w:spacing w:before="0" w:after="160" w:line="259" w:lineRule="auto"/>
        <w:jc w:val="left"/>
        <w:rPr>
          <w:rFonts w:eastAsia="MS Mincho" w:cs="Arial"/>
          <w:b/>
          <w:bCs/>
          <w:color w:val="auto"/>
          <w:kern w:val="0"/>
          <w:sz w:val="20"/>
          <w:lang w:val="en-US"/>
        </w:rPr>
      </w:pPr>
      <w:r>
        <w:br w:type="page"/>
      </w:r>
    </w:p>
    <w:p w14:paraId="7A939DEB" w14:textId="428E5D52" w:rsidR="00EA35F8" w:rsidRDefault="00EA35F8" w:rsidP="00F8184E">
      <w:pPr>
        <w:pStyle w:val="Captions"/>
      </w:pPr>
      <w:bookmarkStart w:id="238" w:name="_Ref69310760"/>
      <w:bookmarkStart w:id="239" w:name="_Toc69387746"/>
      <w:r>
        <w:t xml:space="preserve">Table </w:t>
      </w:r>
      <w:r>
        <w:fldChar w:fldCharType="begin"/>
      </w:r>
      <w:r>
        <w:instrText xml:space="preserve"> SEQ Table \* ARABIC </w:instrText>
      </w:r>
      <w:r>
        <w:fldChar w:fldCharType="separate"/>
      </w:r>
      <w:r w:rsidR="00CE5EF5">
        <w:rPr>
          <w:noProof/>
        </w:rPr>
        <w:t>17</w:t>
      </w:r>
      <w:r>
        <w:rPr>
          <w:noProof/>
        </w:rPr>
        <w:fldChar w:fldCharType="end"/>
      </w:r>
      <w:bookmarkEnd w:id="236"/>
      <w:bookmarkEnd w:id="238"/>
      <w:r>
        <w:rPr>
          <w:noProof/>
        </w:rPr>
        <w:t>.</w:t>
      </w:r>
      <w:r>
        <w:t xml:space="preserve"> </w:t>
      </w:r>
      <w:proofErr w:type="spellStart"/>
      <w:r>
        <w:t>Microinvertebrate</w:t>
      </w:r>
      <w:proofErr w:type="spellEnd"/>
      <w:r>
        <w:t xml:space="preserve"> prey species for fish </w:t>
      </w:r>
      <w:r w:rsidR="004A0D52">
        <w:t xml:space="preserve">larvae of large-bodied native species </w:t>
      </w:r>
      <w:r>
        <w:t>identified from gut content analysis used in modelling fish prey species density.</w:t>
      </w:r>
      <w:bookmarkEnd w:id="239"/>
      <w:r>
        <w:t xml:space="preserve"> </w:t>
      </w:r>
      <w:bookmarkEnd w:id="237"/>
    </w:p>
    <w:tbl>
      <w:tblPr>
        <w:tblStyle w:val="TableGrid"/>
        <w:tblW w:w="81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55"/>
        <w:gridCol w:w="2154"/>
        <w:gridCol w:w="2452"/>
      </w:tblGrid>
      <w:tr w:rsidR="00EA35F8" w:rsidRPr="00D6433C" w14:paraId="0EB4A382" w14:textId="77777777" w:rsidTr="008C15ED">
        <w:trPr>
          <w:trHeight w:val="340"/>
          <w:tblHeader/>
        </w:trPr>
        <w:tc>
          <w:tcPr>
            <w:tcW w:w="3555" w:type="dxa"/>
            <w:tcBorders>
              <w:top w:val="single" w:sz="4" w:space="0" w:color="auto"/>
              <w:bottom w:val="single" w:sz="4" w:space="0" w:color="auto"/>
            </w:tcBorders>
            <w:vAlign w:val="bottom"/>
          </w:tcPr>
          <w:p w14:paraId="0C1E27C7" w14:textId="77777777" w:rsidR="00EA35F8" w:rsidRPr="00D6433C" w:rsidRDefault="00EA35F8" w:rsidP="008C15ED">
            <w:pPr>
              <w:pStyle w:val="TableHeading"/>
              <w:spacing w:before="0" w:after="0" w:line="240" w:lineRule="auto"/>
              <w:contextualSpacing/>
              <w:jc w:val="left"/>
              <w:rPr>
                <w:lang w:val="en-US"/>
              </w:rPr>
            </w:pPr>
            <w:r w:rsidRPr="00D6433C">
              <w:rPr>
                <w:lang w:val="en-US"/>
              </w:rPr>
              <w:t>Taxon</w:t>
            </w:r>
          </w:p>
        </w:tc>
        <w:tc>
          <w:tcPr>
            <w:tcW w:w="2154" w:type="dxa"/>
            <w:tcBorders>
              <w:top w:val="single" w:sz="4" w:space="0" w:color="auto"/>
              <w:bottom w:val="single" w:sz="4" w:space="0" w:color="auto"/>
            </w:tcBorders>
            <w:vAlign w:val="bottom"/>
          </w:tcPr>
          <w:p w14:paraId="7BE8A3E1" w14:textId="77777777" w:rsidR="00EA35F8" w:rsidRPr="00D6433C" w:rsidRDefault="00EA35F8" w:rsidP="008C15ED">
            <w:pPr>
              <w:pStyle w:val="TableHeading"/>
              <w:spacing w:before="0" w:after="0" w:line="240" w:lineRule="auto"/>
              <w:contextualSpacing/>
              <w:jc w:val="left"/>
              <w:rPr>
                <w:lang w:val="en-US"/>
              </w:rPr>
            </w:pPr>
            <w:r w:rsidRPr="00D6433C">
              <w:rPr>
                <w:lang w:val="en-US"/>
              </w:rPr>
              <w:t>Family</w:t>
            </w:r>
          </w:p>
        </w:tc>
        <w:tc>
          <w:tcPr>
            <w:tcW w:w="2452" w:type="dxa"/>
            <w:tcBorders>
              <w:top w:val="single" w:sz="4" w:space="0" w:color="auto"/>
              <w:bottom w:val="single" w:sz="4" w:space="0" w:color="auto"/>
            </w:tcBorders>
            <w:vAlign w:val="bottom"/>
          </w:tcPr>
          <w:p w14:paraId="26E3DD7C" w14:textId="77777777" w:rsidR="00EA35F8" w:rsidRPr="00D6433C" w:rsidRDefault="00EA35F8" w:rsidP="008C15ED">
            <w:pPr>
              <w:pStyle w:val="TableHeading"/>
              <w:spacing w:before="0" w:after="0" w:line="240" w:lineRule="auto"/>
              <w:contextualSpacing/>
              <w:jc w:val="left"/>
              <w:rPr>
                <w:lang w:val="en-US"/>
              </w:rPr>
            </w:pPr>
            <w:r>
              <w:rPr>
                <w:lang w:val="en-US"/>
              </w:rPr>
              <w:t>Phylum/Order</w:t>
            </w:r>
          </w:p>
        </w:tc>
      </w:tr>
      <w:tr w:rsidR="00EA35F8" w:rsidRPr="00D6433C" w14:paraId="02D5EFA9" w14:textId="77777777" w:rsidTr="008C15ED">
        <w:trPr>
          <w:trHeight w:val="340"/>
        </w:trPr>
        <w:tc>
          <w:tcPr>
            <w:tcW w:w="3555" w:type="dxa"/>
            <w:tcBorders>
              <w:top w:val="single" w:sz="4" w:space="0" w:color="auto"/>
            </w:tcBorders>
            <w:vAlign w:val="bottom"/>
          </w:tcPr>
          <w:p w14:paraId="42F17450" w14:textId="77777777" w:rsidR="00EA35F8" w:rsidRPr="00D6433C" w:rsidRDefault="00EA35F8" w:rsidP="008C15ED">
            <w:pPr>
              <w:pStyle w:val="TableHeading"/>
              <w:spacing w:before="0" w:after="0" w:line="240" w:lineRule="auto"/>
              <w:contextualSpacing/>
              <w:jc w:val="left"/>
              <w:rPr>
                <w:i/>
                <w:iCs/>
                <w:lang w:val="en-US"/>
              </w:rPr>
            </w:pPr>
            <w:proofErr w:type="spellStart"/>
            <w:r w:rsidRPr="00D6433C">
              <w:rPr>
                <w:i/>
                <w:iCs/>
                <w:lang w:val="en-US"/>
              </w:rPr>
              <w:t>Boeckella</w:t>
            </w:r>
            <w:proofErr w:type="spellEnd"/>
            <w:r w:rsidRPr="00D6433C">
              <w:rPr>
                <w:i/>
                <w:iCs/>
                <w:lang w:val="en-US"/>
              </w:rPr>
              <w:t xml:space="preserve"> </w:t>
            </w:r>
            <w:proofErr w:type="spellStart"/>
            <w:r w:rsidRPr="00D6433C">
              <w:rPr>
                <w:i/>
                <w:iCs/>
                <w:lang w:val="en-US"/>
              </w:rPr>
              <w:t>triarticulata</w:t>
            </w:r>
            <w:proofErr w:type="spellEnd"/>
          </w:p>
        </w:tc>
        <w:tc>
          <w:tcPr>
            <w:tcW w:w="2154" w:type="dxa"/>
            <w:tcBorders>
              <w:top w:val="single" w:sz="4" w:space="0" w:color="auto"/>
            </w:tcBorders>
            <w:vAlign w:val="bottom"/>
          </w:tcPr>
          <w:p w14:paraId="440802D8" w14:textId="77777777" w:rsidR="00EA35F8" w:rsidRPr="00D6433C" w:rsidRDefault="00EA35F8" w:rsidP="008C15ED">
            <w:pPr>
              <w:pStyle w:val="TableText"/>
              <w:spacing w:before="0" w:after="0" w:line="240" w:lineRule="auto"/>
              <w:contextualSpacing/>
              <w:jc w:val="left"/>
              <w:rPr>
                <w:lang w:val="en-US"/>
              </w:rPr>
            </w:pPr>
            <w:proofErr w:type="spellStart"/>
            <w:r w:rsidRPr="00D6433C">
              <w:rPr>
                <w:lang w:val="en-US"/>
              </w:rPr>
              <w:t>Centropagidae</w:t>
            </w:r>
            <w:proofErr w:type="spellEnd"/>
          </w:p>
        </w:tc>
        <w:tc>
          <w:tcPr>
            <w:tcW w:w="2452" w:type="dxa"/>
            <w:tcBorders>
              <w:top w:val="single" w:sz="4" w:space="0" w:color="auto"/>
            </w:tcBorders>
            <w:vAlign w:val="bottom"/>
          </w:tcPr>
          <w:p w14:paraId="0261F3E3" w14:textId="77777777" w:rsidR="00EA35F8" w:rsidRPr="00D6433C" w:rsidRDefault="00EA35F8" w:rsidP="008C15ED">
            <w:pPr>
              <w:pStyle w:val="TableText"/>
              <w:spacing w:before="0" w:after="0" w:line="240" w:lineRule="auto"/>
              <w:contextualSpacing/>
              <w:jc w:val="left"/>
              <w:rPr>
                <w:lang w:val="en-US"/>
              </w:rPr>
            </w:pPr>
            <w:proofErr w:type="spellStart"/>
            <w:r w:rsidRPr="00D6433C">
              <w:rPr>
                <w:lang w:val="en-US"/>
              </w:rPr>
              <w:t>Calanoida</w:t>
            </w:r>
            <w:proofErr w:type="spellEnd"/>
            <w:r w:rsidRPr="00D6433C">
              <w:rPr>
                <w:lang w:val="en-US"/>
              </w:rPr>
              <w:t xml:space="preserve"> </w:t>
            </w:r>
          </w:p>
        </w:tc>
      </w:tr>
      <w:tr w:rsidR="00EA35F8" w:rsidRPr="00D6433C" w14:paraId="689CD504" w14:textId="77777777" w:rsidTr="008C15ED">
        <w:trPr>
          <w:trHeight w:val="340"/>
        </w:trPr>
        <w:tc>
          <w:tcPr>
            <w:tcW w:w="3555" w:type="dxa"/>
            <w:vAlign w:val="bottom"/>
          </w:tcPr>
          <w:p w14:paraId="6457CF9B" w14:textId="77777777" w:rsidR="00EA35F8" w:rsidRPr="00D6433C" w:rsidRDefault="00EA35F8" w:rsidP="008C15ED">
            <w:pPr>
              <w:pStyle w:val="TableHeading"/>
              <w:spacing w:before="0" w:after="0" w:line="240" w:lineRule="auto"/>
              <w:contextualSpacing/>
              <w:jc w:val="left"/>
              <w:rPr>
                <w:i/>
                <w:iCs/>
                <w:lang w:val="en-US"/>
              </w:rPr>
            </w:pPr>
            <w:r w:rsidRPr="00D6433C">
              <w:rPr>
                <w:i/>
                <w:iCs/>
                <w:lang w:val="en-US"/>
              </w:rPr>
              <w:t xml:space="preserve">Bosmina </w:t>
            </w:r>
            <w:proofErr w:type="spellStart"/>
            <w:r w:rsidRPr="00D6433C">
              <w:rPr>
                <w:i/>
                <w:iCs/>
                <w:lang w:val="en-US"/>
              </w:rPr>
              <w:t>meridionalis</w:t>
            </w:r>
            <w:proofErr w:type="spellEnd"/>
          </w:p>
        </w:tc>
        <w:tc>
          <w:tcPr>
            <w:tcW w:w="2154" w:type="dxa"/>
            <w:vAlign w:val="bottom"/>
          </w:tcPr>
          <w:p w14:paraId="17C45A67" w14:textId="77777777" w:rsidR="00EA35F8" w:rsidRPr="00D6433C" w:rsidRDefault="00EA35F8" w:rsidP="008C15ED">
            <w:pPr>
              <w:pStyle w:val="TableText"/>
              <w:spacing w:before="0" w:after="0" w:line="240" w:lineRule="auto"/>
              <w:contextualSpacing/>
              <w:jc w:val="left"/>
              <w:rPr>
                <w:lang w:val="en-US"/>
              </w:rPr>
            </w:pPr>
            <w:proofErr w:type="spellStart"/>
            <w:r w:rsidRPr="00D6433C">
              <w:rPr>
                <w:lang w:val="en-US"/>
              </w:rPr>
              <w:t>Bosminidae</w:t>
            </w:r>
            <w:proofErr w:type="spellEnd"/>
          </w:p>
        </w:tc>
        <w:tc>
          <w:tcPr>
            <w:tcW w:w="2452" w:type="dxa"/>
            <w:vAlign w:val="bottom"/>
          </w:tcPr>
          <w:p w14:paraId="62CCDF3B" w14:textId="77777777" w:rsidR="00EA35F8" w:rsidRPr="00D6433C" w:rsidRDefault="00EA35F8" w:rsidP="008C15ED">
            <w:pPr>
              <w:pStyle w:val="TableText"/>
              <w:spacing w:before="0" w:after="0" w:line="240" w:lineRule="auto"/>
              <w:contextualSpacing/>
              <w:jc w:val="left"/>
              <w:rPr>
                <w:lang w:val="en-US"/>
              </w:rPr>
            </w:pPr>
            <w:r w:rsidRPr="00D6433C">
              <w:rPr>
                <w:lang w:val="en-US"/>
              </w:rPr>
              <w:t>Cladocera</w:t>
            </w:r>
          </w:p>
        </w:tc>
      </w:tr>
      <w:tr w:rsidR="00EA35F8" w:rsidRPr="00D6433C" w14:paraId="211B4A19" w14:textId="77777777" w:rsidTr="008C15ED">
        <w:trPr>
          <w:trHeight w:val="340"/>
        </w:trPr>
        <w:tc>
          <w:tcPr>
            <w:tcW w:w="3555" w:type="dxa"/>
            <w:vAlign w:val="bottom"/>
          </w:tcPr>
          <w:p w14:paraId="63A4DA96" w14:textId="77777777" w:rsidR="00EA35F8" w:rsidRPr="00D6433C" w:rsidRDefault="00EA35F8" w:rsidP="008C15ED">
            <w:pPr>
              <w:pStyle w:val="TableHeading"/>
              <w:spacing w:before="0" w:after="0" w:line="240" w:lineRule="auto"/>
              <w:contextualSpacing/>
              <w:jc w:val="left"/>
              <w:rPr>
                <w:i/>
                <w:iCs/>
                <w:lang w:val="en-US"/>
              </w:rPr>
            </w:pPr>
            <w:proofErr w:type="spellStart"/>
            <w:r w:rsidRPr="00D6433C">
              <w:rPr>
                <w:i/>
                <w:iCs/>
                <w:lang w:val="en-US"/>
              </w:rPr>
              <w:t>Brachionus</w:t>
            </w:r>
            <w:proofErr w:type="spellEnd"/>
            <w:r w:rsidRPr="00D6433C">
              <w:rPr>
                <w:i/>
                <w:iCs/>
                <w:lang w:val="en-US"/>
              </w:rPr>
              <w:t xml:space="preserve"> </w:t>
            </w:r>
            <w:proofErr w:type="spellStart"/>
            <w:r w:rsidRPr="00D6433C">
              <w:rPr>
                <w:i/>
                <w:iCs/>
                <w:lang w:val="en-US"/>
              </w:rPr>
              <w:t>spp</w:t>
            </w:r>
            <w:proofErr w:type="spellEnd"/>
            <w:r w:rsidRPr="00D6433C">
              <w:rPr>
                <w:i/>
                <w:iCs/>
                <w:lang w:val="en-US"/>
              </w:rPr>
              <w:t xml:space="preserve"> (2</w:t>
            </w:r>
            <w:r>
              <w:rPr>
                <w:i/>
                <w:iCs/>
                <w:lang w:val="en-US"/>
              </w:rPr>
              <w:t>2</w:t>
            </w:r>
            <w:r w:rsidRPr="00D6433C">
              <w:rPr>
                <w:i/>
                <w:iCs/>
                <w:lang w:val="en-US"/>
              </w:rPr>
              <w:t xml:space="preserve"> taxa) </w:t>
            </w:r>
          </w:p>
        </w:tc>
        <w:tc>
          <w:tcPr>
            <w:tcW w:w="2154" w:type="dxa"/>
            <w:vAlign w:val="bottom"/>
          </w:tcPr>
          <w:p w14:paraId="4662880E" w14:textId="77777777" w:rsidR="00EA35F8" w:rsidRPr="00D6433C" w:rsidRDefault="00EA35F8" w:rsidP="008C15ED">
            <w:pPr>
              <w:pStyle w:val="TableText"/>
              <w:spacing w:before="0" w:after="0" w:line="240" w:lineRule="auto"/>
              <w:contextualSpacing/>
              <w:jc w:val="left"/>
              <w:rPr>
                <w:lang w:val="en-US"/>
              </w:rPr>
            </w:pPr>
            <w:proofErr w:type="spellStart"/>
            <w:r w:rsidRPr="00D6433C">
              <w:rPr>
                <w:lang w:val="en-US"/>
              </w:rPr>
              <w:t>Brachionidae</w:t>
            </w:r>
            <w:proofErr w:type="spellEnd"/>
          </w:p>
        </w:tc>
        <w:tc>
          <w:tcPr>
            <w:tcW w:w="2452" w:type="dxa"/>
            <w:vAlign w:val="bottom"/>
          </w:tcPr>
          <w:p w14:paraId="4D0A5993" w14:textId="77777777" w:rsidR="00EA35F8" w:rsidRPr="00D6433C" w:rsidRDefault="00EA35F8" w:rsidP="008C15ED">
            <w:pPr>
              <w:pStyle w:val="TableText"/>
              <w:spacing w:before="0" w:after="0" w:line="240" w:lineRule="auto"/>
              <w:contextualSpacing/>
              <w:jc w:val="left"/>
              <w:rPr>
                <w:lang w:val="en-US"/>
              </w:rPr>
            </w:pPr>
            <w:proofErr w:type="spellStart"/>
            <w:r w:rsidRPr="00D6433C">
              <w:rPr>
                <w:lang w:val="en-US"/>
              </w:rPr>
              <w:t>Rotifera</w:t>
            </w:r>
            <w:proofErr w:type="spellEnd"/>
          </w:p>
        </w:tc>
      </w:tr>
      <w:tr w:rsidR="00EA35F8" w:rsidRPr="00D6433C" w14:paraId="2D9D7A1A" w14:textId="77777777" w:rsidTr="008C15ED">
        <w:trPr>
          <w:trHeight w:val="340"/>
        </w:trPr>
        <w:tc>
          <w:tcPr>
            <w:tcW w:w="3555" w:type="dxa"/>
            <w:vAlign w:val="bottom"/>
          </w:tcPr>
          <w:p w14:paraId="2EF677ED" w14:textId="77777777" w:rsidR="00EA35F8" w:rsidRPr="00D6433C" w:rsidRDefault="00EA35F8" w:rsidP="008C15ED">
            <w:pPr>
              <w:pStyle w:val="TableHeading"/>
              <w:spacing w:before="0" w:after="0" w:line="240" w:lineRule="auto"/>
              <w:contextualSpacing/>
              <w:jc w:val="left"/>
              <w:rPr>
                <w:i/>
                <w:iCs/>
                <w:lang w:val="en-US"/>
              </w:rPr>
            </w:pPr>
            <w:proofErr w:type="spellStart"/>
            <w:r w:rsidRPr="00D6433C">
              <w:rPr>
                <w:i/>
                <w:iCs/>
                <w:lang w:val="en-US"/>
              </w:rPr>
              <w:t>Calamoecia</w:t>
            </w:r>
            <w:proofErr w:type="spellEnd"/>
            <w:r w:rsidRPr="00D6433C">
              <w:rPr>
                <w:i/>
                <w:iCs/>
                <w:lang w:val="en-US"/>
              </w:rPr>
              <w:t xml:space="preserve"> </w:t>
            </w:r>
            <w:proofErr w:type="spellStart"/>
            <w:r>
              <w:rPr>
                <w:i/>
                <w:iCs/>
                <w:lang w:val="en-US"/>
              </w:rPr>
              <w:t>spp</w:t>
            </w:r>
            <w:proofErr w:type="spellEnd"/>
            <w:r>
              <w:rPr>
                <w:i/>
                <w:iCs/>
                <w:lang w:val="en-US"/>
              </w:rPr>
              <w:t xml:space="preserve"> (2 taxa)</w:t>
            </w:r>
          </w:p>
        </w:tc>
        <w:tc>
          <w:tcPr>
            <w:tcW w:w="2154" w:type="dxa"/>
            <w:vAlign w:val="bottom"/>
          </w:tcPr>
          <w:p w14:paraId="40638694" w14:textId="77777777" w:rsidR="00EA35F8" w:rsidRPr="00D6433C" w:rsidRDefault="00EA35F8" w:rsidP="008C15ED">
            <w:pPr>
              <w:pStyle w:val="TableText"/>
              <w:spacing w:before="0" w:after="0" w:line="240" w:lineRule="auto"/>
              <w:contextualSpacing/>
              <w:jc w:val="left"/>
              <w:rPr>
                <w:lang w:val="en-US"/>
              </w:rPr>
            </w:pPr>
            <w:proofErr w:type="spellStart"/>
            <w:r w:rsidRPr="00D6433C">
              <w:rPr>
                <w:lang w:val="en-US"/>
              </w:rPr>
              <w:t>Centropagidae</w:t>
            </w:r>
            <w:proofErr w:type="spellEnd"/>
          </w:p>
        </w:tc>
        <w:tc>
          <w:tcPr>
            <w:tcW w:w="2452" w:type="dxa"/>
            <w:vAlign w:val="bottom"/>
          </w:tcPr>
          <w:p w14:paraId="452EC08B" w14:textId="77777777" w:rsidR="00EA35F8" w:rsidRPr="00D6433C" w:rsidRDefault="00EA35F8" w:rsidP="008C15ED">
            <w:pPr>
              <w:pStyle w:val="TableText"/>
              <w:spacing w:before="0" w:after="0" w:line="240" w:lineRule="auto"/>
              <w:contextualSpacing/>
              <w:jc w:val="left"/>
              <w:rPr>
                <w:lang w:val="en-US"/>
              </w:rPr>
            </w:pPr>
            <w:proofErr w:type="spellStart"/>
            <w:r w:rsidRPr="00D6433C">
              <w:rPr>
                <w:lang w:val="en-US"/>
              </w:rPr>
              <w:t>Calanoida</w:t>
            </w:r>
            <w:proofErr w:type="spellEnd"/>
            <w:r w:rsidRPr="00D6433C">
              <w:rPr>
                <w:lang w:val="en-US"/>
              </w:rPr>
              <w:t xml:space="preserve"> </w:t>
            </w:r>
          </w:p>
        </w:tc>
      </w:tr>
      <w:tr w:rsidR="00EA35F8" w:rsidRPr="00D6433C" w14:paraId="4BA411D8" w14:textId="77777777" w:rsidTr="008C15ED">
        <w:trPr>
          <w:trHeight w:val="340"/>
        </w:trPr>
        <w:tc>
          <w:tcPr>
            <w:tcW w:w="3555" w:type="dxa"/>
            <w:vAlign w:val="bottom"/>
          </w:tcPr>
          <w:p w14:paraId="0D61F69D" w14:textId="77777777" w:rsidR="00EA35F8" w:rsidRPr="00D6433C" w:rsidRDefault="00EA35F8" w:rsidP="008C15ED">
            <w:pPr>
              <w:pStyle w:val="TableHeading"/>
              <w:spacing w:before="0" w:after="0" w:line="240" w:lineRule="auto"/>
              <w:contextualSpacing/>
              <w:jc w:val="left"/>
              <w:rPr>
                <w:i/>
                <w:iCs/>
                <w:lang w:val="en-US"/>
              </w:rPr>
            </w:pPr>
            <w:proofErr w:type="spellStart"/>
            <w:r w:rsidRPr="00D6433C">
              <w:rPr>
                <w:i/>
                <w:iCs/>
                <w:lang w:val="en-US"/>
              </w:rPr>
              <w:t>Ceriodaphnia</w:t>
            </w:r>
            <w:proofErr w:type="spellEnd"/>
            <w:r w:rsidRPr="00D6433C">
              <w:rPr>
                <w:i/>
                <w:iCs/>
                <w:lang w:val="en-US"/>
              </w:rPr>
              <w:t xml:space="preserve"> </w:t>
            </w:r>
            <w:proofErr w:type="spellStart"/>
            <w:r>
              <w:rPr>
                <w:i/>
                <w:iCs/>
                <w:lang w:val="en-US"/>
              </w:rPr>
              <w:t>spp</w:t>
            </w:r>
            <w:proofErr w:type="spellEnd"/>
            <w:r>
              <w:rPr>
                <w:i/>
                <w:iCs/>
                <w:lang w:val="en-US"/>
              </w:rPr>
              <w:t xml:space="preserve"> (2 taxa)</w:t>
            </w:r>
          </w:p>
        </w:tc>
        <w:tc>
          <w:tcPr>
            <w:tcW w:w="2154" w:type="dxa"/>
            <w:vAlign w:val="bottom"/>
          </w:tcPr>
          <w:p w14:paraId="023E9D3C" w14:textId="77777777" w:rsidR="00EA35F8" w:rsidRPr="00D6433C" w:rsidRDefault="00EA35F8" w:rsidP="008C15ED">
            <w:pPr>
              <w:pStyle w:val="TableText"/>
              <w:spacing w:before="0" w:after="0" w:line="240" w:lineRule="auto"/>
              <w:contextualSpacing/>
              <w:jc w:val="left"/>
              <w:rPr>
                <w:lang w:val="en-US"/>
              </w:rPr>
            </w:pPr>
            <w:proofErr w:type="spellStart"/>
            <w:r w:rsidRPr="00D6433C">
              <w:rPr>
                <w:lang w:val="en-US"/>
              </w:rPr>
              <w:t>Daphnidae</w:t>
            </w:r>
            <w:proofErr w:type="spellEnd"/>
          </w:p>
        </w:tc>
        <w:tc>
          <w:tcPr>
            <w:tcW w:w="2452" w:type="dxa"/>
            <w:vAlign w:val="bottom"/>
          </w:tcPr>
          <w:p w14:paraId="3722C31D" w14:textId="77777777" w:rsidR="00EA35F8" w:rsidRPr="00D6433C" w:rsidRDefault="00EA35F8" w:rsidP="008C15ED">
            <w:pPr>
              <w:pStyle w:val="TableText"/>
              <w:spacing w:before="0" w:after="0" w:line="240" w:lineRule="auto"/>
              <w:contextualSpacing/>
              <w:jc w:val="left"/>
              <w:rPr>
                <w:lang w:val="en-US"/>
              </w:rPr>
            </w:pPr>
            <w:r w:rsidRPr="00D6433C">
              <w:rPr>
                <w:lang w:val="en-US"/>
              </w:rPr>
              <w:t>Cladocera</w:t>
            </w:r>
          </w:p>
        </w:tc>
      </w:tr>
      <w:tr w:rsidR="00EA35F8" w:rsidRPr="00D6433C" w14:paraId="1E8BB4E4" w14:textId="77777777" w:rsidTr="008C15ED">
        <w:trPr>
          <w:trHeight w:val="340"/>
        </w:trPr>
        <w:tc>
          <w:tcPr>
            <w:tcW w:w="3555" w:type="dxa"/>
            <w:vAlign w:val="bottom"/>
          </w:tcPr>
          <w:p w14:paraId="704D61EF" w14:textId="77777777" w:rsidR="00EA35F8" w:rsidRPr="00D6433C" w:rsidRDefault="00EA35F8" w:rsidP="008C15ED">
            <w:pPr>
              <w:pStyle w:val="TableHeading"/>
              <w:spacing w:before="0" w:after="0" w:line="240" w:lineRule="auto"/>
              <w:contextualSpacing/>
              <w:jc w:val="left"/>
              <w:rPr>
                <w:i/>
                <w:iCs/>
                <w:lang w:val="en-US"/>
              </w:rPr>
            </w:pPr>
            <w:r w:rsidRPr="00D6433C">
              <w:rPr>
                <w:i/>
                <w:iCs/>
                <w:lang w:val="en-US"/>
              </w:rPr>
              <w:t>Daphnia (4 taxa)</w:t>
            </w:r>
          </w:p>
        </w:tc>
        <w:tc>
          <w:tcPr>
            <w:tcW w:w="2154" w:type="dxa"/>
            <w:vAlign w:val="bottom"/>
          </w:tcPr>
          <w:p w14:paraId="63B2FF30" w14:textId="77777777" w:rsidR="00EA35F8" w:rsidRPr="00D6433C" w:rsidRDefault="00EA35F8" w:rsidP="008C15ED">
            <w:pPr>
              <w:pStyle w:val="TableText"/>
              <w:spacing w:before="0" w:after="0" w:line="240" w:lineRule="auto"/>
              <w:contextualSpacing/>
              <w:jc w:val="left"/>
              <w:rPr>
                <w:lang w:val="en-US"/>
              </w:rPr>
            </w:pPr>
            <w:proofErr w:type="spellStart"/>
            <w:r w:rsidRPr="00D6433C">
              <w:rPr>
                <w:lang w:val="en-US"/>
              </w:rPr>
              <w:t>Daphnidae</w:t>
            </w:r>
            <w:proofErr w:type="spellEnd"/>
          </w:p>
        </w:tc>
        <w:tc>
          <w:tcPr>
            <w:tcW w:w="2452" w:type="dxa"/>
            <w:vAlign w:val="bottom"/>
          </w:tcPr>
          <w:p w14:paraId="64F4CDE5" w14:textId="77777777" w:rsidR="00EA35F8" w:rsidRPr="00D6433C" w:rsidRDefault="00EA35F8" w:rsidP="008C15ED">
            <w:pPr>
              <w:pStyle w:val="TableText"/>
              <w:spacing w:before="0" w:after="0" w:line="240" w:lineRule="auto"/>
              <w:contextualSpacing/>
              <w:jc w:val="left"/>
              <w:rPr>
                <w:lang w:val="en-US"/>
              </w:rPr>
            </w:pPr>
            <w:r w:rsidRPr="00D6433C">
              <w:rPr>
                <w:lang w:val="en-US"/>
              </w:rPr>
              <w:t>Cladocera</w:t>
            </w:r>
          </w:p>
        </w:tc>
      </w:tr>
      <w:tr w:rsidR="00EA35F8" w:rsidRPr="00D6433C" w14:paraId="57B77AFE" w14:textId="77777777" w:rsidTr="008C15ED">
        <w:trPr>
          <w:trHeight w:val="340"/>
        </w:trPr>
        <w:tc>
          <w:tcPr>
            <w:tcW w:w="3555" w:type="dxa"/>
            <w:vAlign w:val="bottom"/>
          </w:tcPr>
          <w:p w14:paraId="70A75B7A" w14:textId="77777777" w:rsidR="00EA35F8" w:rsidRPr="00D6433C" w:rsidRDefault="00EA35F8" w:rsidP="008C15ED">
            <w:pPr>
              <w:pStyle w:val="TableHeading"/>
              <w:spacing w:before="0" w:after="0" w:line="240" w:lineRule="auto"/>
              <w:contextualSpacing/>
              <w:jc w:val="left"/>
              <w:rPr>
                <w:i/>
                <w:iCs/>
                <w:lang w:val="en-US"/>
              </w:rPr>
            </w:pPr>
            <w:proofErr w:type="spellStart"/>
            <w:r w:rsidRPr="00D6433C">
              <w:rPr>
                <w:i/>
                <w:iCs/>
                <w:lang w:val="en-US"/>
              </w:rPr>
              <w:t>Filinia</w:t>
            </w:r>
            <w:proofErr w:type="spellEnd"/>
            <w:r w:rsidRPr="00D6433C">
              <w:rPr>
                <w:i/>
                <w:iCs/>
                <w:lang w:val="en-US"/>
              </w:rPr>
              <w:t xml:space="preserve"> (7 taxa) </w:t>
            </w:r>
          </w:p>
        </w:tc>
        <w:tc>
          <w:tcPr>
            <w:tcW w:w="2154" w:type="dxa"/>
            <w:vAlign w:val="bottom"/>
          </w:tcPr>
          <w:p w14:paraId="5F6D508D" w14:textId="77777777" w:rsidR="00EA35F8" w:rsidRPr="00D6433C" w:rsidRDefault="00EA35F8" w:rsidP="008C15ED">
            <w:pPr>
              <w:pStyle w:val="TableText"/>
              <w:spacing w:before="0" w:after="0" w:line="240" w:lineRule="auto"/>
              <w:contextualSpacing/>
              <w:jc w:val="left"/>
              <w:rPr>
                <w:lang w:val="en-US"/>
              </w:rPr>
            </w:pPr>
            <w:proofErr w:type="spellStart"/>
            <w:r w:rsidRPr="00D6433C">
              <w:rPr>
                <w:lang w:val="en-US"/>
              </w:rPr>
              <w:t>Trochosphaeridae</w:t>
            </w:r>
            <w:proofErr w:type="spellEnd"/>
          </w:p>
        </w:tc>
        <w:tc>
          <w:tcPr>
            <w:tcW w:w="2452" w:type="dxa"/>
            <w:vAlign w:val="bottom"/>
          </w:tcPr>
          <w:p w14:paraId="7FB82D86" w14:textId="77777777" w:rsidR="00EA35F8" w:rsidRPr="00D6433C" w:rsidRDefault="00EA35F8" w:rsidP="008C15ED">
            <w:pPr>
              <w:pStyle w:val="TableText"/>
              <w:spacing w:before="0" w:after="0" w:line="240" w:lineRule="auto"/>
              <w:contextualSpacing/>
              <w:jc w:val="left"/>
              <w:rPr>
                <w:lang w:val="en-US"/>
              </w:rPr>
            </w:pPr>
            <w:r>
              <w:rPr>
                <w:lang w:val="en-US"/>
              </w:rPr>
              <w:t>R</w:t>
            </w:r>
            <w:r w:rsidRPr="00D6433C">
              <w:rPr>
                <w:lang w:val="en-US"/>
              </w:rPr>
              <w:t>otifer</w:t>
            </w:r>
          </w:p>
        </w:tc>
      </w:tr>
      <w:tr w:rsidR="00EA35F8" w:rsidRPr="00D6433C" w14:paraId="7616CC2F" w14:textId="77777777" w:rsidTr="008C15ED">
        <w:trPr>
          <w:trHeight w:val="340"/>
        </w:trPr>
        <w:tc>
          <w:tcPr>
            <w:tcW w:w="3555" w:type="dxa"/>
            <w:vAlign w:val="bottom"/>
          </w:tcPr>
          <w:p w14:paraId="34F6524B" w14:textId="77777777" w:rsidR="00EA35F8" w:rsidRPr="00D6433C" w:rsidRDefault="00EA35F8" w:rsidP="008C15ED">
            <w:pPr>
              <w:pStyle w:val="TableHeading"/>
              <w:spacing w:before="0" w:after="0" w:line="240" w:lineRule="auto"/>
              <w:contextualSpacing/>
              <w:jc w:val="left"/>
              <w:rPr>
                <w:i/>
                <w:iCs/>
                <w:lang w:val="en-US"/>
              </w:rPr>
            </w:pPr>
            <w:proofErr w:type="spellStart"/>
            <w:r w:rsidRPr="00D6433C">
              <w:rPr>
                <w:i/>
                <w:iCs/>
                <w:lang w:val="en-US"/>
              </w:rPr>
              <w:t>Gladioferens</w:t>
            </w:r>
            <w:proofErr w:type="spellEnd"/>
            <w:r w:rsidRPr="00D6433C">
              <w:rPr>
                <w:i/>
                <w:iCs/>
                <w:lang w:val="en-US"/>
              </w:rPr>
              <w:t xml:space="preserve"> sp.</w:t>
            </w:r>
          </w:p>
        </w:tc>
        <w:tc>
          <w:tcPr>
            <w:tcW w:w="2154" w:type="dxa"/>
            <w:vAlign w:val="bottom"/>
          </w:tcPr>
          <w:p w14:paraId="68BFCFED" w14:textId="77777777" w:rsidR="00EA35F8" w:rsidRPr="00D6433C" w:rsidRDefault="00EA35F8" w:rsidP="008C15ED">
            <w:pPr>
              <w:pStyle w:val="TableText"/>
              <w:spacing w:before="0" w:after="0" w:line="240" w:lineRule="auto"/>
              <w:contextualSpacing/>
              <w:jc w:val="left"/>
              <w:rPr>
                <w:lang w:val="en-US"/>
              </w:rPr>
            </w:pPr>
            <w:proofErr w:type="spellStart"/>
            <w:r w:rsidRPr="00D6433C">
              <w:rPr>
                <w:lang w:val="en-US"/>
              </w:rPr>
              <w:t>Centropagidae</w:t>
            </w:r>
            <w:proofErr w:type="spellEnd"/>
          </w:p>
        </w:tc>
        <w:tc>
          <w:tcPr>
            <w:tcW w:w="2452" w:type="dxa"/>
            <w:vAlign w:val="bottom"/>
          </w:tcPr>
          <w:p w14:paraId="21989848" w14:textId="77777777" w:rsidR="00EA35F8" w:rsidRPr="00D6433C" w:rsidRDefault="00EA35F8" w:rsidP="008C15ED">
            <w:pPr>
              <w:pStyle w:val="TableText"/>
              <w:spacing w:before="0" w:after="0" w:line="240" w:lineRule="auto"/>
              <w:contextualSpacing/>
              <w:jc w:val="left"/>
              <w:rPr>
                <w:lang w:val="en-US"/>
              </w:rPr>
            </w:pPr>
            <w:proofErr w:type="spellStart"/>
            <w:r w:rsidRPr="00D6433C">
              <w:rPr>
                <w:lang w:val="en-US"/>
              </w:rPr>
              <w:t>Calanoida</w:t>
            </w:r>
            <w:proofErr w:type="spellEnd"/>
            <w:r w:rsidRPr="00D6433C">
              <w:rPr>
                <w:lang w:val="en-US"/>
              </w:rPr>
              <w:t xml:space="preserve"> </w:t>
            </w:r>
          </w:p>
        </w:tc>
      </w:tr>
      <w:tr w:rsidR="00EA35F8" w:rsidRPr="00D6433C" w14:paraId="1A9669EB" w14:textId="77777777" w:rsidTr="008C15ED">
        <w:trPr>
          <w:trHeight w:val="340"/>
        </w:trPr>
        <w:tc>
          <w:tcPr>
            <w:tcW w:w="3555" w:type="dxa"/>
            <w:vAlign w:val="bottom"/>
          </w:tcPr>
          <w:p w14:paraId="63A41298" w14:textId="77777777" w:rsidR="00EA35F8" w:rsidRPr="00D6433C" w:rsidRDefault="00EA35F8" w:rsidP="008C15ED">
            <w:pPr>
              <w:pStyle w:val="TableHeading"/>
              <w:spacing w:before="0" w:after="0" w:line="240" w:lineRule="auto"/>
              <w:contextualSpacing/>
              <w:jc w:val="left"/>
              <w:rPr>
                <w:i/>
                <w:iCs/>
                <w:lang w:val="en-US"/>
              </w:rPr>
            </w:pPr>
            <w:proofErr w:type="spellStart"/>
            <w:r w:rsidRPr="00F95667">
              <w:rPr>
                <w:i/>
                <w:iCs/>
                <w:lang w:val="en-US"/>
              </w:rPr>
              <w:t>Ilyocryptus</w:t>
            </w:r>
            <w:proofErr w:type="spellEnd"/>
            <w:r w:rsidRPr="00F95667">
              <w:rPr>
                <w:i/>
                <w:iCs/>
                <w:lang w:val="en-US"/>
              </w:rPr>
              <w:t xml:space="preserve"> sp.</w:t>
            </w:r>
          </w:p>
        </w:tc>
        <w:tc>
          <w:tcPr>
            <w:tcW w:w="2154" w:type="dxa"/>
            <w:vAlign w:val="bottom"/>
          </w:tcPr>
          <w:p w14:paraId="286A443C" w14:textId="77777777" w:rsidR="00EA35F8" w:rsidRPr="00D6433C" w:rsidRDefault="00EA35F8" w:rsidP="008C15ED">
            <w:pPr>
              <w:pStyle w:val="TableText"/>
              <w:spacing w:before="0" w:after="0" w:line="240" w:lineRule="auto"/>
              <w:contextualSpacing/>
              <w:jc w:val="left"/>
              <w:rPr>
                <w:lang w:val="en-US"/>
              </w:rPr>
            </w:pPr>
            <w:proofErr w:type="spellStart"/>
            <w:r w:rsidRPr="004C6C5A">
              <w:t>Ilyocryptidae</w:t>
            </w:r>
            <w:proofErr w:type="spellEnd"/>
          </w:p>
        </w:tc>
        <w:tc>
          <w:tcPr>
            <w:tcW w:w="2452" w:type="dxa"/>
            <w:vAlign w:val="bottom"/>
          </w:tcPr>
          <w:p w14:paraId="0FC884AC" w14:textId="77777777" w:rsidR="00EA35F8" w:rsidRPr="00D6433C" w:rsidRDefault="00EA35F8" w:rsidP="008C15ED">
            <w:pPr>
              <w:pStyle w:val="TableText"/>
              <w:spacing w:before="0" w:after="0" w:line="240" w:lineRule="auto"/>
              <w:contextualSpacing/>
              <w:jc w:val="left"/>
              <w:rPr>
                <w:lang w:val="en-US"/>
              </w:rPr>
            </w:pPr>
            <w:proofErr w:type="spellStart"/>
            <w:r>
              <w:t>C</w:t>
            </w:r>
            <w:r w:rsidRPr="004C6C5A">
              <w:t>adocera</w:t>
            </w:r>
            <w:proofErr w:type="spellEnd"/>
          </w:p>
        </w:tc>
      </w:tr>
      <w:tr w:rsidR="00EA35F8" w:rsidRPr="00D6433C" w14:paraId="3F34A09C" w14:textId="77777777" w:rsidTr="008C15ED">
        <w:trPr>
          <w:trHeight w:val="340"/>
        </w:trPr>
        <w:tc>
          <w:tcPr>
            <w:tcW w:w="3555" w:type="dxa"/>
            <w:vAlign w:val="bottom"/>
          </w:tcPr>
          <w:p w14:paraId="176A0F07" w14:textId="77777777" w:rsidR="00EA35F8" w:rsidRPr="00D6433C" w:rsidRDefault="00EA35F8" w:rsidP="008C15ED">
            <w:pPr>
              <w:pStyle w:val="TableHeading"/>
              <w:spacing w:before="0" w:after="0" w:line="240" w:lineRule="auto"/>
              <w:contextualSpacing/>
              <w:jc w:val="left"/>
              <w:rPr>
                <w:i/>
                <w:iCs/>
                <w:lang w:val="en-US"/>
              </w:rPr>
            </w:pPr>
            <w:proofErr w:type="spellStart"/>
            <w:r w:rsidRPr="00D6433C">
              <w:rPr>
                <w:i/>
                <w:iCs/>
                <w:lang w:val="en-US"/>
              </w:rPr>
              <w:t>Keratella</w:t>
            </w:r>
            <w:proofErr w:type="spellEnd"/>
            <w:r w:rsidRPr="00D6433C">
              <w:rPr>
                <w:i/>
                <w:iCs/>
                <w:lang w:val="en-US"/>
              </w:rPr>
              <w:t xml:space="preserve"> australis</w:t>
            </w:r>
          </w:p>
        </w:tc>
        <w:tc>
          <w:tcPr>
            <w:tcW w:w="2154" w:type="dxa"/>
            <w:vAlign w:val="bottom"/>
          </w:tcPr>
          <w:p w14:paraId="5ACF2AED" w14:textId="77777777" w:rsidR="00EA35F8" w:rsidRPr="00D6433C" w:rsidRDefault="00EA35F8" w:rsidP="008C15ED">
            <w:pPr>
              <w:pStyle w:val="TableText"/>
              <w:spacing w:before="0" w:after="0" w:line="240" w:lineRule="auto"/>
              <w:contextualSpacing/>
              <w:jc w:val="left"/>
              <w:rPr>
                <w:lang w:val="en-US"/>
              </w:rPr>
            </w:pPr>
            <w:proofErr w:type="spellStart"/>
            <w:r w:rsidRPr="00D6433C">
              <w:rPr>
                <w:lang w:val="en-US"/>
              </w:rPr>
              <w:t>Brachionidae</w:t>
            </w:r>
            <w:proofErr w:type="spellEnd"/>
          </w:p>
        </w:tc>
        <w:tc>
          <w:tcPr>
            <w:tcW w:w="2452" w:type="dxa"/>
            <w:vAlign w:val="bottom"/>
          </w:tcPr>
          <w:p w14:paraId="58AEA674" w14:textId="77777777" w:rsidR="00EA35F8" w:rsidRPr="00D6433C" w:rsidRDefault="00EA35F8" w:rsidP="008C15ED">
            <w:pPr>
              <w:pStyle w:val="TableText"/>
              <w:spacing w:before="0" w:after="0" w:line="240" w:lineRule="auto"/>
              <w:contextualSpacing/>
              <w:jc w:val="left"/>
              <w:rPr>
                <w:lang w:val="en-US"/>
              </w:rPr>
            </w:pPr>
            <w:proofErr w:type="spellStart"/>
            <w:r w:rsidRPr="00D6433C">
              <w:rPr>
                <w:lang w:val="en-US"/>
              </w:rPr>
              <w:t>Rotifera</w:t>
            </w:r>
            <w:proofErr w:type="spellEnd"/>
          </w:p>
        </w:tc>
      </w:tr>
      <w:tr w:rsidR="00EA35F8" w:rsidRPr="00D6433C" w14:paraId="745B030D" w14:textId="77777777" w:rsidTr="008C15ED">
        <w:trPr>
          <w:trHeight w:val="340"/>
        </w:trPr>
        <w:tc>
          <w:tcPr>
            <w:tcW w:w="3555" w:type="dxa"/>
            <w:vAlign w:val="bottom"/>
          </w:tcPr>
          <w:p w14:paraId="61024CCC" w14:textId="77777777" w:rsidR="00EA35F8" w:rsidRPr="00D6433C" w:rsidRDefault="00EA35F8" w:rsidP="008C15ED">
            <w:pPr>
              <w:pStyle w:val="TableHeading"/>
              <w:spacing w:before="0" w:after="0" w:line="240" w:lineRule="auto"/>
              <w:contextualSpacing/>
              <w:jc w:val="left"/>
              <w:rPr>
                <w:i/>
                <w:iCs/>
                <w:lang w:val="en-US"/>
              </w:rPr>
            </w:pPr>
            <w:proofErr w:type="spellStart"/>
            <w:r w:rsidRPr="00D6433C">
              <w:rPr>
                <w:i/>
                <w:iCs/>
                <w:lang w:val="en-US"/>
              </w:rPr>
              <w:t>Keratella</w:t>
            </w:r>
            <w:proofErr w:type="spellEnd"/>
            <w:r w:rsidRPr="00D6433C">
              <w:rPr>
                <w:i/>
                <w:iCs/>
                <w:lang w:val="en-US"/>
              </w:rPr>
              <w:t xml:space="preserve"> </w:t>
            </w:r>
            <w:proofErr w:type="spellStart"/>
            <w:r w:rsidRPr="00D6433C">
              <w:rPr>
                <w:i/>
                <w:iCs/>
                <w:lang w:val="en-US"/>
              </w:rPr>
              <w:t>procurva</w:t>
            </w:r>
            <w:proofErr w:type="spellEnd"/>
          </w:p>
        </w:tc>
        <w:tc>
          <w:tcPr>
            <w:tcW w:w="2154" w:type="dxa"/>
            <w:vAlign w:val="bottom"/>
          </w:tcPr>
          <w:p w14:paraId="30491CEE" w14:textId="77777777" w:rsidR="00EA35F8" w:rsidRPr="00D6433C" w:rsidRDefault="00EA35F8" w:rsidP="008C15ED">
            <w:pPr>
              <w:pStyle w:val="TableText"/>
              <w:spacing w:before="0" w:after="0" w:line="240" w:lineRule="auto"/>
              <w:contextualSpacing/>
              <w:jc w:val="left"/>
              <w:rPr>
                <w:lang w:val="en-US"/>
              </w:rPr>
            </w:pPr>
            <w:proofErr w:type="spellStart"/>
            <w:r w:rsidRPr="00D6433C">
              <w:rPr>
                <w:lang w:val="en-US"/>
              </w:rPr>
              <w:t>Brachionidae</w:t>
            </w:r>
            <w:proofErr w:type="spellEnd"/>
          </w:p>
        </w:tc>
        <w:tc>
          <w:tcPr>
            <w:tcW w:w="2452" w:type="dxa"/>
            <w:vAlign w:val="bottom"/>
          </w:tcPr>
          <w:p w14:paraId="7FE7A2BC" w14:textId="77777777" w:rsidR="00EA35F8" w:rsidRPr="00D6433C" w:rsidRDefault="00EA35F8" w:rsidP="008C15ED">
            <w:pPr>
              <w:pStyle w:val="TableText"/>
              <w:spacing w:before="0" w:after="0" w:line="240" w:lineRule="auto"/>
              <w:contextualSpacing/>
              <w:jc w:val="left"/>
              <w:rPr>
                <w:lang w:val="en-US"/>
              </w:rPr>
            </w:pPr>
            <w:proofErr w:type="spellStart"/>
            <w:r w:rsidRPr="00D6433C">
              <w:rPr>
                <w:lang w:val="en-US"/>
              </w:rPr>
              <w:t>Rotifera</w:t>
            </w:r>
            <w:proofErr w:type="spellEnd"/>
          </w:p>
        </w:tc>
      </w:tr>
      <w:tr w:rsidR="00EA35F8" w:rsidRPr="00D6433C" w14:paraId="0EEE2452" w14:textId="77777777" w:rsidTr="008C15ED">
        <w:trPr>
          <w:trHeight w:val="340"/>
        </w:trPr>
        <w:tc>
          <w:tcPr>
            <w:tcW w:w="3555" w:type="dxa"/>
            <w:vAlign w:val="bottom"/>
          </w:tcPr>
          <w:p w14:paraId="6290F432" w14:textId="77777777" w:rsidR="00EA35F8" w:rsidRPr="00D6433C" w:rsidRDefault="00EA35F8" w:rsidP="008C15ED">
            <w:pPr>
              <w:pStyle w:val="TableHeading"/>
              <w:spacing w:before="0" w:after="0" w:line="240" w:lineRule="auto"/>
              <w:contextualSpacing/>
              <w:jc w:val="left"/>
              <w:rPr>
                <w:i/>
                <w:iCs/>
                <w:lang w:val="en-US"/>
              </w:rPr>
            </w:pPr>
            <w:proofErr w:type="spellStart"/>
            <w:r>
              <w:rPr>
                <w:i/>
                <w:iCs/>
                <w:lang w:val="en-US"/>
              </w:rPr>
              <w:t>Lecane</w:t>
            </w:r>
            <w:proofErr w:type="spellEnd"/>
            <w:r>
              <w:rPr>
                <w:i/>
                <w:iCs/>
                <w:lang w:val="en-US"/>
              </w:rPr>
              <w:t xml:space="preserve"> spp. (14 taxa)</w:t>
            </w:r>
          </w:p>
        </w:tc>
        <w:tc>
          <w:tcPr>
            <w:tcW w:w="2154" w:type="dxa"/>
            <w:vAlign w:val="bottom"/>
          </w:tcPr>
          <w:p w14:paraId="6DF50059" w14:textId="77777777" w:rsidR="00EA35F8" w:rsidRPr="00D6433C" w:rsidRDefault="00EA35F8" w:rsidP="008C15ED">
            <w:pPr>
              <w:pStyle w:val="TableText"/>
              <w:spacing w:before="0" w:after="0" w:line="240" w:lineRule="auto"/>
              <w:contextualSpacing/>
              <w:jc w:val="left"/>
              <w:rPr>
                <w:lang w:val="en-US"/>
              </w:rPr>
            </w:pPr>
            <w:proofErr w:type="spellStart"/>
            <w:r w:rsidRPr="00546842">
              <w:t>Lecanidae</w:t>
            </w:r>
            <w:proofErr w:type="spellEnd"/>
          </w:p>
        </w:tc>
        <w:tc>
          <w:tcPr>
            <w:tcW w:w="2452" w:type="dxa"/>
            <w:vAlign w:val="bottom"/>
          </w:tcPr>
          <w:p w14:paraId="6B1B3C88" w14:textId="77777777" w:rsidR="00EA35F8" w:rsidRPr="00D6433C" w:rsidRDefault="00EA35F8" w:rsidP="008C15ED">
            <w:pPr>
              <w:pStyle w:val="TableText"/>
              <w:spacing w:before="0" w:after="0" w:line="240" w:lineRule="auto"/>
              <w:contextualSpacing/>
              <w:jc w:val="left"/>
              <w:rPr>
                <w:lang w:val="en-US"/>
              </w:rPr>
            </w:pPr>
            <w:r>
              <w:t>Ro</w:t>
            </w:r>
            <w:r w:rsidRPr="00546842">
              <w:t>tifer</w:t>
            </w:r>
          </w:p>
        </w:tc>
      </w:tr>
      <w:tr w:rsidR="00EA35F8" w:rsidRPr="00D6433C" w14:paraId="14054D82" w14:textId="77777777" w:rsidTr="008C15ED">
        <w:trPr>
          <w:trHeight w:val="340"/>
        </w:trPr>
        <w:tc>
          <w:tcPr>
            <w:tcW w:w="3555" w:type="dxa"/>
            <w:tcBorders>
              <w:bottom w:val="single" w:sz="4" w:space="0" w:color="auto"/>
            </w:tcBorders>
            <w:vAlign w:val="bottom"/>
          </w:tcPr>
          <w:p w14:paraId="60F41B74" w14:textId="77777777" w:rsidR="00EA35F8" w:rsidRPr="00D6433C" w:rsidRDefault="00EA35F8" w:rsidP="008C15ED">
            <w:pPr>
              <w:pStyle w:val="TableHeading"/>
              <w:spacing w:before="0" w:after="0" w:line="240" w:lineRule="auto"/>
              <w:contextualSpacing/>
              <w:jc w:val="left"/>
              <w:rPr>
                <w:i/>
                <w:iCs/>
                <w:lang w:val="en-US"/>
              </w:rPr>
            </w:pPr>
            <w:proofErr w:type="spellStart"/>
            <w:r w:rsidRPr="00F95667">
              <w:rPr>
                <w:i/>
                <w:iCs/>
                <w:lang w:val="en-US"/>
              </w:rPr>
              <w:t>Neothrix</w:t>
            </w:r>
            <w:proofErr w:type="spellEnd"/>
            <w:r w:rsidRPr="00F95667">
              <w:rPr>
                <w:i/>
                <w:iCs/>
                <w:lang w:val="en-US"/>
              </w:rPr>
              <w:t xml:space="preserve"> sp.  </w:t>
            </w:r>
          </w:p>
        </w:tc>
        <w:tc>
          <w:tcPr>
            <w:tcW w:w="2154" w:type="dxa"/>
            <w:tcBorders>
              <w:bottom w:val="single" w:sz="4" w:space="0" w:color="auto"/>
            </w:tcBorders>
            <w:vAlign w:val="bottom"/>
          </w:tcPr>
          <w:p w14:paraId="0FCE1DCA" w14:textId="77777777" w:rsidR="00EA35F8" w:rsidRPr="00D6433C" w:rsidRDefault="00EA35F8" w:rsidP="008C15ED">
            <w:pPr>
              <w:pStyle w:val="TableText"/>
              <w:spacing w:before="0" w:after="0" w:line="240" w:lineRule="auto"/>
              <w:contextualSpacing/>
              <w:jc w:val="left"/>
              <w:rPr>
                <w:lang w:val="en-US"/>
              </w:rPr>
            </w:pPr>
            <w:proofErr w:type="spellStart"/>
            <w:r w:rsidRPr="00B02158">
              <w:rPr>
                <w:lang w:val="en-US"/>
              </w:rPr>
              <w:t>Neotrichidae</w:t>
            </w:r>
            <w:proofErr w:type="spellEnd"/>
          </w:p>
        </w:tc>
        <w:tc>
          <w:tcPr>
            <w:tcW w:w="2452" w:type="dxa"/>
            <w:tcBorders>
              <w:bottom w:val="single" w:sz="4" w:space="0" w:color="auto"/>
            </w:tcBorders>
            <w:vAlign w:val="bottom"/>
          </w:tcPr>
          <w:p w14:paraId="71599064" w14:textId="77777777" w:rsidR="00EA35F8" w:rsidRPr="00D6433C" w:rsidRDefault="00EA35F8" w:rsidP="008C15ED">
            <w:pPr>
              <w:pStyle w:val="TableText"/>
              <w:spacing w:before="0" w:after="0" w:line="240" w:lineRule="auto"/>
              <w:contextualSpacing/>
              <w:jc w:val="left"/>
              <w:rPr>
                <w:lang w:val="en-US"/>
              </w:rPr>
            </w:pPr>
            <w:r w:rsidRPr="00D6433C">
              <w:rPr>
                <w:lang w:val="en-US"/>
              </w:rPr>
              <w:t>Cladocera</w:t>
            </w:r>
          </w:p>
        </w:tc>
      </w:tr>
    </w:tbl>
    <w:p w14:paraId="2A7B2D66" w14:textId="77777777" w:rsidR="00EA35F8" w:rsidRDefault="00EA35F8" w:rsidP="00EA35F8"/>
    <w:p w14:paraId="52896C3C" w14:textId="77777777" w:rsidR="00EA35F8" w:rsidRDefault="00EA35F8" w:rsidP="00EA35F8">
      <w:pPr>
        <w:pStyle w:val="Heading3"/>
      </w:pPr>
      <w:r w:rsidRPr="00E35C12">
        <w:t>Results</w:t>
      </w:r>
    </w:p>
    <w:p w14:paraId="041914B3" w14:textId="47001ED4" w:rsidR="00EA35F8" w:rsidRPr="00651D6F" w:rsidRDefault="00FC47F1" w:rsidP="00651D6F">
      <w:pPr>
        <w:rPr>
          <w:i/>
          <w:iCs/>
          <w:u w:val="single"/>
        </w:rPr>
      </w:pPr>
      <w:r>
        <w:rPr>
          <w:i/>
          <w:iCs/>
          <w:u w:val="single"/>
        </w:rPr>
        <w:t>Density</w:t>
      </w:r>
      <w:r w:rsidR="00EA35F8" w:rsidRPr="00651D6F">
        <w:rPr>
          <w:i/>
          <w:iCs/>
          <w:u w:val="single"/>
        </w:rPr>
        <w:t xml:space="preserve"> patterns</w:t>
      </w:r>
    </w:p>
    <w:p w14:paraId="7AF7D7A9" w14:textId="0E8F2045" w:rsidR="00546125" w:rsidRDefault="00EA35F8" w:rsidP="00546125">
      <w:r>
        <w:t xml:space="preserve">Mean density across the three replicates for all sampling events over the 2019–20 water year ranged from 190–3,387 </w:t>
      </w:r>
      <w:proofErr w:type="spellStart"/>
      <w:r>
        <w:t>ind</w:t>
      </w:r>
      <w:proofErr w:type="spellEnd"/>
      <w:r>
        <w:t>/L (mean [± 95% CI] = 1,057 [698, 1,416]). Generally, sites tended to have comparable densities (</w:t>
      </w:r>
      <w:proofErr w:type="gramStart"/>
      <w:r>
        <w:t>e.g.</w:t>
      </w:r>
      <w:proofErr w:type="gramEnd"/>
      <w:r>
        <w:t xml:space="preserve"> near overlap in confidence intervals; </w:t>
      </w:r>
      <w:r>
        <w:fldChar w:fldCharType="begin"/>
      </w:r>
      <w:r>
        <w:instrText xml:space="preserve"> REF _Ref62558727 \h </w:instrText>
      </w:r>
      <w:r>
        <w:fldChar w:fldCharType="separate"/>
      </w:r>
      <w:r w:rsidR="006045CA">
        <w:t xml:space="preserve">Figure </w:t>
      </w:r>
      <w:r w:rsidR="006045CA">
        <w:rPr>
          <w:noProof/>
        </w:rPr>
        <w:t>42</w:t>
      </w:r>
      <w:r>
        <w:fldChar w:fldCharType="end"/>
      </w:r>
      <w:r>
        <w:t>a), except for an unusually high density recorded at Lock 4 in the final sample of the year. Lock 1 site samples tended to have higher density than upstream sites early in the season, but this pattern reversed after December. The 21 October 2019 samples at all sites were collectively of higher density than other sampling times.</w:t>
      </w:r>
      <w:r w:rsidR="00546125" w:rsidRPr="00546125">
        <w:t xml:space="preserve"> </w:t>
      </w:r>
    </w:p>
    <w:p w14:paraId="06E15FAA" w14:textId="77777777" w:rsidR="00FC47F1" w:rsidRPr="00AA4EB2" w:rsidRDefault="00FC47F1" w:rsidP="00FC47F1">
      <w:pPr>
        <w:rPr>
          <w:i/>
          <w:iCs/>
          <w:u w:val="single"/>
        </w:rPr>
      </w:pPr>
      <w:r w:rsidRPr="00AA4EB2">
        <w:rPr>
          <w:i/>
          <w:iCs/>
          <w:u w:val="single"/>
        </w:rPr>
        <w:t>Diversity patterns (taxonomic richness)</w:t>
      </w:r>
    </w:p>
    <w:p w14:paraId="1C1BE064" w14:textId="59EC1C7D" w:rsidR="00546125" w:rsidRPr="00893B80" w:rsidRDefault="00546125" w:rsidP="00546125">
      <w:r w:rsidRPr="00AF7596">
        <w:t>Taxon</w:t>
      </w:r>
      <w:r>
        <w:t>omic richness ranged from 12–27 taxa (18.3 [16.3, 20.3]) and was similar at all locks early in the water year (</w:t>
      </w:r>
      <w:r>
        <w:fldChar w:fldCharType="begin"/>
      </w:r>
      <w:r>
        <w:instrText xml:space="preserve"> REF _Ref62558727 \h </w:instrText>
      </w:r>
      <w:r>
        <w:fldChar w:fldCharType="separate"/>
      </w:r>
      <w:r w:rsidR="006045CA">
        <w:t xml:space="preserve">Figure </w:t>
      </w:r>
      <w:r w:rsidR="006045CA">
        <w:rPr>
          <w:noProof/>
        </w:rPr>
        <w:t>42</w:t>
      </w:r>
      <w:r>
        <w:fldChar w:fldCharType="end"/>
      </w:r>
      <w:r>
        <w:t xml:space="preserve">b). All sites had similar richness early in the year, but concurrent with the decline in density, taxonomic richness declined at the Lock 1 site, remaining lower than the two upstream locks, which both generally increased in richness over the year. </w:t>
      </w:r>
    </w:p>
    <w:p w14:paraId="513BC389" w14:textId="747C17AB" w:rsidR="00EA35F8" w:rsidRPr="00893B80" w:rsidRDefault="00EA35F8" w:rsidP="00EA35F8"/>
    <w:p w14:paraId="7CC9348F" w14:textId="77777777" w:rsidR="00EA35F8" w:rsidRDefault="00EA35F8" w:rsidP="00EA35F8">
      <w:pPr>
        <w:keepNext/>
      </w:pPr>
      <w:r>
        <w:rPr>
          <w:noProof/>
        </w:rPr>
        <w:drawing>
          <wp:inline distT="0" distB="0" distL="0" distR="0" wp14:anchorId="19EAABB1" wp14:editId="5AC95EFF">
            <wp:extent cx="5731510" cy="6068060"/>
            <wp:effectExtent l="0" t="0" r="2540" b="8890"/>
            <wp:docPr id="6" name="Picture 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hart, line chart&#10;&#10;Description automatically generated"/>
                    <pic:cNvPicPr/>
                  </pic:nvPicPr>
                  <pic:blipFill>
                    <a:blip r:embed="rId93" cstate="email">
                      <a:extLst>
                        <a:ext uri="{28A0092B-C50C-407E-A947-70E740481C1C}">
                          <a14:useLocalDpi xmlns:a14="http://schemas.microsoft.com/office/drawing/2010/main"/>
                        </a:ext>
                      </a:extLst>
                    </a:blip>
                    <a:stretch>
                      <a:fillRect/>
                    </a:stretch>
                  </pic:blipFill>
                  <pic:spPr>
                    <a:xfrm>
                      <a:off x="0" y="0"/>
                      <a:ext cx="5731510" cy="6068060"/>
                    </a:xfrm>
                    <a:prstGeom prst="rect">
                      <a:avLst/>
                    </a:prstGeom>
                  </pic:spPr>
                </pic:pic>
              </a:graphicData>
            </a:graphic>
          </wp:inline>
        </w:drawing>
      </w:r>
    </w:p>
    <w:p w14:paraId="4DF25154" w14:textId="2ABB0151" w:rsidR="00EA35F8" w:rsidRPr="00AE6AEB" w:rsidRDefault="00EA35F8" w:rsidP="00EA35F8">
      <w:pPr>
        <w:pStyle w:val="Caption"/>
      </w:pPr>
      <w:bookmarkStart w:id="240" w:name="_Ref62558727"/>
      <w:bookmarkStart w:id="241" w:name="_Toc63758498"/>
      <w:bookmarkStart w:id="242" w:name="_Toc69387706"/>
      <w:r>
        <w:t xml:space="preserve">Figure </w:t>
      </w:r>
      <w:r w:rsidR="006C38E9">
        <w:fldChar w:fldCharType="begin"/>
      </w:r>
      <w:r w:rsidR="006C38E9">
        <w:instrText xml:space="preserve"> SEQ Figure \* ARABIC </w:instrText>
      </w:r>
      <w:r w:rsidR="006C38E9">
        <w:fldChar w:fldCharType="separate"/>
      </w:r>
      <w:r w:rsidR="00996426">
        <w:rPr>
          <w:noProof/>
        </w:rPr>
        <w:t>42</w:t>
      </w:r>
      <w:r w:rsidR="006C38E9">
        <w:rPr>
          <w:noProof/>
        </w:rPr>
        <w:fldChar w:fldCharType="end"/>
      </w:r>
      <w:bookmarkEnd w:id="240"/>
      <w:r>
        <w:rPr>
          <w:b w:val="0"/>
          <w:bCs w:val="0"/>
        </w:rPr>
        <w:t>.</w:t>
      </w:r>
      <w:r>
        <w:t xml:space="preserve"> Observed density and taxonomic richness for 2019-20 sampling at each lock. (a) mean density of three sub-samples at each site (lock, indicated by colour) and date. Error bars show 95% confidence limits and horizontal black lines show mean for the water year.</w:t>
      </w:r>
      <w:bookmarkEnd w:id="241"/>
      <w:bookmarkEnd w:id="242"/>
    </w:p>
    <w:p w14:paraId="40D04BB3" w14:textId="77777777" w:rsidR="00EA35F8" w:rsidRPr="00651D6F" w:rsidRDefault="00EA35F8" w:rsidP="00651D6F">
      <w:pPr>
        <w:rPr>
          <w:i/>
          <w:iCs/>
          <w:u w:val="single"/>
        </w:rPr>
      </w:pPr>
      <w:r w:rsidRPr="00651D6F">
        <w:rPr>
          <w:i/>
          <w:iCs/>
          <w:u w:val="single"/>
        </w:rPr>
        <w:t>Functional group density</w:t>
      </w:r>
    </w:p>
    <w:p w14:paraId="11F4DC22" w14:textId="056A99E3" w:rsidR="00EA35F8" w:rsidRPr="002E5B10" w:rsidRDefault="00EA35F8" w:rsidP="00EA35F8">
      <w:r>
        <w:t>The distribution of functional group density among sampling sites during 2019-20 suggests dominance of pelagic rotifers</w:t>
      </w:r>
      <w:r w:rsidR="00E72A31">
        <w:t xml:space="preserve"> throughout the year,</w:t>
      </w:r>
      <w:r>
        <w:t xml:space="preserve"> and pelagic and littoral rotifers on 21 October 2019 (</w:t>
      </w:r>
      <w:r>
        <w:fldChar w:fldCharType="begin"/>
      </w:r>
      <w:r>
        <w:instrText xml:space="preserve"> REF _Ref57901311 \h </w:instrText>
      </w:r>
      <w:r>
        <w:fldChar w:fldCharType="separate"/>
      </w:r>
      <w:r w:rsidR="006045CA" w:rsidRPr="00893B80">
        <w:t xml:space="preserve">Figure </w:t>
      </w:r>
      <w:r w:rsidR="006045CA">
        <w:rPr>
          <w:noProof/>
        </w:rPr>
        <w:t>43</w:t>
      </w:r>
      <w:r>
        <w:fldChar w:fldCharType="end"/>
      </w:r>
      <w:r>
        <w:t xml:space="preserve">). All three functional group classes identified in </w:t>
      </w:r>
      <w:r w:rsidR="00BF2B60">
        <w:t>Figure D</w:t>
      </w:r>
      <w:r w:rsidR="00223F88">
        <w:t>10</w:t>
      </w:r>
      <w:r w:rsidR="00BF2B60">
        <w:t xml:space="preserve"> (Appendix D) </w:t>
      </w:r>
      <w:r>
        <w:t xml:space="preserve">were observed at least once during 2019-20 at each of the locks. </w:t>
      </w:r>
    </w:p>
    <w:p w14:paraId="79ADD07A" w14:textId="77777777" w:rsidR="00EA35F8" w:rsidRDefault="00EA35F8" w:rsidP="00D6493B">
      <w:pPr>
        <w:jc w:val="center"/>
      </w:pPr>
      <w:r>
        <w:rPr>
          <w:noProof/>
        </w:rPr>
        <w:drawing>
          <wp:inline distT="0" distB="0" distL="0" distR="0" wp14:anchorId="7A4E313A" wp14:editId="26893145">
            <wp:extent cx="5659665" cy="610391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4" cstate="email">
                      <a:extLst>
                        <a:ext uri="{28A0092B-C50C-407E-A947-70E740481C1C}">
                          <a14:useLocalDpi xmlns:a14="http://schemas.microsoft.com/office/drawing/2010/main"/>
                        </a:ext>
                      </a:extLst>
                    </a:blip>
                    <a:srcRect r="1790"/>
                    <a:stretch/>
                  </pic:blipFill>
                  <pic:spPr bwMode="auto">
                    <a:xfrm>
                      <a:off x="0" y="0"/>
                      <a:ext cx="5669791" cy="6114838"/>
                    </a:xfrm>
                    <a:prstGeom prst="rect">
                      <a:avLst/>
                    </a:prstGeom>
                    <a:noFill/>
                    <a:ln>
                      <a:noFill/>
                    </a:ln>
                    <a:extLst>
                      <a:ext uri="{53640926-AAD7-44D8-BBD7-CCE9431645EC}">
                        <a14:shadowObscured xmlns:a14="http://schemas.microsoft.com/office/drawing/2010/main"/>
                      </a:ext>
                    </a:extLst>
                  </pic:spPr>
                </pic:pic>
              </a:graphicData>
            </a:graphic>
          </wp:inline>
        </w:drawing>
      </w:r>
    </w:p>
    <w:p w14:paraId="1C23C724" w14:textId="0EB996D2" w:rsidR="00EA35F8" w:rsidRPr="00893B80" w:rsidRDefault="00EA35F8" w:rsidP="00EA35F8">
      <w:pPr>
        <w:pStyle w:val="Caption"/>
      </w:pPr>
      <w:bookmarkStart w:id="243" w:name="_Ref57901311"/>
      <w:bookmarkStart w:id="244" w:name="_Toc63758499"/>
      <w:bookmarkStart w:id="245" w:name="_Toc69387707"/>
      <w:r w:rsidRPr="00893B80">
        <w:t xml:space="preserve">Figure </w:t>
      </w:r>
      <w:r w:rsidR="006C38E9">
        <w:fldChar w:fldCharType="begin"/>
      </w:r>
      <w:r w:rsidR="006C38E9">
        <w:instrText xml:space="preserve"> SEQ Figure \* ARABIC </w:instrText>
      </w:r>
      <w:r w:rsidR="006C38E9">
        <w:fldChar w:fldCharType="separate"/>
      </w:r>
      <w:r w:rsidR="00996426">
        <w:rPr>
          <w:noProof/>
        </w:rPr>
        <w:t>43</w:t>
      </w:r>
      <w:r w:rsidR="006C38E9">
        <w:rPr>
          <w:noProof/>
        </w:rPr>
        <w:fldChar w:fldCharType="end"/>
      </w:r>
      <w:bookmarkEnd w:id="243"/>
      <w:r w:rsidRPr="00AF7596">
        <w:t>.</w:t>
      </w:r>
      <w:r w:rsidRPr="00893B80">
        <w:t xml:space="preserve"> Functional group density by sampling date and lock for the 2019</w:t>
      </w:r>
      <w:r>
        <w:t>-</w:t>
      </w:r>
      <w:r w:rsidRPr="00893B80">
        <w:t xml:space="preserve">20 season. Three sub-samples were collected at a single sample site located 5 km downstream of </w:t>
      </w:r>
      <w:r>
        <w:t>each</w:t>
      </w:r>
      <w:r w:rsidRPr="00893B80">
        <w:t xml:space="preserve"> lock shown in the panel caption.</w:t>
      </w:r>
      <w:bookmarkEnd w:id="244"/>
      <w:bookmarkEnd w:id="245"/>
    </w:p>
    <w:p w14:paraId="1398E112" w14:textId="77777777" w:rsidR="00EA35F8" w:rsidRPr="00651D6F" w:rsidRDefault="00EA35F8" w:rsidP="00EA35F8">
      <w:pPr>
        <w:rPr>
          <w:i/>
          <w:iCs/>
          <w:u w:val="single"/>
        </w:rPr>
      </w:pPr>
      <w:r w:rsidRPr="00651D6F">
        <w:rPr>
          <w:i/>
          <w:iCs/>
          <w:u w:val="single"/>
        </w:rPr>
        <w:t>Modelled responses to environmental flows</w:t>
      </w:r>
    </w:p>
    <w:p w14:paraId="184C6749" w14:textId="35C36A88" w:rsidR="009E2AA1" w:rsidRPr="009E2AA1" w:rsidRDefault="009E2AA1" w:rsidP="009E2AA1">
      <w:pPr>
        <w:rPr>
          <w:i/>
          <w:iCs/>
          <w:color w:val="2F5496" w:themeColor="accent5" w:themeShade="BF"/>
          <w:sz w:val="18"/>
          <w:szCs w:val="16"/>
        </w:rPr>
      </w:pPr>
      <w:r w:rsidRPr="009E2AA1">
        <w:rPr>
          <w:i/>
          <w:iCs/>
          <w:color w:val="2F5496" w:themeColor="accent5" w:themeShade="BF"/>
          <w:sz w:val="18"/>
          <w:szCs w:val="16"/>
        </w:rPr>
        <w:t>H1: Density and taxonomic richness</w:t>
      </w:r>
    </w:p>
    <w:p w14:paraId="58960622" w14:textId="27181B1B" w:rsidR="00EA35F8" w:rsidRDefault="00EA35F8" w:rsidP="00EA35F8">
      <w:r>
        <w:t xml:space="preserve">The modelling for 2019-20 estimated 28% of observed </w:t>
      </w:r>
      <w:proofErr w:type="spellStart"/>
      <w:r>
        <w:t>microinvertebrate</w:t>
      </w:r>
      <w:proofErr w:type="spellEnd"/>
      <w:r>
        <w:t xml:space="preserve"> density was due to environmental water delivery </w:t>
      </w:r>
      <w:r w:rsidRPr="007B2530">
        <w:t>(mean difference</w:t>
      </w:r>
      <w:r>
        <w:t xml:space="preserve"> between observed and no environmental water scenarios</w:t>
      </w:r>
      <w:r w:rsidRPr="007B2530">
        <w:t xml:space="preserve"> </w:t>
      </w:r>
      <w:proofErr w:type="gramStart"/>
      <w:r w:rsidRPr="007B2530">
        <w:t>±[</w:t>
      </w:r>
      <w:proofErr w:type="gramEnd"/>
      <w:r w:rsidRPr="007B2530">
        <w:t xml:space="preserve"> 95% CI] = </w:t>
      </w:r>
      <w:r w:rsidRPr="0075562F">
        <w:t>342.2 [127.</w:t>
      </w:r>
      <w:r>
        <w:t>2</w:t>
      </w:r>
      <w:r w:rsidRPr="0075562F">
        <w:t>, 557.</w:t>
      </w:r>
      <w:r>
        <w:t>3</w:t>
      </w:r>
      <w:r w:rsidRPr="0075562F">
        <w:t>]</w:t>
      </w:r>
      <w:r w:rsidRPr="007B2530">
        <w:t xml:space="preserve"> </w:t>
      </w:r>
      <w:proofErr w:type="spellStart"/>
      <w:r>
        <w:t>ind</w:t>
      </w:r>
      <w:proofErr w:type="spellEnd"/>
      <w:r>
        <w:t xml:space="preserve">/L; </w:t>
      </w:r>
      <w:r w:rsidRPr="00C45F45">
        <w:rPr>
          <w:i/>
          <w:iCs/>
        </w:rPr>
        <w:t>t</w:t>
      </w:r>
      <w:r w:rsidRPr="007B2530">
        <w:t xml:space="preserve"> = </w:t>
      </w:r>
      <w:r>
        <w:t>3</w:t>
      </w:r>
      <w:r w:rsidRPr="007B2530">
        <w:t>.</w:t>
      </w:r>
      <w:r>
        <w:t>32</w:t>
      </w:r>
      <w:r w:rsidRPr="007B2530">
        <w:t xml:space="preserve">, </w:t>
      </w:r>
      <w:r w:rsidRPr="00C45F45">
        <w:t>df</w:t>
      </w:r>
      <w:r w:rsidRPr="007B2530">
        <w:t xml:space="preserve"> = 20, </w:t>
      </w:r>
      <w:r w:rsidRPr="007B2530">
        <w:rPr>
          <w:i/>
          <w:iCs/>
        </w:rPr>
        <w:t>p</w:t>
      </w:r>
      <w:r w:rsidRPr="007B2530">
        <w:t>-value = 0.</w:t>
      </w:r>
      <w:r>
        <w:t>003)</w:t>
      </w:r>
      <w:r w:rsidR="00C45CFE">
        <w:t xml:space="preserve"> (</w:t>
      </w:r>
      <w:r w:rsidR="00C45CFE">
        <w:fldChar w:fldCharType="begin"/>
      </w:r>
      <w:r w:rsidR="00C45CFE">
        <w:instrText xml:space="preserve"> REF _Ref63781993 \h </w:instrText>
      </w:r>
      <w:r w:rsidR="00C45CFE">
        <w:fldChar w:fldCharType="separate"/>
      </w:r>
      <w:r w:rsidR="006045CA">
        <w:t xml:space="preserve">Figure </w:t>
      </w:r>
      <w:r w:rsidR="006045CA">
        <w:rPr>
          <w:noProof/>
        </w:rPr>
        <w:t>44</w:t>
      </w:r>
      <w:r w:rsidR="00C45CFE">
        <w:fldChar w:fldCharType="end"/>
      </w:r>
      <w:r w:rsidR="00C45CFE">
        <w:t>a)</w:t>
      </w:r>
      <w:r>
        <w:t>. Commonwealth environmental water was estimated to have accounted for 83% of this (</w:t>
      </w:r>
      <w:r w:rsidRPr="007B2530">
        <w:t>mean difference ±</w:t>
      </w:r>
      <w:r>
        <w:t xml:space="preserve"> </w:t>
      </w:r>
      <w:r w:rsidRPr="007B2530">
        <w:t>[ 95% CI] between</w:t>
      </w:r>
      <w:r>
        <w:t xml:space="preserve"> observed and no Commonwealth environmental water </w:t>
      </w:r>
      <w:r w:rsidRPr="007B2530">
        <w:t>scenario</w:t>
      </w:r>
      <w:r>
        <w:t xml:space="preserve">s = </w:t>
      </w:r>
      <w:r w:rsidRPr="00A3449A">
        <w:t xml:space="preserve">284.7 </w:t>
      </w:r>
      <w:r w:rsidRPr="007B2530">
        <w:t>[</w:t>
      </w:r>
      <w:r w:rsidRPr="00A3449A">
        <w:t>80.6</w:t>
      </w:r>
      <w:r w:rsidRPr="007B2530">
        <w:t xml:space="preserve">, </w:t>
      </w:r>
      <w:r w:rsidRPr="00A3449A">
        <w:t>488.</w:t>
      </w:r>
      <w:r>
        <w:t>8</w:t>
      </w:r>
      <w:r w:rsidRPr="007B2530">
        <w:t>]</w:t>
      </w:r>
      <w:r>
        <w:t xml:space="preserve"> </w:t>
      </w:r>
      <w:proofErr w:type="spellStart"/>
      <w:r>
        <w:t>ind</w:t>
      </w:r>
      <w:proofErr w:type="spellEnd"/>
      <w:r>
        <w:t xml:space="preserve">/L; </w:t>
      </w:r>
      <w:r w:rsidRPr="00337BAB">
        <w:rPr>
          <w:i/>
          <w:iCs/>
        </w:rPr>
        <w:t>t</w:t>
      </w:r>
      <w:r w:rsidRPr="007B2530">
        <w:t xml:space="preserve"> = 2.</w:t>
      </w:r>
      <w:r>
        <w:t>91</w:t>
      </w:r>
      <w:r w:rsidRPr="007B2530">
        <w:t xml:space="preserve">, df = 20, </w:t>
      </w:r>
      <w:r w:rsidRPr="00337BAB">
        <w:rPr>
          <w:i/>
          <w:iCs/>
        </w:rPr>
        <w:t>p</w:t>
      </w:r>
      <w:r w:rsidRPr="007B2530">
        <w:t xml:space="preserve"> = 0.0</w:t>
      </w:r>
      <w:r>
        <w:t>08).</w:t>
      </w:r>
    </w:p>
    <w:p w14:paraId="0E762C7B" w14:textId="7B792F8D" w:rsidR="00EA35F8" w:rsidRDefault="00EA35F8" w:rsidP="00EA35F8">
      <w:r>
        <w:t xml:space="preserve">Around 11% of taxonomic richness for 2019-20 was predicted to have been due to environmental water (mean difference = 4.1 [1.3, 6.9]; </w:t>
      </w:r>
      <w:r w:rsidRPr="00337BAB">
        <w:rPr>
          <w:i/>
          <w:iCs/>
        </w:rPr>
        <w:t>t</w:t>
      </w:r>
      <w:r w:rsidRPr="00337BAB">
        <w:t xml:space="preserve"> = </w:t>
      </w:r>
      <w:r>
        <w:t>3</w:t>
      </w:r>
      <w:r w:rsidRPr="00337BAB">
        <w:t>.</w:t>
      </w:r>
      <w:r>
        <w:t>09</w:t>
      </w:r>
      <w:r w:rsidRPr="00337BAB">
        <w:t xml:space="preserve">, df = 20, </w:t>
      </w:r>
      <w:r w:rsidRPr="00C45F45">
        <w:rPr>
          <w:i/>
          <w:iCs/>
        </w:rPr>
        <w:t>p</w:t>
      </w:r>
      <w:r w:rsidRPr="00337BAB">
        <w:t xml:space="preserve"> = 0.</w:t>
      </w:r>
      <w:r>
        <w:t xml:space="preserve">006), with Commonwealth environmental water estimated to have contributed around 68% of this (mean difference = 2.8 [0.1, 5.6]; </w:t>
      </w:r>
      <w:r w:rsidRPr="00C45F45">
        <w:rPr>
          <w:i/>
          <w:iCs/>
        </w:rPr>
        <w:t>t</w:t>
      </w:r>
      <w:r w:rsidRPr="00337BAB">
        <w:t xml:space="preserve"> = </w:t>
      </w:r>
      <w:r>
        <w:t>2.09</w:t>
      </w:r>
      <w:r w:rsidRPr="00337BAB">
        <w:t xml:space="preserve">, </w:t>
      </w:r>
      <w:r w:rsidRPr="00C45F45">
        <w:t>df</w:t>
      </w:r>
      <w:r w:rsidRPr="00337BAB">
        <w:t xml:space="preserve"> = 20, </w:t>
      </w:r>
      <w:r w:rsidRPr="00C45F45">
        <w:rPr>
          <w:i/>
          <w:iCs/>
        </w:rPr>
        <w:t>p</w:t>
      </w:r>
      <w:r w:rsidRPr="00337BAB">
        <w:t xml:space="preserve"> </w:t>
      </w:r>
      <w:r>
        <w:t>= 0.04)</w:t>
      </w:r>
      <w:r w:rsidR="00C45CFE">
        <w:t xml:space="preserve"> (</w:t>
      </w:r>
      <w:r w:rsidR="00C45CFE">
        <w:fldChar w:fldCharType="begin"/>
      </w:r>
      <w:r w:rsidR="00C45CFE">
        <w:instrText xml:space="preserve"> REF _Ref63781993 \h </w:instrText>
      </w:r>
      <w:r w:rsidR="00C45CFE">
        <w:fldChar w:fldCharType="separate"/>
      </w:r>
      <w:r w:rsidR="006045CA">
        <w:t xml:space="preserve">Figure </w:t>
      </w:r>
      <w:r w:rsidR="006045CA">
        <w:rPr>
          <w:noProof/>
        </w:rPr>
        <w:t>44</w:t>
      </w:r>
      <w:r w:rsidR="00C45CFE">
        <w:fldChar w:fldCharType="end"/>
      </w:r>
      <w:r w:rsidR="00C45CFE">
        <w:t>b)</w:t>
      </w:r>
      <w:r>
        <w:t>.</w:t>
      </w:r>
    </w:p>
    <w:p w14:paraId="66953443" w14:textId="77777777" w:rsidR="00EA35F8" w:rsidRDefault="00EA35F8" w:rsidP="00EA35F8">
      <w:pPr>
        <w:keepNext/>
        <w:spacing w:before="0" w:after="160" w:line="259" w:lineRule="auto"/>
        <w:jc w:val="left"/>
      </w:pPr>
      <w:r>
        <w:rPr>
          <w:noProof/>
        </w:rPr>
        <w:drawing>
          <wp:inline distT="0" distB="0" distL="0" distR="0" wp14:anchorId="7B3A7050" wp14:editId="0BF3ADCB">
            <wp:extent cx="5731510" cy="5491480"/>
            <wp:effectExtent l="0" t="0" r="2540" b="0"/>
            <wp:docPr id="52" name="Picture 52"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Chart, box and whisker chart&#10;&#10;Description automatically generated"/>
                    <pic:cNvPicPr/>
                  </pic:nvPicPr>
                  <pic:blipFill>
                    <a:blip r:embed="rId95" cstate="email">
                      <a:extLst>
                        <a:ext uri="{28A0092B-C50C-407E-A947-70E740481C1C}">
                          <a14:useLocalDpi xmlns:a14="http://schemas.microsoft.com/office/drawing/2010/main"/>
                        </a:ext>
                      </a:extLst>
                    </a:blip>
                    <a:stretch>
                      <a:fillRect/>
                    </a:stretch>
                  </pic:blipFill>
                  <pic:spPr>
                    <a:xfrm>
                      <a:off x="0" y="0"/>
                      <a:ext cx="5731510" cy="5491480"/>
                    </a:xfrm>
                    <a:prstGeom prst="rect">
                      <a:avLst/>
                    </a:prstGeom>
                  </pic:spPr>
                </pic:pic>
              </a:graphicData>
            </a:graphic>
          </wp:inline>
        </w:drawing>
      </w:r>
    </w:p>
    <w:p w14:paraId="0502D66B" w14:textId="5E23E324" w:rsidR="00EA35F8" w:rsidRDefault="00EA35F8" w:rsidP="00F8184E">
      <w:pPr>
        <w:pStyle w:val="Captions"/>
      </w:pPr>
      <w:bookmarkStart w:id="246" w:name="_Ref63781993"/>
      <w:bookmarkStart w:id="247" w:name="_Toc69387708"/>
      <w:r>
        <w:t xml:space="preserve">Figure </w:t>
      </w:r>
      <w:r>
        <w:fldChar w:fldCharType="begin"/>
      </w:r>
      <w:r>
        <w:instrText xml:space="preserve"> SEQ Figure \* ARABIC </w:instrText>
      </w:r>
      <w:r>
        <w:fldChar w:fldCharType="separate"/>
      </w:r>
      <w:r w:rsidR="00996426">
        <w:rPr>
          <w:noProof/>
        </w:rPr>
        <w:t>44</w:t>
      </w:r>
      <w:r>
        <w:rPr>
          <w:noProof/>
        </w:rPr>
        <w:fldChar w:fldCharType="end"/>
      </w:r>
      <w:bookmarkEnd w:id="246"/>
      <w:r>
        <w:rPr>
          <w:noProof/>
        </w:rPr>
        <w:t>.</w:t>
      </w:r>
      <w:r>
        <w:t xml:space="preserve"> Observed and modelled (a) </w:t>
      </w:r>
      <w:proofErr w:type="spellStart"/>
      <w:r>
        <w:t>microinvertebrate</w:t>
      </w:r>
      <w:proofErr w:type="spellEnd"/>
      <w:r>
        <w:t xml:space="preserve"> density</w:t>
      </w:r>
      <w:r w:rsidRPr="00A60682">
        <w:t xml:space="preserve"> </w:t>
      </w:r>
      <w:r>
        <w:t>(individuals/</w:t>
      </w:r>
      <w:proofErr w:type="spellStart"/>
      <w:r>
        <w:t>litre</w:t>
      </w:r>
      <w:proofErr w:type="spellEnd"/>
      <w:r>
        <w:t xml:space="preserve">, </w:t>
      </w:r>
      <w:proofErr w:type="spellStart"/>
      <w:r>
        <w:t>ind</w:t>
      </w:r>
      <w:proofErr w:type="spellEnd"/>
      <w:r>
        <w:t xml:space="preserve">/L) and (b) taxonomic richness (number of taxa) by water year over the period 2014−2020 (2018-19 not sampled). In each panel, observed data (‘Observed’; blue bars) for all samples in the water year shown on the </w:t>
      </w:r>
      <w:r w:rsidRPr="003F5F11">
        <w:rPr>
          <w:i/>
          <w:iCs/>
        </w:rPr>
        <w:t>x</w:t>
      </w:r>
      <w:r>
        <w:t xml:space="preserve">-axis are compared with modelled expectations under two environmental flow scenarios: Under no Commonwealth environmental water delivery (‘No CEW’; orange bars) and if no environmental water were provided at all (‘No eWater’; grey bars). Results of the </w:t>
      </w:r>
      <w:proofErr w:type="spellStart"/>
      <w:r>
        <w:t>generalised</w:t>
      </w:r>
      <w:proofErr w:type="spellEnd"/>
      <w:r>
        <w:t xml:space="preserve"> linear models used to run the scenarios are given in Tables D</w:t>
      </w:r>
      <w:r w:rsidR="00065DAD">
        <w:t>4</w:t>
      </w:r>
      <w:r>
        <w:t xml:space="preserve"> (density) and D</w:t>
      </w:r>
      <w:r w:rsidR="00065DAD">
        <w:t>5</w:t>
      </w:r>
      <w:r>
        <w:t xml:space="preserve"> (taxonomic richness) in Appendix D.</w:t>
      </w:r>
      <w:bookmarkEnd w:id="247"/>
    </w:p>
    <w:p w14:paraId="6830C04D" w14:textId="4E2D5355" w:rsidR="009E2AA1" w:rsidRDefault="009E2AA1" w:rsidP="009E2AA1">
      <w:r w:rsidRPr="009E2AA1">
        <w:rPr>
          <w:i/>
          <w:iCs/>
          <w:color w:val="2F5496" w:themeColor="accent5" w:themeShade="BF"/>
          <w:sz w:val="18"/>
          <w:szCs w:val="16"/>
        </w:rPr>
        <w:t>H</w:t>
      </w:r>
      <w:r>
        <w:rPr>
          <w:i/>
          <w:iCs/>
          <w:color w:val="2F5496" w:themeColor="accent5" w:themeShade="BF"/>
          <w:sz w:val="18"/>
          <w:szCs w:val="16"/>
        </w:rPr>
        <w:t>2</w:t>
      </w:r>
      <w:r w:rsidRPr="009E2AA1">
        <w:rPr>
          <w:i/>
          <w:iCs/>
          <w:color w:val="2F5496" w:themeColor="accent5" w:themeShade="BF"/>
          <w:sz w:val="18"/>
          <w:szCs w:val="16"/>
        </w:rPr>
        <w:t xml:space="preserve">: </w:t>
      </w:r>
      <w:r>
        <w:rPr>
          <w:i/>
          <w:iCs/>
          <w:color w:val="2F5496" w:themeColor="accent5" w:themeShade="BF"/>
          <w:sz w:val="18"/>
          <w:szCs w:val="16"/>
        </w:rPr>
        <w:t>Lateral and longitudinal connectivity</w:t>
      </w:r>
    </w:p>
    <w:p w14:paraId="6B624637" w14:textId="4EB940E6" w:rsidR="00EA35F8" w:rsidRDefault="00EA35F8" w:rsidP="00EA35F8">
      <w:r>
        <w:t xml:space="preserve">In 2019-20, modelling </w:t>
      </w:r>
      <w:r w:rsidR="00074180">
        <w:t>indicated</w:t>
      </w:r>
      <w:r>
        <w:t xml:space="preserve"> that the density of floodplain dependent taxa increased 43% due to environmental water delivery, leading to increased lateral connectivity (mean difference = 18.1 [8.2, 28.0] </w:t>
      </w:r>
      <w:proofErr w:type="spellStart"/>
      <w:r>
        <w:t>ind</w:t>
      </w:r>
      <w:proofErr w:type="spellEnd"/>
      <w:r>
        <w:t>/L;</w:t>
      </w:r>
      <w:r w:rsidRPr="00337BAB">
        <w:rPr>
          <w:i/>
          <w:iCs/>
        </w:rPr>
        <w:t xml:space="preserve"> t</w:t>
      </w:r>
      <w:r w:rsidRPr="00337BAB">
        <w:t xml:space="preserve"> = </w:t>
      </w:r>
      <w:r>
        <w:t>3</w:t>
      </w:r>
      <w:r w:rsidRPr="00337BAB">
        <w:t>.</w:t>
      </w:r>
      <w:r>
        <w:t>81</w:t>
      </w:r>
      <w:r w:rsidRPr="00337BAB">
        <w:t xml:space="preserve">, df = 20, </w:t>
      </w:r>
      <w:r w:rsidRPr="005F3EEE">
        <w:rPr>
          <w:i/>
          <w:iCs/>
        </w:rPr>
        <w:t>p</w:t>
      </w:r>
      <w:r w:rsidRPr="00337BAB">
        <w:t xml:space="preserve"> = 0.</w:t>
      </w:r>
      <w:r>
        <w:t>001)</w:t>
      </w:r>
      <w:r w:rsidR="00C45CFE">
        <w:t xml:space="preserve"> (</w:t>
      </w:r>
      <w:r w:rsidR="00C45CFE">
        <w:fldChar w:fldCharType="begin"/>
      </w:r>
      <w:r w:rsidR="00C45CFE">
        <w:instrText xml:space="preserve"> REF _Ref63782328 \h </w:instrText>
      </w:r>
      <w:r w:rsidR="00C45CFE">
        <w:fldChar w:fldCharType="separate"/>
      </w:r>
      <w:r w:rsidR="006045CA">
        <w:t xml:space="preserve">Figure </w:t>
      </w:r>
      <w:r w:rsidR="006045CA">
        <w:rPr>
          <w:noProof/>
        </w:rPr>
        <w:t>45</w:t>
      </w:r>
      <w:r w:rsidR="00C45CFE">
        <w:fldChar w:fldCharType="end"/>
      </w:r>
      <w:r w:rsidR="00C45CFE">
        <w:t>a)</w:t>
      </w:r>
      <w:r>
        <w:t>. Commonwealth environmental water was predicted to have contributed 72% of this increase (mean difference = 13</w:t>
      </w:r>
      <w:r w:rsidRPr="00337BAB">
        <w:t>.</w:t>
      </w:r>
      <w:r>
        <w:t>0, [3</w:t>
      </w:r>
      <w:r w:rsidRPr="00337BAB">
        <w:t>.</w:t>
      </w:r>
      <w:r>
        <w:t>7, 6</w:t>
      </w:r>
      <w:r w:rsidRPr="00337BAB">
        <w:t>.</w:t>
      </w:r>
      <w:r>
        <w:t xml:space="preserve">5] </w:t>
      </w:r>
      <w:proofErr w:type="spellStart"/>
      <w:r>
        <w:t>ind</w:t>
      </w:r>
      <w:proofErr w:type="spellEnd"/>
      <w:r>
        <w:t xml:space="preserve">/L; </w:t>
      </w:r>
      <w:r w:rsidRPr="005F3EEE">
        <w:rPr>
          <w:i/>
          <w:iCs/>
        </w:rPr>
        <w:t>t</w:t>
      </w:r>
      <w:r w:rsidRPr="00337BAB">
        <w:t xml:space="preserve"> = 5.</w:t>
      </w:r>
      <w:r>
        <w:t>07</w:t>
      </w:r>
      <w:r w:rsidRPr="00337BAB">
        <w:t xml:space="preserve">, </w:t>
      </w:r>
      <w:r w:rsidRPr="005F3EEE">
        <w:t>df</w:t>
      </w:r>
      <w:r w:rsidRPr="00337BAB">
        <w:t xml:space="preserve"> = 20, </w:t>
      </w:r>
      <w:r w:rsidRPr="005F3EEE">
        <w:rPr>
          <w:i/>
          <w:iCs/>
        </w:rPr>
        <w:t>p</w:t>
      </w:r>
      <w:r w:rsidRPr="00337BAB">
        <w:t xml:space="preserve"> </w:t>
      </w:r>
      <w:r>
        <w:t>&lt; 0.001).</w:t>
      </w:r>
    </w:p>
    <w:p w14:paraId="342C9B06" w14:textId="07AC5894" w:rsidR="00EA35F8" w:rsidRDefault="00EA35F8" w:rsidP="00EA35F8">
      <w:r>
        <w:t xml:space="preserve">Similarly, in 2019-20, modelling </w:t>
      </w:r>
      <w:r w:rsidR="00074180">
        <w:t>indicated</w:t>
      </w:r>
      <w:r>
        <w:t xml:space="preserve"> that the density of taxa common to upstream areas increased 32% due to environmental water delivery, improving longitudinal connectivity </w:t>
      </w:r>
      <w:r w:rsidRPr="008E1397">
        <w:t>(mean difference = 2</w:t>
      </w:r>
      <w:r>
        <w:t>19</w:t>
      </w:r>
      <w:r w:rsidRPr="008E1397">
        <w:t>.</w:t>
      </w:r>
      <w:r>
        <w:t>9</w:t>
      </w:r>
      <w:r w:rsidRPr="008E1397">
        <w:t>[</w:t>
      </w:r>
      <w:r>
        <w:t>127.8</w:t>
      </w:r>
      <w:r w:rsidRPr="008E1397">
        <w:t xml:space="preserve">, </w:t>
      </w:r>
      <w:r>
        <w:t>312.0</w:t>
      </w:r>
      <w:r w:rsidRPr="008E1397">
        <w:t>]</w:t>
      </w:r>
      <w:r>
        <w:t xml:space="preserve"> </w:t>
      </w:r>
      <w:proofErr w:type="spellStart"/>
      <w:r>
        <w:t>ind</w:t>
      </w:r>
      <w:proofErr w:type="spellEnd"/>
      <w:r>
        <w:t>/L;</w:t>
      </w:r>
      <w:r w:rsidRPr="008E1397">
        <w:t xml:space="preserve"> </w:t>
      </w:r>
      <w:r w:rsidRPr="00D620CA">
        <w:rPr>
          <w:i/>
          <w:iCs/>
        </w:rPr>
        <w:t>t</w:t>
      </w:r>
      <w:r w:rsidRPr="008E1397">
        <w:t xml:space="preserve"> = </w:t>
      </w:r>
      <w:r>
        <w:t>4.98</w:t>
      </w:r>
      <w:r w:rsidRPr="008E1397">
        <w:t xml:space="preserve">, df = 20, p </w:t>
      </w:r>
      <w:r>
        <w:t>&lt; 0.001</w:t>
      </w:r>
      <w:r w:rsidRPr="008E1397">
        <w:t>)</w:t>
      </w:r>
      <w:r w:rsidR="00C45CFE">
        <w:t xml:space="preserve"> (</w:t>
      </w:r>
      <w:r w:rsidR="00C45CFE">
        <w:fldChar w:fldCharType="begin"/>
      </w:r>
      <w:r w:rsidR="00C45CFE">
        <w:instrText xml:space="preserve"> REF _Ref63782328 \h </w:instrText>
      </w:r>
      <w:r w:rsidR="00C45CFE">
        <w:fldChar w:fldCharType="separate"/>
      </w:r>
      <w:r w:rsidR="006045CA">
        <w:t xml:space="preserve">Figure </w:t>
      </w:r>
      <w:r w:rsidR="006045CA">
        <w:rPr>
          <w:noProof/>
        </w:rPr>
        <w:t>45</w:t>
      </w:r>
      <w:r w:rsidR="00C45CFE">
        <w:fldChar w:fldCharType="end"/>
      </w:r>
      <w:r w:rsidR="00C45CFE">
        <w:t>b)</w:t>
      </w:r>
      <w:r>
        <w:t>. Commonwealth environmental water was estimated to account for 83% of this (mean difference = 181</w:t>
      </w:r>
      <w:r w:rsidRPr="00337BAB">
        <w:t>.</w:t>
      </w:r>
      <w:r>
        <w:t xml:space="preserve">7 [102.5, 260.9] </w:t>
      </w:r>
      <w:proofErr w:type="spellStart"/>
      <w:r>
        <w:t>ind</w:t>
      </w:r>
      <w:proofErr w:type="spellEnd"/>
      <w:r>
        <w:t xml:space="preserve">/L; </w:t>
      </w:r>
      <w:r w:rsidRPr="00337BAB">
        <w:t xml:space="preserve">t = </w:t>
      </w:r>
      <w:r>
        <w:t>4</w:t>
      </w:r>
      <w:r w:rsidRPr="00337BAB">
        <w:t>.</w:t>
      </w:r>
      <w:r>
        <w:t>78</w:t>
      </w:r>
      <w:r w:rsidRPr="00337BAB">
        <w:t xml:space="preserve">, </w:t>
      </w:r>
      <w:r w:rsidRPr="003F5F11">
        <w:rPr>
          <w:i/>
          <w:iCs/>
        </w:rPr>
        <w:t>df</w:t>
      </w:r>
      <w:r w:rsidRPr="00337BAB">
        <w:t xml:space="preserve"> = 20, p </w:t>
      </w:r>
      <w:r>
        <w:t>&lt; 0.001).</w:t>
      </w:r>
    </w:p>
    <w:p w14:paraId="2E441683" w14:textId="77777777" w:rsidR="00EA35F8" w:rsidRDefault="00EA35F8" w:rsidP="00EA35F8">
      <w:pPr>
        <w:keepNext/>
      </w:pPr>
      <w:r>
        <w:rPr>
          <w:noProof/>
        </w:rPr>
        <w:drawing>
          <wp:inline distT="0" distB="0" distL="0" distR="0" wp14:anchorId="1E5EFA9F" wp14:editId="3CC1703E">
            <wp:extent cx="5731510" cy="5490210"/>
            <wp:effectExtent l="0" t="0" r="2540" b="0"/>
            <wp:docPr id="58" name="Picture 58"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Chart, box and whisker chart&#10;&#10;Description automatically generated"/>
                    <pic:cNvPicPr/>
                  </pic:nvPicPr>
                  <pic:blipFill>
                    <a:blip r:embed="rId96" cstate="email">
                      <a:extLst>
                        <a:ext uri="{28A0092B-C50C-407E-A947-70E740481C1C}">
                          <a14:useLocalDpi xmlns:a14="http://schemas.microsoft.com/office/drawing/2010/main"/>
                        </a:ext>
                      </a:extLst>
                    </a:blip>
                    <a:stretch>
                      <a:fillRect/>
                    </a:stretch>
                  </pic:blipFill>
                  <pic:spPr>
                    <a:xfrm>
                      <a:off x="0" y="0"/>
                      <a:ext cx="5731510" cy="5490210"/>
                    </a:xfrm>
                    <a:prstGeom prst="rect">
                      <a:avLst/>
                    </a:prstGeom>
                  </pic:spPr>
                </pic:pic>
              </a:graphicData>
            </a:graphic>
          </wp:inline>
        </w:drawing>
      </w:r>
    </w:p>
    <w:p w14:paraId="0520778F" w14:textId="4B4749F3" w:rsidR="00EA35F8" w:rsidRDefault="00EA35F8" w:rsidP="00F8184E">
      <w:pPr>
        <w:pStyle w:val="Captions"/>
      </w:pPr>
      <w:bookmarkStart w:id="248" w:name="_Ref63782328"/>
      <w:bookmarkStart w:id="249" w:name="_Toc69387709"/>
      <w:r>
        <w:t xml:space="preserve">Figure </w:t>
      </w:r>
      <w:r>
        <w:fldChar w:fldCharType="begin"/>
      </w:r>
      <w:r>
        <w:instrText xml:space="preserve"> SEQ Figure \* ARABIC </w:instrText>
      </w:r>
      <w:r>
        <w:fldChar w:fldCharType="separate"/>
      </w:r>
      <w:r w:rsidR="00996426">
        <w:rPr>
          <w:noProof/>
        </w:rPr>
        <w:t>45</w:t>
      </w:r>
      <w:r>
        <w:rPr>
          <w:noProof/>
        </w:rPr>
        <w:fldChar w:fldCharType="end"/>
      </w:r>
      <w:bookmarkEnd w:id="248"/>
      <w:r>
        <w:rPr>
          <w:noProof/>
        </w:rPr>
        <w:t>.</w:t>
      </w:r>
      <w:r>
        <w:t xml:space="preserve"> Observed and modelled density (individuals per </w:t>
      </w:r>
      <w:proofErr w:type="spellStart"/>
      <w:r>
        <w:t>litre</w:t>
      </w:r>
      <w:proofErr w:type="spellEnd"/>
      <w:r>
        <w:t xml:space="preserve">, </w:t>
      </w:r>
      <w:proofErr w:type="spellStart"/>
      <w:r>
        <w:t>ind</w:t>
      </w:r>
      <w:proofErr w:type="spellEnd"/>
      <w:r>
        <w:t xml:space="preserve">/L) with and without environmental water (a) </w:t>
      </w:r>
      <w:proofErr w:type="spellStart"/>
      <w:r>
        <w:t>microinvertebrate</w:t>
      </w:r>
      <w:proofErr w:type="spellEnd"/>
      <w:r>
        <w:t xml:space="preserve"> taxa dependent on lateral connectivity to floodplains and backwaters and (b) </w:t>
      </w:r>
      <w:proofErr w:type="spellStart"/>
      <w:r>
        <w:t>microinvertebrate</w:t>
      </w:r>
      <w:proofErr w:type="spellEnd"/>
      <w:r>
        <w:t xml:space="preserve"> taxa dependent on longitudinal transport and connectivity with upstream areas by water year over the period 2014−2020 (2018-19 not sampled). In each panel, observed data (‘Observed’; blue bars) for all samples in the water year shown on the </w:t>
      </w:r>
      <w:r w:rsidRPr="00D741C7">
        <w:t>x</w:t>
      </w:r>
      <w:r>
        <w:t xml:space="preserve">-axis are compared with modelled expectations under two environmental flow scenarios: Under no Commonwealth environmental water delivery (‘No CEW; orange bars) and if no environmental water were provided at all (‘No eWater’; grey bars). Results of the </w:t>
      </w:r>
      <w:proofErr w:type="spellStart"/>
      <w:r>
        <w:t>generalised</w:t>
      </w:r>
      <w:proofErr w:type="spellEnd"/>
      <w:r>
        <w:t xml:space="preserve"> linear models used to run the scenarios are given in Tables D</w:t>
      </w:r>
      <w:r w:rsidR="00065DAD">
        <w:t>4</w:t>
      </w:r>
      <w:r>
        <w:t xml:space="preserve"> (density) and D</w:t>
      </w:r>
      <w:r w:rsidR="00065DAD">
        <w:t>5</w:t>
      </w:r>
      <w:r>
        <w:t xml:space="preserve"> (taxonomic richness) in Appendix D.</w:t>
      </w:r>
      <w:bookmarkEnd w:id="249"/>
    </w:p>
    <w:p w14:paraId="297C6F75" w14:textId="11490577" w:rsidR="009E2AA1" w:rsidRPr="009E2AA1" w:rsidRDefault="009E2AA1" w:rsidP="009E2AA1">
      <w:pPr>
        <w:rPr>
          <w:i/>
          <w:iCs/>
          <w:color w:val="2F5496" w:themeColor="accent5" w:themeShade="BF"/>
          <w:sz w:val="18"/>
          <w:szCs w:val="16"/>
        </w:rPr>
      </w:pPr>
      <w:r w:rsidRPr="009E2AA1">
        <w:rPr>
          <w:i/>
          <w:iCs/>
          <w:color w:val="2F5496" w:themeColor="accent5" w:themeShade="BF"/>
          <w:sz w:val="18"/>
          <w:szCs w:val="16"/>
        </w:rPr>
        <w:t>H</w:t>
      </w:r>
      <w:r>
        <w:rPr>
          <w:i/>
          <w:iCs/>
          <w:color w:val="2F5496" w:themeColor="accent5" w:themeShade="BF"/>
          <w:sz w:val="18"/>
          <w:szCs w:val="16"/>
        </w:rPr>
        <w:t>3</w:t>
      </w:r>
      <w:r w:rsidRPr="009E2AA1">
        <w:rPr>
          <w:i/>
          <w:iCs/>
          <w:color w:val="2F5496" w:themeColor="accent5" w:themeShade="BF"/>
          <w:sz w:val="18"/>
          <w:szCs w:val="16"/>
        </w:rPr>
        <w:t xml:space="preserve">: </w:t>
      </w:r>
      <w:r>
        <w:rPr>
          <w:i/>
          <w:iCs/>
          <w:color w:val="2F5496" w:themeColor="accent5" w:themeShade="BF"/>
          <w:sz w:val="18"/>
          <w:szCs w:val="16"/>
        </w:rPr>
        <w:t xml:space="preserve">Spring </w:t>
      </w:r>
      <w:proofErr w:type="spellStart"/>
      <w:r>
        <w:rPr>
          <w:i/>
          <w:iCs/>
          <w:color w:val="2F5496" w:themeColor="accent5" w:themeShade="BF"/>
          <w:sz w:val="18"/>
          <w:szCs w:val="16"/>
        </w:rPr>
        <w:t>microinvertebrate</w:t>
      </w:r>
      <w:proofErr w:type="spellEnd"/>
      <w:r>
        <w:rPr>
          <w:i/>
          <w:iCs/>
          <w:color w:val="2F5496" w:themeColor="accent5" w:themeShade="BF"/>
          <w:sz w:val="18"/>
          <w:szCs w:val="16"/>
        </w:rPr>
        <w:t xml:space="preserve"> prey species density</w:t>
      </w:r>
    </w:p>
    <w:p w14:paraId="502BC2F9" w14:textId="349272A3" w:rsidR="00EA35F8" w:rsidRDefault="00EA35F8" w:rsidP="00EA35F8">
      <w:r>
        <w:t xml:space="preserve">Although 2019-20 spring prey species density (defined as all individuals of the taxa </w:t>
      </w:r>
      <w:r w:rsidR="006045CA">
        <w:t xml:space="preserve">in </w:t>
      </w:r>
      <w:r w:rsidR="006045CA">
        <w:fldChar w:fldCharType="begin"/>
      </w:r>
      <w:r w:rsidR="006045CA">
        <w:instrText xml:space="preserve"> REF _Ref69310760 \h </w:instrText>
      </w:r>
      <w:r w:rsidR="006045CA">
        <w:fldChar w:fldCharType="separate"/>
      </w:r>
      <w:r w:rsidR="006045CA">
        <w:t xml:space="preserve">Table </w:t>
      </w:r>
      <w:r w:rsidR="006045CA">
        <w:rPr>
          <w:noProof/>
        </w:rPr>
        <w:t>17</w:t>
      </w:r>
      <w:r w:rsidR="006045CA">
        <w:fldChar w:fldCharType="end"/>
      </w:r>
      <w:r>
        <w:t xml:space="preserve"> in each sample) was the lowest recorded at 73.9 [48.3, 99.5] (mean ± [95% CI]), differences in density between years were not statistically significant (Kruskal Wallis </w:t>
      </w:r>
      <w:r w:rsidRPr="00275049">
        <w:rPr>
          <w:i/>
          <w:iCs/>
        </w:rPr>
        <w:t>Χ</w:t>
      </w:r>
      <w:r w:rsidRPr="00912CCE">
        <w:rPr>
          <w:vertAlign w:val="superscript"/>
        </w:rPr>
        <w:t>2</w:t>
      </w:r>
      <w:r>
        <w:t xml:space="preserve"> = 5.84, df = 4, </w:t>
      </w:r>
      <w:r w:rsidRPr="005F3EEE">
        <w:rPr>
          <w:i/>
          <w:iCs/>
        </w:rPr>
        <w:t>p</w:t>
      </w:r>
      <w:r>
        <w:t xml:space="preserve"> = 0.21), due to the high variability within sites in all sampling years.</w:t>
      </w:r>
    </w:p>
    <w:p w14:paraId="39E3B5AE" w14:textId="73055386" w:rsidR="00EA35F8" w:rsidRPr="00AE0D4B" w:rsidRDefault="00EA35F8" w:rsidP="00EA35F8">
      <w:r>
        <w:t>Modelled spring prey species density in the absence of any environmental water (</w:t>
      </w:r>
      <w:r w:rsidR="005C14B1">
        <w:fldChar w:fldCharType="begin"/>
      </w:r>
      <w:r w:rsidR="005C14B1">
        <w:instrText xml:space="preserve"> REF _Ref63781787 \h </w:instrText>
      </w:r>
      <w:r w:rsidR="005C14B1">
        <w:fldChar w:fldCharType="separate"/>
      </w:r>
      <w:r w:rsidR="006045CA">
        <w:t xml:space="preserve">Figure </w:t>
      </w:r>
      <w:r w:rsidR="006045CA">
        <w:rPr>
          <w:noProof/>
        </w:rPr>
        <w:t>46</w:t>
      </w:r>
      <w:r w:rsidR="005C14B1">
        <w:fldChar w:fldCharType="end"/>
      </w:r>
      <w:r>
        <w:t>) was 62% lower (</w:t>
      </w:r>
      <w:r w:rsidRPr="00EC3D26">
        <w:t xml:space="preserve">mean difference </w:t>
      </w:r>
      <w:proofErr w:type="gramStart"/>
      <w:r w:rsidRPr="00EC3D26">
        <w:t>±[</w:t>
      </w:r>
      <w:proofErr w:type="gramEnd"/>
      <w:r w:rsidRPr="00EC3D26">
        <w:t xml:space="preserve"> 95% CI] between observed and modelled</w:t>
      </w:r>
      <w:r>
        <w:t xml:space="preserve"> </w:t>
      </w:r>
      <w:r w:rsidRPr="00EC3D26">
        <w:t xml:space="preserve">no environmental water </w:t>
      </w:r>
      <w:r>
        <w:t>scenarios</w:t>
      </w:r>
      <w:r w:rsidRPr="00EC3D26">
        <w:t xml:space="preserve"> = </w:t>
      </w:r>
      <w:r>
        <w:t xml:space="preserve">40.3 </w:t>
      </w:r>
      <w:r w:rsidRPr="00EC3D26">
        <w:t>[</w:t>
      </w:r>
      <w:r>
        <w:t>17.5</w:t>
      </w:r>
      <w:r w:rsidRPr="00EC3D26">
        <w:t xml:space="preserve">, </w:t>
      </w:r>
      <w:r>
        <w:t>62.8</w:t>
      </w:r>
      <w:r w:rsidRPr="00EC3D26">
        <w:t>]</w:t>
      </w:r>
      <w:r>
        <w:t xml:space="preserve"> </w:t>
      </w:r>
      <w:proofErr w:type="spellStart"/>
      <w:r>
        <w:t>ind</w:t>
      </w:r>
      <w:proofErr w:type="spellEnd"/>
      <w:r>
        <w:t>/L</w:t>
      </w:r>
      <w:r w:rsidRPr="00EC3D26">
        <w:t xml:space="preserve">; </w:t>
      </w:r>
      <w:r w:rsidRPr="005F3EEE">
        <w:rPr>
          <w:i/>
          <w:iCs/>
        </w:rPr>
        <w:t>t</w:t>
      </w:r>
      <w:r w:rsidRPr="00EC3D26">
        <w:t xml:space="preserve"> = </w:t>
      </w:r>
      <w:r>
        <w:t>3.93</w:t>
      </w:r>
      <w:r w:rsidRPr="00EC3D26">
        <w:t xml:space="preserve">, df = </w:t>
      </w:r>
      <w:r>
        <w:t>11</w:t>
      </w:r>
      <w:r w:rsidRPr="00EC3D26">
        <w:t xml:space="preserve">, </w:t>
      </w:r>
      <w:r w:rsidRPr="005F3EEE">
        <w:rPr>
          <w:i/>
          <w:iCs/>
        </w:rPr>
        <w:t>p</w:t>
      </w:r>
      <w:r w:rsidRPr="00EC3D26">
        <w:t xml:space="preserve"> </w:t>
      </w:r>
      <w:r>
        <w:t>=</w:t>
      </w:r>
      <w:r w:rsidRPr="00EC3D26">
        <w:t xml:space="preserve"> 0.00</w:t>
      </w:r>
      <w:r>
        <w:t xml:space="preserve">2). Commonwealth environmental water was estimated to account for ~59% of this difference (23.6 </w:t>
      </w:r>
      <w:r w:rsidRPr="00EC3D26">
        <w:t>[</w:t>
      </w:r>
      <w:r>
        <w:t>-7.4</w:t>
      </w:r>
      <w:r w:rsidRPr="00EC3D26">
        <w:t>,</w:t>
      </w:r>
      <w:r>
        <w:t xml:space="preserve"> 54.6</w:t>
      </w:r>
      <w:r w:rsidRPr="00EC3D26">
        <w:t xml:space="preserve">] </w:t>
      </w:r>
      <w:proofErr w:type="spellStart"/>
      <w:r>
        <w:t>ind</w:t>
      </w:r>
      <w:proofErr w:type="spellEnd"/>
      <w:r>
        <w:t xml:space="preserve">/L </w:t>
      </w:r>
      <w:r w:rsidRPr="00EC3D26">
        <w:t xml:space="preserve">per </w:t>
      </w:r>
      <w:r>
        <w:t xml:space="preserve">sampling event) and although not statistically significant (because of the small number of samples involved; </w:t>
      </w:r>
      <w:r w:rsidRPr="00EC3D26">
        <w:rPr>
          <w:i/>
          <w:iCs/>
        </w:rPr>
        <w:t>t</w:t>
      </w:r>
      <w:r w:rsidRPr="00EC3D26">
        <w:t xml:space="preserve"> =</w:t>
      </w:r>
      <w:r>
        <w:t xml:space="preserve"> 1.68</w:t>
      </w:r>
      <w:r w:rsidRPr="00EC3D26">
        <w:t xml:space="preserve">, </w:t>
      </w:r>
      <w:r w:rsidRPr="005F3EEE">
        <w:t>df</w:t>
      </w:r>
      <w:r w:rsidRPr="00EC3D26">
        <w:rPr>
          <w:i/>
          <w:iCs/>
        </w:rPr>
        <w:t xml:space="preserve"> </w:t>
      </w:r>
      <w:r w:rsidRPr="00EC3D26">
        <w:t xml:space="preserve">= </w:t>
      </w:r>
      <w:r>
        <w:t>11</w:t>
      </w:r>
      <w:r w:rsidRPr="00EC3D26">
        <w:t xml:space="preserve">, </w:t>
      </w:r>
      <w:r w:rsidRPr="00EC3D26">
        <w:rPr>
          <w:i/>
          <w:iCs/>
        </w:rPr>
        <w:t>p</w:t>
      </w:r>
      <w:r w:rsidRPr="00EC3D26">
        <w:t xml:space="preserve"> </w:t>
      </w:r>
      <w:r>
        <w:t>=</w:t>
      </w:r>
      <w:r w:rsidRPr="00EC3D26">
        <w:t xml:space="preserve"> 0.</w:t>
      </w:r>
      <w:r>
        <w:t>12), such an increase in prey-species density was likely of biological importance.</w:t>
      </w:r>
    </w:p>
    <w:p w14:paraId="6FBDAB46" w14:textId="77777777" w:rsidR="00EA35F8" w:rsidRDefault="00EA35F8" w:rsidP="00EA35F8">
      <w:pPr>
        <w:keepNext/>
        <w:jc w:val="center"/>
      </w:pPr>
    </w:p>
    <w:p w14:paraId="5A609F2E" w14:textId="77777777" w:rsidR="00EA35F8" w:rsidRDefault="00EA35F8" w:rsidP="00EA35F8">
      <w:pPr>
        <w:keepNext/>
        <w:jc w:val="center"/>
      </w:pPr>
      <w:r>
        <w:rPr>
          <w:noProof/>
        </w:rPr>
        <w:drawing>
          <wp:inline distT="0" distB="0" distL="0" distR="0" wp14:anchorId="63FBC321" wp14:editId="4C79A334">
            <wp:extent cx="4315977" cy="3236982"/>
            <wp:effectExtent l="0" t="0" r="8890" b="1905"/>
            <wp:docPr id="64" name="Picture 64"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Chart, box and whisker chart&#10;&#10;Description automatically generated"/>
                    <pic:cNvPicPr/>
                  </pic:nvPicPr>
                  <pic:blipFill>
                    <a:blip r:embed="rId97" cstate="email">
                      <a:extLst>
                        <a:ext uri="{28A0092B-C50C-407E-A947-70E740481C1C}">
                          <a14:useLocalDpi xmlns:a14="http://schemas.microsoft.com/office/drawing/2010/main"/>
                        </a:ext>
                      </a:extLst>
                    </a:blip>
                    <a:stretch>
                      <a:fillRect/>
                    </a:stretch>
                  </pic:blipFill>
                  <pic:spPr>
                    <a:xfrm>
                      <a:off x="0" y="0"/>
                      <a:ext cx="4315977" cy="3236982"/>
                    </a:xfrm>
                    <a:prstGeom prst="rect">
                      <a:avLst/>
                    </a:prstGeom>
                  </pic:spPr>
                </pic:pic>
              </a:graphicData>
            </a:graphic>
          </wp:inline>
        </w:drawing>
      </w:r>
    </w:p>
    <w:p w14:paraId="47C78033" w14:textId="62777CD1" w:rsidR="00EA35F8" w:rsidRDefault="00EA35F8" w:rsidP="00EA35F8">
      <w:pPr>
        <w:pStyle w:val="Caption"/>
      </w:pPr>
      <w:bookmarkStart w:id="250" w:name="_Ref63781787"/>
      <w:bookmarkStart w:id="251" w:name="_Toc69387710"/>
      <w:r>
        <w:t xml:space="preserve">Figure </w:t>
      </w:r>
      <w:r w:rsidR="006C38E9">
        <w:fldChar w:fldCharType="begin"/>
      </w:r>
      <w:r w:rsidR="006C38E9">
        <w:instrText xml:space="preserve"> SEQ Figure \* ARABIC </w:instrText>
      </w:r>
      <w:r w:rsidR="006C38E9">
        <w:fldChar w:fldCharType="separate"/>
      </w:r>
      <w:r w:rsidR="00996426">
        <w:rPr>
          <w:noProof/>
        </w:rPr>
        <w:t>46</w:t>
      </w:r>
      <w:r w:rsidR="006C38E9">
        <w:rPr>
          <w:noProof/>
        </w:rPr>
        <w:fldChar w:fldCharType="end"/>
      </w:r>
      <w:bookmarkEnd w:id="250"/>
      <w:r>
        <w:rPr>
          <w:noProof/>
        </w:rPr>
        <w:t>.</w:t>
      </w:r>
      <w:r>
        <w:t xml:space="preserve"> Observed and modelled density (individuals per litre, </w:t>
      </w:r>
      <w:proofErr w:type="spellStart"/>
      <w:r>
        <w:t>ind</w:t>
      </w:r>
      <w:proofErr w:type="spellEnd"/>
      <w:r>
        <w:t xml:space="preserve">/L) of </w:t>
      </w:r>
      <w:proofErr w:type="spellStart"/>
      <w:r>
        <w:t>microinvertebrate</w:t>
      </w:r>
      <w:proofErr w:type="spellEnd"/>
      <w:r>
        <w:t xml:space="preserve"> prey taxa for </w:t>
      </w:r>
      <w:r w:rsidR="00227D4E">
        <w:t xml:space="preserve">large-bodied fish larvae in the </w:t>
      </w:r>
      <w:r>
        <w:t>Lower Murray</w:t>
      </w:r>
      <w:r w:rsidR="005915B1">
        <w:t xml:space="preserve"> </w:t>
      </w:r>
      <w:r w:rsidR="00227D4E">
        <w:t>during</w:t>
      </w:r>
      <w:r>
        <w:t xml:space="preserve"> spring months.</w:t>
      </w:r>
      <w:bookmarkEnd w:id="251"/>
    </w:p>
    <w:p w14:paraId="4B8E1239" w14:textId="77777777" w:rsidR="00EA35F8" w:rsidRDefault="00EA35F8" w:rsidP="00EA35F8"/>
    <w:p w14:paraId="245DEB8D" w14:textId="77777777" w:rsidR="00EA35F8" w:rsidRDefault="00EA35F8" w:rsidP="00EA35F8">
      <w:pPr>
        <w:spacing w:before="0" w:after="160" w:line="259" w:lineRule="auto"/>
        <w:jc w:val="left"/>
        <w:rPr>
          <w:rFonts w:eastAsiaTheme="majorEastAsia" w:cstheme="majorBidi"/>
          <w:b/>
          <w:i/>
          <w:color w:val="44546A" w:themeColor="text2"/>
          <w:sz w:val="24"/>
          <w:szCs w:val="24"/>
        </w:rPr>
      </w:pPr>
      <w:r>
        <w:br w:type="page"/>
      </w:r>
    </w:p>
    <w:p w14:paraId="422247B4" w14:textId="77777777" w:rsidR="00EA35F8" w:rsidRDefault="00EA35F8" w:rsidP="00EA35F8">
      <w:pPr>
        <w:pStyle w:val="Heading3"/>
      </w:pPr>
      <w:r>
        <w:t>Evaluation</w:t>
      </w:r>
    </w:p>
    <w:p w14:paraId="3825A92C" w14:textId="1972582E" w:rsidR="00EA35F8" w:rsidRDefault="00EA35F8" w:rsidP="00EA35F8">
      <w:pPr>
        <w:spacing w:before="0" w:after="160" w:line="259" w:lineRule="auto"/>
        <w:jc w:val="left"/>
        <w:rPr>
          <w:b/>
          <w:bCs/>
          <w:color w:val="auto"/>
          <w:sz w:val="20"/>
          <w:szCs w:val="18"/>
        </w:rPr>
      </w:pPr>
      <w:r>
        <w:t>The evaluation approach is described in the evaluation section for Hydr</w:t>
      </w:r>
      <w:r w:rsidR="001522FE">
        <w:t>aulic</w:t>
      </w:r>
      <w:r>
        <w:t xml:space="preserve"> Regime (Section </w:t>
      </w:r>
      <w:r>
        <w:fldChar w:fldCharType="begin"/>
      </w:r>
      <w:r>
        <w:instrText xml:space="preserve"> REF _Ref35872226 \r \h  \* MERGEFORMAT </w:instrText>
      </w:r>
      <w:r>
        <w:fldChar w:fldCharType="separate"/>
      </w:r>
      <w:r w:rsidR="00241910">
        <w:t>2.1</w:t>
      </w:r>
      <w:r>
        <w:fldChar w:fldCharType="end"/>
      </w:r>
      <w:r>
        <w:t>).</w:t>
      </w:r>
      <w:bookmarkStart w:id="252" w:name="_Ref57962371"/>
    </w:p>
    <w:p w14:paraId="17D7BC3A" w14:textId="2C00C737" w:rsidR="00EA35F8" w:rsidRDefault="00EA35F8" w:rsidP="00EA35F8">
      <w:pPr>
        <w:pStyle w:val="Caption"/>
      </w:pPr>
      <w:bookmarkStart w:id="253" w:name="_Toc63758537"/>
      <w:bookmarkStart w:id="254" w:name="_Toc69387747"/>
      <w:r>
        <w:t xml:space="preserve">Table </w:t>
      </w:r>
      <w:r>
        <w:rPr>
          <w:noProof/>
        </w:rPr>
        <w:fldChar w:fldCharType="begin"/>
      </w:r>
      <w:r>
        <w:rPr>
          <w:noProof/>
        </w:rPr>
        <w:instrText xml:space="preserve"> SEQ Table \* ARABIC </w:instrText>
      </w:r>
      <w:r>
        <w:rPr>
          <w:noProof/>
        </w:rPr>
        <w:fldChar w:fldCharType="separate"/>
      </w:r>
      <w:r w:rsidR="00CE5EF5">
        <w:rPr>
          <w:noProof/>
        </w:rPr>
        <w:t>18</w:t>
      </w:r>
      <w:r>
        <w:rPr>
          <w:noProof/>
        </w:rPr>
        <w:fldChar w:fldCharType="end"/>
      </w:r>
      <w:bookmarkEnd w:id="252"/>
      <w:r>
        <w:rPr>
          <w:noProof/>
        </w:rPr>
        <w:t>.</w:t>
      </w:r>
      <w:r>
        <w:t xml:space="preserve"> </w:t>
      </w:r>
      <w:proofErr w:type="spellStart"/>
      <w:r>
        <w:t>Microinvertebrate</w:t>
      </w:r>
      <w:proofErr w:type="spellEnd"/>
      <w:r>
        <w:t xml:space="preserve"> Assemblage evaluation questions and answers. CEW = Commonwealth environmental water, eWater = environmental water. Hypotheses: H1a, H1b, H2a, H2b and H3. The m</w:t>
      </w:r>
      <w:r w:rsidRPr="00AB2146">
        <w:t xml:space="preserve">ean [95% CI] and % attributable to CEW contributions for each water year are detailed </w:t>
      </w:r>
      <w:r>
        <w:t>for each evaluation question and each water year</w:t>
      </w:r>
      <w:r w:rsidRPr="00AB2146">
        <w:t>.</w:t>
      </w:r>
      <w:r>
        <w:t xml:space="preserve"> The significance of the contribution was classified as </w:t>
      </w:r>
      <w:r w:rsidRPr="00FA42BD">
        <w:t xml:space="preserve">none-negligible </w:t>
      </w:r>
      <w:r>
        <w:t>if the contribution was</w:t>
      </w:r>
      <w:r w:rsidRPr="00FA42BD">
        <w:t xml:space="preserve"> 0</w:t>
      </w:r>
      <w:r>
        <w:t>–</w:t>
      </w:r>
      <w:r w:rsidRPr="00FA42BD">
        <w:t>9%</w:t>
      </w:r>
      <w:r>
        <w:t>,</w:t>
      </w:r>
      <w:r w:rsidRPr="00FA42BD">
        <w:t xml:space="preserve"> minor = 10</w:t>
      </w:r>
      <w:r>
        <w:t>–</w:t>
      </w:r>
      <w:r w:rsidRPr="00FA42BD">
        <w:t>19%, moderate =20</w:t>
      </w:r>
      <w:r>
        <w:t>–</w:t>
      </w:r>
      <w:r w:rsidRPr="00FA42BD">
        <w:t>29%</w:t>
      </w:r>
      <w:r>
        <w:t xml:space="preserve"> and</w:t>
      </w:r>
      <w:r w:rsidRPr="00FA42BD">
        <w:t xml:space="preserve"> substantial = </w:t>
      </w:r>
      <w:r>
        <w:t>≥</w:t>
      </w:r>
      <w:r w:rsidRPr="00FA42BD">
        <w:t>30%</w:t>
      </w:r>
      <w:r>
        <w:t>.</w:t>
      </w:r>
      <w:bookmarkEnd w:id="253"/>
      <w:bookmarkEnd w:id="25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0"/>
        <w:gridCol w:w="1883"/>
        <w:gridCol w:w="1051"/>
        <w:gridCol w:w="1140"/>
        <w:gridCol w:w="1150"/>
        <w:gridCol w:w="1812"/>
      </w:tblGrid>
      <w:tr w:rsidR="00EA35F8" w:rsidRPr="00C53492" w14:paraId="4E4F0DBD" w14:textId="77777777" w:rsidTr="008C15ED">
        <w:trPr>
          <w:cantSplit/>
          <w:trHeight w:val="20"/>
          <w:tblHeader/>
        </w:trPr>
        <w:tc>
          <w:tcPr>
            <w:tcW w:w="1098" w:type="pct"/>
            <w:vMerge w:val="restart"/>
            <w:tcBorders>
              <w:top w:val="single" w:sz="4" w:space="0" w:color="auto"/>
              <w:left w:val="single" w:sz="4" w:space="0" w:color="auto"/>
              <w:right w:val="single" w:sz="4" w:space="0" w:color="auto"/>
            </w:tcBorders>
            <w:shd w:val="clear" w:color="auto" w:fill="auto"/>
          </w:tcPr>
          <w:p w14:paraId="4A5CBC3C" w14:textId="77777777" w:rsidR="00EA35F8" w:rsidRPr="00863BAE" w:rsidRDefault="00EA35F8" w:rsidP="008C15ED">
            <w:pPr>
              <w:pStyle w:val="TableText"/>
              <w:rPr>
                <w:b/>
                <w:bCs/>
                <w:sz w:val="16"/>
              </w:rPr>
            </w:pPr>
            <w:r w:rsidRPr="00863BAE">
              <w:rPr>
                <w:b/>
                <w:bCs/>
                <w:sz w:val="16"/>
              </w:rPr>
              <w:t xml:space="preserve">CEWO evaluation questions </w:t>
            </w:r>
          </w:p>
        </w:tc>
        <w:tc>
          <w:tcPr>
            <w:tcW w:w="3902" w:type="pct"/>
            <w:gridSpan w:val="5"/>
            <w:tcBorders>
              <w:top w:val="single" w:sz="4" w:space="0" w:color="auto"/>
              <w:left w:val="single" w:sz="4" w:space="0" w:color="auto"/>
              <w:bottom w:val="single" w:sz="4" w:space="0" w:color="auto"/>
              <w:right w:val="single" w:sz="4" w:space="0" w:color="auto"/>
            </w:tcBorders>
            <w:shd w:val="clear" w:color="auto" w:fill="auto"/>
            <w:vAlign w:val="bottom"/>
          </w:tcPr>
          <w:p w14:paraId="62AE285B" w14:textId="77777777" w:rsidR="00EA35F8" w:rsidRPr="00863BAE" w:rsidRDefault="00EA35F8" w:rsidP="008C15ED">
            <w:pPr>
              <w:pStyle w:val="TableText"/>
              <w:rPr>
                <w:b/>
                <w:bCs/>
                <w:sz w:val="16"/>
              </w:rPr>
            </w:pPr>
            <w:r w:rsidRPr="00863BAE">
              <w:rPr>
                <w:b/>
                <w:bCs/>
                <w:sz w:val="16"/>
              </w:rPr>
              <w:t>Outcomes of CEW delivery</w:t>
            </w:r>
          </w:p>
        </w:tc>
      </w:tr>
      <w:tr w:rsidR="00EA35F8" w:rsidRPr="00C53492" w14:paraId="796EAD16" w14:textId="77777777" w:rsidTr="008C15ED">
        <w:trPr>
          <w:cantSplit/>
          <w:trHeight w:val="20"/>
          <w:tblHeader/>
        </w:trPr>
        <w:tc>
          <w:tcPr>
            <w:tcW w:w="1098" w:type="pct"/>
            <w:vMerge/>
            <w:tcBorders>
              <w:left w:val="single" w:sz="4" w:space="0" w:color="auto"/>
              <w:bottom w:val="single" w:sz="4" w:space="0" w:color="auto"/>
              <w:right w:val="single" w:sz="4" w:space="0" w:color="auto"/>
            </w:tcBorders>
            <w:shd w:val="clear" w:color="auto" w:fill="auto"/>
          </w:tcPr>
          <w:p w14:paraId="49CEEDF7" w14:textId="77777777" w:rsidR="00EA35F8" w:rsidRPr="00863BAE" w:rsidRDefault="00EA35F8" w:rsidP="008C15ED">
            <w:pPr>
              <w:pStyle w:val="TableText"/>
              <w:rPr>
                <w:b/>
                <w:bCs/>
                <w:sz w:val="16"/>
              </w:rPr>
            </w:pPr>
          </w:p>
        </w:tc>
        <w:tc>
          <w:tcPr>
            <w:tcW w:w="1044" w:type="pct"/>
            <w:tcBorders>
              <w:top w:val="single" w:sz="4" w:space="0" w:color="auto"/>
              <w:left w:val="single" w:sz="4" w:space="0" w:color="auto"/>
              <w:bottom w:val="single" w:sz="4" w:space="0" w:color="auto"/>
            </w:tcBorders>
            <w:shd w:val="clear" w:color="auto" w:fill="auto"/>
            <w:vAlign w:val="bottom"/>
          </w:tcPr>
          <w:p w14:paraId="228C028F" w14:textId="77777777" w:rsidR="00EA35F8" w:rsidRPr="00863BAE" w:rsidRDefault="00EA35F8" w:rsidP="008C15ED">
            <w:pPr>
              <w:pStyle w:val="TableText"/>
              <w:rPr>
                <w:b/>
                <w:bCs/>
                <w:sz w:val="16"/>
              </w:rPr>
            </w:pPr>
            <w:r w:rsidRPr="00863BAE">
              <w:rPr>
                <w:b/>
                <w:bCs/>
                <w:sz w:val="16"/>
              </w:rPr>
              <w:t>2014-15*</w:t>
            </w:r>
          </w:p>
        </w:tc>
        <w:tc>
          <w:tcPr>
            <w:tcW w:w="583" w:type="pct"/>
            <w:tcBorders>
              <w:top w:val="single" w:sz="4" w:space="0" w:color="auto"/>
              <w:bottom w:val="single" w:sz="4" w:space="0" w:color="auto"/>
            </w:tcBorders>
            <w:shd w:val="clear" w:color="auto" w:fill="auto"/>
            <w:vAlign w:val="bottom"/>
          </w:tcPr>
          <w:p w14:paraId="704AFC04" w14:textId="77777777" w:rsidR="00EA35F8" w:rsidRPr="00863BAE" w:rsidRDefault="00EA35F8" w:rsidP="008C15ED">
            <w:pPr>
              <w:pStyle w:val="TableText"/>
              <w:rPr>
                <w:b/>
                <w:bCs/>
                <w:sz w:val="16"/>
              </w:rPr>
            </w:pPr>
            <w:r w:rsidRPr="00863BAE">
              <w:rPr>
                <w:b/>
                <w:bCs/>
                <w:sz w:val="16"/>
              </w:rPr>
              <w:t>2015-16*</w:t>
            </w:r>
          </w:p>
        </w:tc>
        <w:tc>
          <w:tcPr>
            <w:tcW w:w="632" w:type="pct"/>
            <w:tcBorders>
              <w:top w:val="single" w:sz="4" w:space="0" w:color="auto"/>
              <w:bottom w:val="single" w:sz="4" w:space="0" w:color="auto"/>
            </w:tcBorders>
            <w:shd w:val="clear" w:color="auto" w:fill="auto"/>
            <w:vAlign w:val="bottom"/>
          </w:tcPr>
          <w:p w14:paraId="07B31E04" w14:textId="77777777" w:rsidR="00EA35F8" w:rsidRPr="00863BAE" w:rsidRDefault="00EA35F8" w:rsidP="008C15ED">
            <w:pPr>
              <w:pStyle w:val="TableText"/>
              <w:rPr>
                <w:b/>
                <w:bCs/>
                <w:sz w:val="16"/>
              </w:rPr>
            </w:pPr>
            <w:r w:rsidRPr="00863BAE">
              <w:rPr>
                <w:b/>
                <w:bCs/>
                <w:sz w:val="16"/>
              </w:rPr>
              <w:t>2016-17</w:t>
            </w:r>
          </w:p>
        </w:tc>
        <w:tc>
          <w:tcPr>
            <w:tcW w:w="638" w:type="pct"/>
            <w:tcBorders>
              <w:top w:val="single" w:sz="4" w:space="0" w:color="auto"/>
              <w:bottom w:val="single" w:sz="4" w:space="0" w:color="auto"/>
            </w:tcBorders>
            <w:shd w:val="clear" w:color="auto" w:fill="auto"/>
            <w:vAlign w:val="bottom"/>
          </w:tcPr>
          <w:p w14:paraId="7D933CF7" w14:textId="77777777" w:rsidR="00EA35F8" w:rsidRPr="00863BAE" w:rsidRDefault="00EA35F8" w:rsidP="008C15ED">
            <w:pPr>
              <w:pStyle w:val="TableText"/>
              <w:rPr>
                <w:b/>
                <w:bCs/>
                <w:sz w:val="16"/>
              </w:rPr>
            </w:pPr>
            <w:r w:rsidRPr="00863BAE">
              <w:rPr>
                <w:b/>
                <w:bCs/>
                <w:sz w:val="16"/>
              </w:rPr>
              <w:t>2017-18*</w:t>
            </w:r>
          </w:p>
        </w:tc>
        <w:tc>
          <w:tcPr>
            <w:tcW w:w="1005" w:type="pct"/>
            <w:tcBorders>
              <w:top w:val="single" w:sz="4" w:space="0" w:color="auto"/>
              <w:bottom w:val="single" w:sz="4" w:space="0" w:color="auto"/>
            </w:tcBorders>
            <w:shd w:val="clear" w:color="auto" w:fill="auto"/>
          </w:tcPr>
          <w:p w14:paraId="1496D4CE" w14:textId="77777777" w:rsidR="00EA35F8" w:rsidRPr="00863BAE" w:rsidRDefault="00EA35F8" w:rsidP="008C15ED">
            <w:pPr>
              <w:pStyle w:val="TableText"/>
              <w:rPr>
                <w:b/>
                <w:bCs/>
                <w:sz w:val="16"/>
              </w:rPr>
            </w:pPr>
            <w:r w:rsidRPr="00863BAE">
              <w:rPr>
                <w:b/>
                <w:bCs/>
                <w:sz w:val="16"/>
              </w:rPr>
              <w:t>2019-20*</w:t>
            </w:r>
          </w:p>
        </w:tc>
      </w:tr>
      <w:tr w:rsidR="00EA35F8" w:rsidRPr="00C53492" w14:paraId="721BBE5A" w14:textId="77777777" w:rsidTr="008C15ED">
        <w:trPr>
          <w:cantSplit/>
          <w:trHeight w:val="906"/>
        </w:trPr>
        <w:tc>
          <w:tcPr>
            <w:tcW w:w="1098" w:type="pct"/>
            <w:vMerge w:val="restart"/>
            <w:tcBorders>
              <w:top w:val="single" w:sz="4" w:space="0" w:color="auto"/>
              <w:left w:val="single" w:sz="4" w:space="0" w:color="auto"/>
              <w:right w:val="single" w:sz="4" w:space="0" w:color="auto"/>
            </w:tcBorders>
            <w:shd w:val="clear" w:color="auto" w:fill="auto"/>
          </w:tcPr>
          <w:p w14:paraId="25F3256C" w14:textId="55B022AE" w:rsidR="00EA35F8" w:rsidRPr="00C53492" w:rsidRDefault="00EA35F8" w:rsidP="008C15ED">
            <w:pPr>
              <w:pStyle w:val="TableText"/>
              <w:rPr>
                <w:color w:val="auto"/>
                <w:sz w:val="16"/>
              </w:rPr>
            </w:pPr>
            <w:r w:rsidRPr="00C53492">
              <w:rPr>
                <w:sz w:val="16"/>
              </w:rPr>
              <w:t xml:space="preserve">What did CEW contribute to </w:t>
            </w:r>
            <w:proofErr w:type="spellStart"/>
            <w:r w:rsidRPr="00C53492">
              <w:rPr>
                <w:sz w:val="16"/>
              </w:rPr>
              <w:t>microinvertebrate</w:t>
            </w:r>
            <w:proofErr w:type="spellEnd"/>
            <w:r w:rsidRPr="00C53492">
              <w:rPr>
                <w:sz w:val="16"/>
              </w:rPr>
              <w:t xml:space="preserve"> </w:t>
            </w:r>
            <w:r>
              <w:rPr>
                <w:sz w:val="16"/>
              </w:rPr>
              <w:t>density</w:t>
            </w:r>
            <w:r w:rsidRPr="00C53492">
              <w:rPr>
                <w:sz w:val="16"/>
              </w:rPr>
              <w:t xml:space="preserve"> </w:t>
            </w:r>
            <w:r>
              <w:rPr>
                <w:sz w:val="16"/>
              </w:rPr>
              <w:t>(</w:t>
            </w:r>
            <w:r w:rsidRPr="00C53492">
              <w:rPr>
                <w:sz w:val="16"/>
              </w:rPr>
              <w:t>H1a</w:t>
            </w:r>
            <w:r>
              <w:rPr>
                <w:sz w:val="16"/>
              </w:rPr>
              <w:t>)</w:t>
            </w:r>
            <w:r w:rsidRPr="00C53492">
              <w:rPr>
                <w:sz w:val="16"/>
              </w:rPr>
              <w:t>?</w:t>
            </w:r>
          </w:p>
        </w:tc>
        <w:tc>
          <w:tcPr>
            <w:tcW w:w="1044"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BEF6098" w14:textId="77777777" w:rsidR="00EA35F8" w:rsidRPr="00C53492" w:rsidRDefault="00EA35F8" w:rsidP="008C15ED">
            <w:pPr>
              <w:pStyle w:val="TableText"/>
              <w:rPr>
                <w:sz w:val="16"/>
              </w:rPr>
            </w:pPr>
            <w:r w:rsidRPr="00C53492">
              <w:rPr>
                <w:sz w:val="16"/>
              </w:rPr>
              <w:t>72.6 [47.9, 97.</w:t>
            </w:r>
            <w:r>
              <w:rPr>
                <w:sz w:val="16"/>
              </w:rPr>
              <w:t>3</w:t>
            </w:r>
            <w:r w:rsidRPr="00C53492">
              <w:rPr>
                <w:sz w:val="16"/>
              </w:rPr>
              <w:t>]</w:t>
            </w:r>
          </w:p>
          <w:p w14:paraId="2959A88C" w14:textId="77777777" w:rsidR="00EA35F8" w:rsidRPr="00C53492" w:rsidRDefault="00EA35F8" w:rsidP="008C15ED">
            <w:pPr>
              <w:rPr>
                <w:sz w:val="16"/>
              </w:rPr>
            </w:pPr>
            <w:r w:rsidRPr="00C53492">
              <w:rPr>
                <w:sz w:val="16"/>
              </w:rPr>
              <w:t>(</w:t>
            </w:r>
            <w:r>
              <w:rPr>
                <w:sz w:val="16"/>
              </w:rPr>
              <w:t>+7</w:t>
            </w:r>
            <w:r w:rsidRPr="00C53492">
              <w:rPr>
                <w:sz w:val="16"/>
              </w:rPr>
              <w:t>%)</w:t>
            </w:r>
          </w:p>
        </w:tc>
        <w:tc>
          <w:tcPr>
            <w:tcW w:w="583"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FA3CA1D" w14:textId="77777777" w:rsidR="00EA35F8" w:rsidRPr="00C53492" w:rsidRDefault="00EA35F8" w:rsidP="008C15ED">
            <w:pPr>
              <w:pStyle w:val="TableText"/>
              <w:rPr>
                <w:sz w:val="16"/>
              </w:rPr>
            </w:pPr>
            <w:r w:rsidRPr="00C53492">
              <w:rPr>
                <w:sz w:val="16"/>
              </w:rPr>
              <w:t>58.7 [33.4, 8</w:t>
            </w:r>
            <w:r>
              <w:rPr>
                <w:sz w:val="16"/>
              </w:rPr>
              <w:t>4</w:t>
            </w:r>
            <w:r w:rsidRPr="00C53492">
              <w:rPr>
                <w:sz w:val="16"/>
              </w:rPr>
              <w:t>.</w:t>
            </w:r>
            <w:r>
              <w:rPr>
                <w:sz w:val="16"/>
              </w:rPr>
              <w:t>0</w:t>
            </w:r>
            <w:r w:rsidRPr="00C53492">
              <w:rPr>
                <w:sz w:val="16"/>
              </w:rPr>
              <w:t>]</w:t>
            </w:r>
          </w:p>
          <w:p w14:paraId="798DB0C5" w14:textId="77777777" w:rsidR="00EA35F8" w:rsidRPr="00C53492" w:rsidRDefault="00EA35F8" w:rsidP="008C15ED">
            <w:pPr>
              <w:rPr>
                <w:sz w:val="16"/>
              </w:rPr>
            </w:pPr>
            <w:r w:rsidRPr="00C53492">
              <w:rPr>
                <w:sz w:val="16"/>
              </w:rPr>
              <w:t>(</w:t>
            </w:r>
            <w:r>
              <w:rPr>
                <w:sz w:val="16"/>
              </w:rPr>
              <w:t>+8</w:t>
            </w:r>
            <w:r w:rsidRPr="00C53492">
              <w:rPr>
                <w:sz w:val="16"/>
              </w:rPr>
              <w:t>%)</w:t>
            </w:r>
          </w:p>
        </w:tc>
        <w:tc>
          <w:tcPr>
            <w:tcW w:w="632"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BC367AF" w14:textId="77777777" w:rsidR="00EA35F8" w:rsidRPr="00C53492" w:rsidRDefault="00EA35F8" w:rsidP="008C15ED">
            <w:pPr>
              <w:pStyle w:val="TableText"/>
              <w:rPr>
                <w:sz w:val="16"/>
              </w:rPr>
            </w:pPr>
            <w:r w:rsidRPr="00C53492">
              <w:rPr>
                <w:sz w:val="16"/>
              </w:rPr>
              <w:t>25.9 [10.</w:t>
            </w:r>
            <w:r>
              <w:rPr>
                <w:sz w:val="16"/>
              </w:rPr>
              <w:t>3</w:t>
            </w:r>
            <w:r w:rsidRPr="00C53492">
              <w:rPr>
                <w:sz w:val="16"/>
              </w:rPr>
              <w:t>, 41.6]</w:t>
            </w:r>
          </w:p>
          <w:p w14:paraId="226D70A1" w14:textId="77777777" w:rsidR="00EA35F8" w:rsidRPr="00C53492" w:rsidRDefault="00EA35F8" w:rsidP="008C15ED">
            <w:pPr>
              <w:rPr>
                <w:sz w:val="16"/>
              </w:rPr>
            </w:pPr>
            <w:r w:rsidRPr="00C53492">
              <w:rPr>
                <w:sz w:val="16"/>
              </w:rPr>
              <w:t>(</w:t>
            </w:r>
            <w:r>
              <w:rPr>
                <w:sz w:val="16"/>
              </w:rPr>
              <w:t>+4</w:t>
            </w:r>
            <w:r w:rsidRPr="00C53492">
              <w:rPr>
                <w:sz w:val="16"/>
              </w:rPr>
              <w:t>%)</w:t>
            </w:r>
          </w:p>
        </w:tc>
        <w:tc>
          <w:tcPr>
            <w:tcW w:w="638" w:type="pct"/>
            <w:tcBorders>
              <w:top w:val="single" w:sz="4" w:space="0" w:color="auto"/>
              <w:left w:val="single" w:sz="4" w:space="0" w:color="auto"/>
              <w:bottom w:val="single" w:sz="4" w:space="0" w:color="auto"/>
              <w:right w:val="single" w:sz="4" w:space="0" w:color="auto"/>
            </w:tcBorders>
            <w:shd w:val="clear" w:color="auto" w:fill="70AD47" w:themeFill="accent6"/>
          </w:tcPr>
          <w:p w14:paraId="5B8691F9" w14:textId="77777777" w:rsidR="00EA35F8" w:rsidRPr="00C53492" w:rsidRDefault="00EA35F8" w:rsidP="008C15ED">
            <w:pPr>
              <w:pStyle w:val="TableText"/>
              <w:rPr>
                <w:sz w:val="16"/>
              </w:rPr>
            </w:pPr>
            <w:r w:rsidRPr="00C53492">
              <w:rPr>
                <w:sz w:val="16"/>
              </w:rPr>
              <w:t>131.</w:t>
            </w:r>
            <w:r>
              <w:rPr>
                <w:sz w:val="16"/>
              </w:rPr>
              <w:t>3</w:t>
            </w:r>
            <w:r w:rsidRPr="00C53492">
              <w:rPr>
                <w:sz w:val="16"/>
              </w:rPr>
              <w:t xml:space="preserve"> [83.8, 178.</w:t>
            </w:r>
            <w:r>
              <w:rPr>
                <w:sz w:val="16"/>
              </w:rPr>
              <w:t>7</w:t>
            </w:r>
            <w:r w:rsidRPr="00C53492">
              <w:rPr>
                <w:sz w:val="16"/>
              </w:rPr>
              <w:t>]</w:t>
            </w:r>
          </w:p>
          <w:p w14:paraId="549AF438" w14:textId="77777777" w:rsidR="00EA35F8" w:rsidRPr="00C53492" w:rsidRDefault="00EA35F8" w:rsidP="008C15ED">
            <w:pPr>
              <w:rPr>
                <w:sz w:val="16"/>
              </w:rPr>
            </w:pPr>
            <w:r w:rsidRPr="00C53492">
              <w:rPr>
                <w:sz w:val="16"/>
              </w:rPr>
              <w:t>(</w:t>
            </w:r>
            <w:r>
              <w:rPr>
                <w:sz w:val="16"/>
              </w:rPr>
              <w:t>+21</w:t>
            </w:r>
            <w:r w:rsidRPr="00C53492">
              <w:rPr>
                <w:sz w:val="16"/>
              </w:rPr>
              <w:t>%)</w:t>
            </w:r>
          </w:p>
        </w:tc>
        <w:tc>
          <w:tcPr>
            <w:tcW w:w="1005" w:type="pct"/>
            <w:tcBorders>
              <w:top w:val="single" w:sz="4" w:space="0" w:color="auto"/>
              <w:left w:val="single" w:sz="4" w:space="0" w:color="auto"/>
              <w:bottom w:val="single" w:sz="4" w:space="0" w:color="auto"/>
              <w:right w:val="single" w:sz="4" w:space="0" w:color="auto"/>
            </w:tcBorders>
            <w:shd w:val="clear" w:color="auto" w:fill="70AD47" w:themeFill="accent6"/>
          </w:tcPr>
          <w:p w14:paraId="5797DE5C" w14:textId="77777777" w:rsidR="00EA35F8" w:rsidRPr="00C53492" w:rsidRDefault="00EA35F8" w:rsidP="008C15ED">
            <w:pPr>
              <w:pStyle w:val="TableText"/>
              <w:rPr>
                <w:sz w:val="16"/>
              </w:rPr>
            </w:pPr>
            <w:r w:rsidRPr="00C53492">
              <w:rPr>
                <w:sz w:val="16"/>
              </w:rPr>
              <w:t>284.7 [80.6, 488.</w:t>
            </w:r>
            <w:r>
              <w:rPr>
                <w:sz w:val="16"/>
              </w:rPr>
              <w:t>8</w:t>
            </w:r>
            <w:r w:rsidRPr="00C53492">
              <w:rPr>
                <w:sz w:val="16"/>
              </w:rPr>
              <w:t>]</w:t>
            </w:r>
          </w:p>
          <w:p w14:paraId="783A5D57" w14:textId="77777777" w:rsidR="00EA35F8" w:rsidRPr="00C53492" w:rsidRDefault="00EA35F8" w:rsidP="008C15ED">
            <w:pPr>
              <w:rPr>
                <w:sz w:val="16"/>
              </w:rPr>
            </w:pPr>
            <w:r w:rsidRPr="00C53492">
              <w:rPr>
                <w:sz w:val="16"/>
              </w:rPr>
              <w:t>(</w:t>
            </w:r>
            <w:r>
              <w:rPr>
                <w:sz w:val="16"/>
              </w:rPr>
              <w:t>+23</w:t>
            </w:r>
            <w:r w:rsidRPr="00C53492">
              <w:rPr>
                <w:sz w:val="16"/>
              </w:rPr>
              <w:t>%)</w:t>
            </w:r>
          </w:p>
        </w:tc>
      </w:tr>
      <w:tr w:rsidR="00EA35F8" w:rsidRPr="00C53492" w14:paraId="1A353DF1" w14:textId="77777777" w:rsidTr="008C15ED">
        <w:trPr>
          <w:cantSplit/>
          <w:trHeight w:val="20"/>
        </w:trPr>
        <w:tc>
          <w:tcPr>
            <w:tcW w:w="1098" w:type="pct"/>
            <w:vMerge/>
            <w:tcBorders>
              <w:left w:val="single" w:sz="4" w:space="0" w:color="auto"/>
              <w:bottom w:val="single" w:sz="4" w:space="0" w:color="auto"/>
              <w:right w:val="single" w:sz="4" w:space="0" w:color="auto"/>
            </w:tcBorders>
            <w:shd w:val="clear" w:color="auto" w:fill="auto"/>
          </w:tcPr>
          <w:p w14:paraId="2D626454" w14:textId="77777777" w:rsidR="00EA35F8" w:rsidRPr="00C53492" w:rsidRDefault="00EA35F8" w:rsidP="008C15ED">
            <w:pPr>
              <w:pStyle w:val="TableText"/>
              <w:rPr>
                <w:sz w:val="16"/>
              </w:rPr>
            </w:pPr>
          </w:p>
        </w:tc>
        <w:tc>
          <w:tcPr>
            <w:tcW w:w="3902" w:type="pct"/>
            <w:gridSpan w:val="5"/>
            <w:tcBorders>
              <w:top w:val="single" w:sz="4" w:space="0" w:color="auto"/>
              <w:left w:val="single" w:sz="4" w:space="0" w:color="auto"/>
              <w:bottom w:val="single" w:sz="4" w:space="0" w:color="auto"/>
              <w:right w:val="single" w:sz="4" w:space="0" w:color="auto"/>
            </w:tcBorders>
            <w:shd w:val="clear" w:color="auto" w:fill="auto"/>
          </w:tcPr>
          <w:p w14:paraId="32AFB811" w14:textId="77777777" w:rsidR="00EA35F8" w:rsidRPr="00C53492" w:rsidRDefault="00EA35F8" w:rsidP="008C15ED">
            <w:pPr>
              <w:pStyle w:val="TableText"/>
              <w:rPr>
                <w:color w:val="auto"/>
                <w:sz w:val="16"/>
              </w:rPr>
            </w:pPr>
            <w:proofErr w:type="spellStart"/>
            <w:r>
              <w:rPr>
                <w:color w:val="auto"/>
                <w:sz w:val="16"/>
              </w:rPr>
              <w:t>eWater</w:t>
            </w:r>
            <w:proofErr w:type="spellEnd"/>
            <w:r>
              <w:rPr>
                <w:color w:val="auto"/>
                <w:sz w:val="16"/>
              </w:rPr>
              <w:t xml:space="preserve"> </w:t>
            </w:r>
            <w:r w:rsidRPr="00C53492">
              <w:rPr>
                <w:color w:val="auto"/>
                <w:sz w:val="16"/>
              </w:rPr>
              <w:t xml:space="preserve">increased overall </w:t>
            </w:r>
            <w:proofErr w:type="spellStart"/>
            <w:r w:rsidRPr="00C53492">
              <w:rPr>
                <w:color w:val="auto"/>
                <w:sz w:val="16"/>
              </w:rPr>
              <w:t>microinvertebrate</w:t>
            </w:r>
            <w:proofErr w:type="spellEnd"/>
            <w:r w:rsidRPr="00C53492">
              <w:rPr>
                <w:color w:val="auto"/>
                <w:sz w:val="16"/>
              </w:rPr>
              <w:t xml:space="preserve"> density by an average of 18% across all years, with CEW accounting for </w:t>
            </w:r>
            <w:r>
              <w:rPr>
                <w:color w:val="auto"/>
                <w:sz w:val="16"/>
              </w:rPr>
              <w:t>64</w:t>
            </w:r>
            <w:r w:rsidRPr="00C53492">
              <w:rPr>
                <w:color w:val="auto"/>
                <w:sz w:val="16"/>
              </w:rPr>
              <w:t xml:space="preserve">% of this. </w:t>
            </w:r>
          </w:p>
        </w:tc>
      </w:tr>
      <w:tr w:rsidR="00EA35F8" w:rsidRPr="00C53492" w14:paraId="0C9564AA" w14:textId="77777777" w:rsidTr="008C15ED">
        <w:trPr>
          <w:cantSplit/>
          <w:trHeight w:val="641"/>
        </w:trPr>
        <w:tc>
          <w:tcPr>
            <w:tcW w:w="1098" w:type="pct"/>
            <w:vMerge w:val="restart"/>
            <w:tcBorders>
              <w:top w:val="single" w:sz="4" w:space="0" w:color="auto"/>
              <w:left w:val="single" w:sz="4" w:space="0" w:color="auto"/>
              <w:right w:val="single" w:sz="4" w:space="0" w:color="auto"/>
            </w:tcBorders>
            <w:shd w:val="clear" w:color="auto" w:fill="auto"/>
          </w:tcPr>
          <w:p w14:paraId="07961142" w14:textId="55EE35F9" w:rsidR="00EA35F8" w:rsidRPr="00C53492" w:rsidRDefault="00EA35F8" w:rsidP="008C15ED">
            <w:pPr>
              <w:pStyle w:val="TableText"/>
              <w:rPr>
                <w:color w:val="auto"/>
                <w:sz w:val="16"/>
              </w:rPr>
            </w:pPr>
            <w:r w:rsidRPr="00C53492">
              <w:rPr>
                <w:sz w:val="16"/>
              </w:rPr>
              <w:t xml:space="preserve">What did CEW contribute to </w:t>
            </w:r>
            <w:proofErr w:type="spellStart"/>
            <w:r w:rsidRPr="00C53492">
              <w:rPr>
                <w:sz w:val="16"/>
              </w:rPr>
              <w:t>microinvertebrate</w:t>
            </w:r>
            <w:proofErr w:type="spellEnd"/>
            <w:r w:rsidRPr="00C53492">
              <w:rPr>
                <w:sz w:val="16"/>
              </w:rPr>
              <w:t xml:space="preserve"> </w:t>
            </w:r>
            <w:r w:rsidR="00D9522E">
              <w:rPr>
                <w:sz w:val="16"/>
              </w:rPr>
              <w:t>diversity (</w:t>
            </w:r>
            <w:r w:rsidRPr="00C53492">
              <w:rPr>
                <w:sz w:val="16"/>
              </w:rPr>
              <w:t>taxonomic richness</w:t>
            </w:r>
            <w:r w:rsidR="00D9522E">
              <w:rPr>
                <w:sz w:val="16"/>
              </w:rPr>
              <w:t>)</w:t>
            </w:r>
            <w:r w:rsidRPr="00C53492">
              <w:rPr>
                <w:sz w:val="16"/>
              </w:rPr>
              <w:t xml:space="preserve"> </w:t>
            </w:r>
            <w:r>
              <w:rPr>
                <w:sz w:val="16"/>
              </w:rPr>
              <w:t>(</w:t>
            </w:r>
            <w:r w:rsidRPr="00C53492">
              <w:rPr>
                <w:sz w:val="16"/>
              </w:rPr>
              <w:t>H1b</w:t>
            </w:r>
            <w:r>
              <w:rPr>
                <w:sz w:val="16"/>
              </w:rPr>
              <w:t>)</w:t>
            </w:r>
            <w:r w:rsidRPr="00C53492">
              <w:rPr>
                <w:sz w:val="16"/>
              </w:rPr>
              <w:t xml:space="preserve">? </w:t>
            </w:r>
          </w:p>
          <w:p w14:paraId="2320C820" w14:textId="77777777" w:rsidR="00EA35F8" w:rsidRPr="00C53492" w:rsidRDefault="00EA35F8" w:rsidP="008C15ED">
            <w:pPr>
              <w:pStyle w:val="TableText"/>
              <w:rPr>
                <w:color w:val="auto"/>
                <w:sz w:val="16"/>
              </w:rPr>
            </w:pPr>
          </w:p>
        </w:tc>
        <w:tc>
          <w:tcPr>
            <w:tcW w:w="1044"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BAA417A" w14:textId="77777777" w:rsidR="00EA35F8" w:rsidRPr="00C53492" w:rsidRDefault="00EA35F8" w:rsidP="008C15ED">
            <w:pPr>
              <w:pStyle w:val="TableText"/>
              <w:rPr>
                <w:sz w:val="16"/>
              </w:rPr>
            </w:pPr>
            <w:r w:rsidRPr="00C53492">
              <w:rPr>
                <w:sz w:val="16"/>
              </w:rPr>
              <w:t>0.8 [-0.3, 2.0]</w:t>
            </w:r>
          </w:p>
          <w:p w14:paraId="0D9EB499" w14:textId="77777777" w:rsidR="00EA35F8" w:rsidRPr="00C53492" w:rsidRDefault="00EA35F8" w:rsidP="008C15ED">
            <w:pPr>
              <w:pStyle w:val="TableText"/>
              <w:rPr>
                <w:sz w:val="16"/>
              </w:rPr>
            </w:pPr>
            <w:r w:rsidRPr="00C53492">
              <w:rPr>
                <w:sz w:val="16"/>
              </w:rPr>
              <w:t>(+3%)</w:t>
            </w:r>
          </w:p>
        </w:tc>
        <w:tc>
          <w:tcPr>
            <w:tcW w:w="583"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C830BCE" w14:textId="77777777" w:rsidR="00EA35F8" w:rsidRPr="00C53492" w:rsidRDefault="00EA35F8" w:rsidP="008C15ED">
            <w:pPr>
              <w:pStyle w:val="TableText"/>
              <w:rPr>
                <w:sz w:val="16"/>
              </w:rPr>
            </w:pPr>
            <w:r w:rsidRPr="00C53492">
              <w:rPr>
                <w:sz w:val="16"/>
              </w:rPr>
              <w:t>1.0, [0.4, 1.6]</w:t>
            </w:r>
          </w:p>
          <w:p w14:paraId="6A68967B" w14:textId="77777777" w:rsidR="00EA35F8" w:rsidRPr="00C53492" w:rsidRDefault="00EA35F8" w:rsidP="008C15ED">
            <w:pPr>
              <w:pStyle w:val="TableText"/>
              <w:rPr>
                <w:sz w:val="16"/>
              </w:rPr>
            </w:pPr>
            <w:r w:rsidRPr="00C53492">
              <w:rPr>
                <w:sz w:val="16"/>
              </w:rPr>
              <w:t>(+4%)</w:t>
            </w:r>
          </w:p>
        </w:tc>
        <w:tc>
          <w:tcPr>
            <w:tcW w:w="632"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961D2D0" w14:textId="77777777" w:rsidR="00EA35F8" w:rsidRPr="00C53492" w:rsidRDefault="00EA35F8" w:rsidP="008C15ED">
            <w:pPr>
              <w:pStyle w:val="TableText"/>
              <w:rPr>
                <w:sz w:val="16"/>
              </w:rPr>
            </w:pPr>
            <w:r w:rsidRPr="00C53492">
              <w:rPr>
                <w:sz w:val="16"/>
              </w:rPr>
              <w:t>0.9 [-0.2, 2.0]</w:t>
            </w:r>
          </w:p>
          <w:p w14:paraId="48E13F24" w14:textId="77777777" w:rsidR="00EA35F8" w:rsidRPr="00C53492" w:rsidRDefault="00EA35F8" w:rsidP="008C15ED">
            <w:pPr>
              <w:pStyle w:val="TableText"/>
              <w:rPr>
                <w:sz w:val="16"/>
              </w:rPr>
            </w:pPr>
            <w:r w:rsidRPr="00C53492">
              <w:rPr>
                <w:sz w:val="16"/>
              </w:rPr>
              <w:t>(+3%)</w:t>
            </w:r>
          </w:p>
        </w:tc>
        <w:tc>
          <w:tcPr>
            <w:tcW w:w="638"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04403028" w14:textId="77777777" w:rsidR="00EA35F8" w:rsidRPr="00863BAE" w:rsidRDefault="00EA35F8" w:rsidP="00EA35F8">
            <w:pPr>
              <w:pStyle w:val="ListParagraph"/>
              <w:numPr>
                <w:ilvl w:val="1"/>
                <w:numId w:val="57"/>
              </w:numPr>
              <w:rPr>
                <w:sz w:val="16"/>
              </w:rPr>
            </w:pPr>
            <w:r w:rsidRPr="00863BAE">
              <w:rPr>
                <w:sz w:val="16"/>
              </w:rPr>
              <w:t>[1.6, 3.4]</w:t>
            </w:r>
          </w:p>
          <w:p w14:paraId="2D842D79" w14:textId="77777777" w:rsidR="00EA35F8" w:rsidRPr="00C53492" w:rsidRDefault="00EA35F8" w:rsidP="008C15ED">
            <w:pPr>
              <w:pStyle w:val="TableText"/>
              <w:rPr>
                <w:sz w:val="16"/>
              </w:rPr>
            </w:pPr>
            <w:r w:rsidRPr="00C53492">
              <w:rPr>
                <w:sz w:val="16"/>
              </w:rPr>
              <w:t>(+11%)</w:t>
            </w:r>
          </w:p>
        </w:tc>
        <w:tc>
          <w:tcPr>
            <w:tcW w:w="1005"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42D1449D" w14:textId="77777777" w:rsidR="00EA35F8" w:rsidRPr="00C53492" w:rsidRDefault="00EA35F8" w:rsidP="008C15ED">
            <w:pPr>
              <w:pStyle w:val="TableText"/>
              <w:rPr>
                <w:sz w:val="16"/>
              </w:rPr>
            </w:pPr>
            <w:r w:rsidRPr="00C53492">
              <w:rPr>
                <w:sz w:val="16"/>
              </w:rPr>
              <w:t>2.8 [0</w:t>
            </w:r>
            <w:r>
              <w:rPr>
                <w:sz w:val="16"/>
              </w:rPr>
              <w:t>.0</w:t>
            </w:r>
            <w:r w:rsidRPr="00C53492">
              <w:rPr>
                <w:sz w:val="16"/>
              </w:rPr>
              <w:t>, 5.6]</w:t>
            </w:r>
          </w:p>
          <w:p w14:paraId="714203B7" w14:textId="77777777" w:rsidR="00EA35F8" w:rsidRPr="00C53492" w:rsidRDefault="00EA35F8" w:rsidP="008C15ED">
            <w:pPr>
              <w:pStyle w:val="TableText"/>
              <w:rPr>
                <w:sz w:val="16"/>
              </w:rPr>
            </w:pPr>
            <w:r w:rsidRPr="00C53492">
              <w:rPr>
                <w:sz w:val="16"/>
              </w:rPr>
              <w:t>(+1</w:t>
            </w:r>
            <w:r>
              <w:rPr>
                <w:sz w:val="16"/>
              </w:rPr>
              <w:t>1</w:t>
            </w:r>
            <w:r w:rsidRPr="00C53492">
              <w:rPr>
                <w:sz w:val="16"/>
              </w:rPr>
              <w:t>%)</w:t>
            </w:r>
          </w:p>
        </w:tc>
      </w:tr>
      <w:tr w:rsidR="00EA35F8" w:rsidRPr="00C53492" w14:paraId="3A133BF7" w14:textId="77777777" w:rsidTr="008C15ED">
        <w:trPr>
          <w:cantSplit/>
          <w:trHeight w:val="20"/>
        </w:trPr>
        <w:tc>
          <w:tcPr>
            <w:tcW w:w="1098" w:type="pct"/>
            <w:vMerge/>
            <w:tcBorders>
              <w:left w:val="single" w:sz="4" w:space="0" w:color="auto"/>
              <w:bottom w:val="single" w:sz="4" w:space="0" w:color="auto"/>
              <w:right w:val="single" w:sz="4" w:space="0" w:color="auto"/>
            </w:tcBorders>
            <w:shd w:val="clear" w:color="auto" w:fill="auto"/>
          </w:tcPr>
          <w:p w14:paraId="5A4397DC" w14:textId="77777777" w:rsidR="00EA35F8" w:rsidRPr="00C53492" w:rsidRDefault="00EA35F8" w:rsidP="008C15ED">
            <w:pPr>
              <w:pStyle w:val="TableText"/>
              <w:rPr>
                <w:sz w:val="16"/>
              </w:rPr>
            </w:pPr>
          </w:p>
        </w:tc>
        <w:tc>
          <w:tcPr>
            <w:tcW w:w="3902" w:type="pct"/>
            <w:gridSpan w:val="5"/>
            <w:tcBorders>
              <w:top w:val="single" w:sz="4" w:space="0" w:color="auto"/>
              <w:left w:val="single" w:sz="4" w:space="0" w:color="auto"/>
              <w:bottom w:val="single" w:sz="4" w:space="0" w:color="auto"/>
              <w:right w:val="single" w:sz="4" w:space="0" w:color="auto"/>
            </w:tcBorders>
            <w:shd w:val="clear" w:color="auto" w:fill="auto"/>
          </w:tcPr>
          <w:p w14:paraId="6E25C569" w14:textId="77777777" w:rsidR="00EA35F8" w:rsidRPr="00C53492" w:rsidRDefault="00EA35F8" w:rsidP="008C15ED">
            <w:pPr>
              <w:pStyle w:val="TableText"/>
              <w:rPr>
                <w:color w:val="auto"/>
                <w:sz w:val="16"/>
              </w:rPr>
            </w:pPr>
            <w:proofErr w:type="spellStart"/>
            <w:r>
              <w:rPr>
                <w:color w:val="auto"/>
                <w:sz w:val="16"/>
              </w:rPr>
              <w:t>eWater</w:t>
            </w:r>
            <w:proofErr w:type="spellEnd"/>
            <w:r>
              <w:rPr>
                <w:color w:val="auto"/>
                <w:sz w:val="16"/>
              </w:rPr>
              <w:t xml:space="preserve"> </w:t>
            </w:r>
            <w:r w:rsidRPr="00C53492">
              <w:rPr>
                <w:color w:val="auto"/>
                <w:sz w:val="16"/>
              </w:rPr>
              <w:t xml:space="preserve">increased overall </w:t>
            </w:r>
            <w:proofErr w:type="spellStart"/>
            <w:r w:rsidRPr="00C53492">
              <w:rPr>
                <w:color w:val="auto"/>
                <w:sz w:val="16"/>
              </w:rPr>
              <w:t>microinvertebrate</w:t>
            </w:r>
            <w:proofErr w:type="spellEnd"/>
            <w:r w:rsidRPr="00C53492">
              <w:rPr>
                <w:color w:val="auto"/>
                <w:sz w:val="16"/>
              </w:rPr>
              <w:t xml:space="preserve"> </w:t>
            </w:r>
            <w:r>
              <w:rPr>
                <w:color w:val="auto"/>
                <w:sz w:val="16"/>
              </w:rPr>
              <w:t xml:space="preserve">taxa richness </w:t>
            </w:r>
            <w:r w:rsidRPr="00C53492">
              <w:rPr>
                <w:color w:val="auto"/>
                <w:sz w:val="16"/>
              </w:rPr>
              <w:t>by an average of 9% across all years, with CEW accounting for</w:t>
            </w:r>
            <w:r>
              <w:rPr>
                <w:color w:val="auto"/>
                <w:sz w:val="16"/>
              </w:rPr>
              <w:t xml:space="preserve"> </w:t>
            </w:r>
            <w:r w:rsidRPr="00C53492">
              <w:rPr>
                <w:color w:val="auto"/>
                <w:sz w:val="16"/>
              </w:rPr>
              <w:t>6</w:t>
            </w:r>
            <w:r>
              <w:rPr>
                <w:color w:val="auto"/>
                <w:sz w:val="16"/>
              </w:rPr>
              <w:t>5</w:t>
            </w:r>
            <w:r w:rsidRPr="00C53492">
              <w:rPr>
                <w:color w:val="auto"/>
                <w:sz w:val="16"/>
              </w:rPr>
              <w:t xml:space="preserve">% of this. </w:t>
            </w:r>
          </w:p>
        </w:tc>
      </w:tr>
      <w:tr w:rsidR="00EA35F8" w:rsidRPr="00C53492" w14:paraId="15367DB4" w14:textId="77777777" w:rsidTr="008C15ED">
        <w:trPr>
          <w:cantSplit/>
          <w:trHeight w:val="750"/>
        </w:trPr>
        <w:tc>
          <w:tcPr>
            <w:tcW w:w="1098" w:type="pct"/>
            <w:vMerge w:val="restart"/>
            <w:tcBorders>
              <w:top w:val="single" w:sz="4" w:space="0" w:color="auto"/>
              <w:left w:val="single" w:sz="4" w:space="0" w:color="auto"/>
              <w:right w:val="single" w:sz="4" w:space="0" w:color="auto"/>
            </w:tcBorders>
            <w:shd w:val="clear" w:color="auto" w:fill="auto"/>
          </w:tcPr>
          <w:p w14:paraId="0EF03F16" w14:textId="6305C471" w:rsidR="00EA35F8" w:rsidRPr="00C53492" w:rsidRDefault="00DC34CA" w:rsidP="008C15ED">
            <w:pPr>
              <w:pStyle w:val="TableText"/>
              <w:rPr>
                <w:color w:val="auto"/>
                <w:sz w:val="16"/>
              </w:rPr>
            </w:pPr>
            <w:r w:rsidRPr="00C53492">
              <w:rPr>
                <w:sz w:val="16"/>
              </w:rPr>
              <w:t xml:space="preserve">What did CEW contribute to </w:t>
            </w:r>
            <w:proofErr w:type="spellStart"/>
            <w:r w:rsidRPr="00C53492">
              <w:rPr>
                <w:sz w:val="16"/>
              </w:rPr>
              <w:t>microinvertebrate</w:t>
            </w:r>
            <w:proofErr w:type="spellEnd"/>
            <w:r w:rsidRPr="00C53492">
              <w:rPr>
                <w:sz w:val="16"/>
              </w:rPr>
              <w:t xml:space="preserve"> communities of the LM</w:t>
            </w:r>
            <w:r>
              <w:rPr>
                <w:sz w:val="16"/>
              </w:rPr>
              <w:t>R</w:t>
            </w:r>
            <w:r w:rsidRPr="00C53492">
              <w:rPr>
                <w:sz w:val="16"/>
              </w:rPr>
              <w:t xml:space="preserve"> via lateral connectivity</w:t>
            </w:r>
            <w:r>
              <w:rPr>
                <w:sz w:val="16"/>
              </w:rPr>
              <w:t xml:space="preserve"> (H2a)</w:t>
            </w:r>
            <w:r w:rsidRPr="00C53492">
              <w:rPr>
                <w:sz w:val="16"/>
              </w:rPr>
              <w:t xml:space="preserve">? </w:t>
            </w:r>
          </w:p>
        </w:tc>
        <w:tc>
          <w:tcPr>
            <w:tcW w:w="1044"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1B0E5FE" w14:textId="77777777" w:rsidR="00EA35F8" w:rsidRPr="00C53492" w:rsidRDefault="00EA35F8" w:rsidP="008C15ED">
            <w:pPr>
              <w:pStyle w:val="TableText"/>
              <w:rPr>
                <w:sz w:val="16"/>
              </w:rPr>
            </w:pPr>
            <w:r w:rsidRPr="00C53492">
              <w:rPr>
                <w:sz w:val="16"/>
              </w:rPr>
              <w:t>1.8 [-0.</w:t>
            </w:r>
            <w:r>
              <w:rPr>
                <w:sz w:val="16"/>
              </w:rPr>
              <w:t>8</w:t>
            </w:r>
            <w:r w:rsidRPr="00C53492">
              <w:rPr>
                <w:sz w:val="16"/>
              </w:rPr>
              <w:t>, 4.</w:t>
            </w:r>
            <w:r>
              <w:rPr>
                <w:sz w:val="16"/>
              </w:rPr>
              <w:t>5</w:t>
            </w:r>
            <w:r w:rsidRPr="00C53492">
              <w:rPr>
                <w:sz w:val="16"/>
              </w:rPr>
              <w:t>]</w:t>
            </w:r>
          </w:p>
          <w:p w14:paraId="6A74012F" w14:textId="77777777" w:rsidR="00EA35F8" w:rsidRPr="00C53492" w:rsidRDefault="00EA35F8" w:rsidP="008C15ED">
            <w:pPr>
              <w:pStyle w:val="TableText"/>
              <w:rPr>
                <w:color w:val="auto"/>
                <w:sz w:val="16"/>
              </w:rPr>
            </w:pPr>
            <w:r w:rsidRPr="00C53492">
              <w:rPr>
                <w:color w:val="auto"/>
                <w:sz w:val="16"/>
              </w:rPr>
              <w:t>(+3%)</w:t>
            </w:r>
          </w:p>
        </w:tc>
        <w:tc>
          <w:tcPr>
            <w:tcW w:w="583" w:type="pct"/>
            <w:tcBorders>
              <w:top w:val="single" w:sz="4" w:space="0" w:color="auto"/>
              <w:left w:val="single" w:sz="4" w:space="0" w:color="auto"/>
              <w:bottom w:val="single" w:sz="4" w:space="0" w:color="auto"/>
              <w:right w:val="single" w:sz="4" w:space="0" w:color="auto"/>
            </w:tcBorders>
            <w:shd w:val="clear" w:color="auto" w:fill="70AD47" w:themeFill="accent6"/>
          </w:tcPr>
          <w:p w14:paraId="7F5E65F3" w14:textId="77777777" w:rsidR="00EA35F8" w:rsidRPr="00C53492" w:rsidRDefault="00EA35F8" w:rsidP="008C15ED">
            <w:pPr>
              <w:pStyle w:val="TableText"/>
              <w:rPr>
                <w:sz w:val="16"/>
              </w:rPr>
            </w:pPr>
            <w:r w:rsidRPr="00C53492">
              <w:rPr>
                <w:sz w:val="16"/>
              </w:rPr>
              <w:t>11.</w:t>
            </w:r>
            <w:r>
              <w:rPr>
                <w:sz w:val="16"/>
              </w:rPr>
              <w:t>5</w:t>
            </w:r>
            <w:r w:rsidRPr="00C53492">
              <w:rPr>
                <w:sz w:val="16"/>
              </w:rPr>
              <w:t xml:space="preserve"> [8.</w:t>
            </w:r>
            <w:r>
              <w:rPr>
                <w:sz w:val="16"/>
              </w:rPr>
              <w:t>6</w:t>
            </w:r>
            <w:r w:rsidRPr="00C53492">
              <w:rPr>
                <w:sz w:val="16"/>
              </w:rPr>
              <w:t>, 14.</w:t>
            </w:r>
            <w:r>
              <w:rPr>
                <w:sz w:val="16"/>
              </w:rPr>
              <w:t>4</w:t>
            </w:r>
            <w:r w:rsidRPr="00C53492">
              <w:rPr>
                <w:sz w:val="16"/>
              </w:rPr>
              <w:t>]</w:t>
            </w:r>
          </w:p>
          <w:p w14:paraId="637A2179" w14:textId="77777777" w:rsidR="00EA35F8" w:rsidRPr="00C53492" w:rsidRDefault="00EA35F8" w:rsidP="008C15ED">
            <w:pPr>
              <w:rPr>
                <w:sz w:val="16"/>
              </w:rPr>
            </w:pPr>
            <w:r w:rsidRPr="00C53492">
              <w:rPr>
                <w:sz w:val="16"/>
              </w:rPr>
              <w:t>(+22%)</w:t>
            </w:r>
          </w:p>
        </w:tc>
        <w:tc>
          <w:tcPr>
            <w:tcW w:w="632"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F630515" w14:textId="77777777" w:rsidR="00EA35F8" w:rsidRPr="00C53492" w:rsidRDefault="00EA35F8" w:rsidP="008C15ED">
            <w:pPr>
              <w:pStyle w:val="TableText"/>
              <w:rPr>
                <w:sz w:val="16"/>
              </w:rPr>
            </w:pPr>
            <w:r w:rsidRPr="00C53492">
              <w:rPr>
                <w:sz w:val="16"/>
              </w:rPr>
              <w:t>-0.67 [-1.</w:t>
            </w:r>
            <w:r>
              <w:rPr>
                <w:sz w:val="16"/>
              </w:rPr>
              <w:t>4</w:t>
            </w:r>
            <w:r w:rsidRPr="00C53492">
              <w:rPr>
                <w:sz w:val="16"/>
              </w:rPr>
              <w:t xml:space="preserve">, </w:t>
            </w:r>
            <w:r>
              <w:rPr>
                <w:sz w:val="16"/>
              </w:rPr>
              <w:t>&lt;</w:t>
            </w:r>
            <w:r w:rsidRPr="00C53492">
              <w:rPr>
                <w:sz w:val="16"/>
              </w:rPr>
              <w:t>0.</w:t>
            </w:r>
            <w:r>
              <w:rPr>
                <w:sz w:val="16"/>
              </w:rPr>
              <w:t>1</w:t>
            </w:r>
            <w:r w:rsidRPr="00C53492">
              <w:rPr>
                <w:sz w:val="16"/>
              </w:rPr>
              <w:t>]</w:t>
            </w:r>
          </w:p>
          <w:p w14:paraId="74C6E692" w14:textId="77777777" w:rsidR="00EA35F8" w:rsidRPr="00C53492" w:rsidRDefault="00EA35F8" w:rsidP="008C15ED">
            <w:pPr>
              <w:rPr>
                <w:sz w:val="16"/>
              </w:rPr>
            </w:pPr>
            <w:r w:rsidRPr="00C53492">
              <w:rPr>
                <w:sz w:val="16"/>
              </w:rPr>
              <w:t>(-3%)</w:t>
            </w:r>
          </w:p>
        </w:tc>
        <w:tc>
          <w:tcPr>
            <w:tcW w:w="638" w:type="pct"/>
            <w:tcBorders>
              <w:top w:val="single" w:sz="4" w:space="0" w:color="auto"/>
              <w:left w:val="single" w:sz="4" w:space="0" w:color="auto"/>
              <w:bottom w:val="single" w:sz="4" w:space="0" w:color="auto"/>
              <w:right w:val="single" w:sz="4" w:space="0" w:color="auto"/>
            </w:tcBorders>
            <w:shd w:val="clear" w:color="auto" w:fill="70AD47" w:themeFill="accent6"/>
          </w:tcPr>
          <w:p w14:paraId="0D88571E" w14:textId="77777777" w:rsidR="00EA35F8" w:rsidRPr="00C53492" w:rsidRDefault="00EA35F8" w:rsidP="008C15ED">
            <w:pPr>
              <w:pStyle w:val="TableText"/>
              <w:rPr>
                <w:sz w:val="16"/>
              </w:rPr>
            </w:pPr>
            <w:r w:rsidRPr="00C53492">
              <w:rPr>
                <w:sz w:val="16"/>
              </w:rPr>
              <w:t>15.08 [9.2, 20.9]</w:t>
            </w:r>
          </w:p>
          <w:p w14:paraId="4282D8EA" w14:textId="77777777" w:rsidR="00EA35F8" w:rsidRPr="00C53492" w:rsidRDefault="00EA35F8" w:rsidP="008C15ED">
            <w:pPr>
              <w:rPr>
                <w:sz w:val="16"/>
              </w:rPr>
            </w:pPr>
            <w:r w:rsidRPr="00C53492">
              <w:rPr>
                <w:sz w:val="16"/>
              </w:rPr>
              <w:t>(+24%)</w:t>
            </w:r>
          </w:p>
        </w:tc>
        <w:tc>
          <w:tcPr>
            <w:tcW w:w="1005" w:type="pct"/>
            <w:tcBorders>
              <w:top w:val="single" w:sz="4" w:space="0" w:color="auto"/>
              <w:left w:val="single" w:sz="4" w:space="0" w:color="auto"/>
              <w:bottom w:val="single" w:sz="4" w:space="0" w:color="auto"/>
              <w:right w:val="single" w:sz="4" w:space="0" w:color="auto"/>
            </w:tcBorders>
            <w:shd w:val="clear" w:color="auto" w:fill="5B9BD5" w:themeFill="accent1"/>
          </w:tcPr>
          <w:p w14:paraId="30C859A2" w14:textId="77777777" w:rsidR="00EA35F8" w:rsidRPr="00C53492" w:rsidRDefault="00EA35F8" w:rsidP="008C15ED">
            <w:pPr>
              <w:pStyle w:val="TableText"/>
              <w:rPr>
                <w:sz w:val="16"/>
              </w:rPr>
            </w:pPr>
            <w:r w:rsidRPr="00C53492">
              <w:rPr>
                <w:sz w:val="16"/>
              </w:rPr>
              <w:t>13</w:t>
            </w:r>
            <w:r>
              <w:rPr>
                <w:sz w:val="16"/>
              </w:rPr>
              <w:t>.0</w:t>
            </w:r>
            <w:r w:rsidRPr="00C53492">
              <w:rPr>
                <w:sz w:val="16"/>
              </w:rPr>
              <w:t xml:space="preserve"> [3.</w:t>
            </w:r>
            <w:r>
              <w:rPr>
                <w:sz w:val="16"/>
              </w:rPr>
              <w:t>2</w:t>
            </w:r>
            <w:r w:rsidRPr="00C53492">
              <w:rPr>
                <w:sz w:val="16"/>
              </w:rPr>
              <w:t>, 22.8]</w:t>
            </w:r>
          </w:p>
          <w:p w14:paraId="1123606A" w14:textId="77777777" w:rsidR="00EA35F8" w:rsidRPr="00C53492" w:rsidRDefault="00EA35F8" w:rsidP="008C15ED">
            <w:pPr>
              <w:rPr>
                <w:sz w:val="16"/>
              </w:rPr>
            </w:pPr>
            <w:r w:rsidRPr="00C53492">
              <w:rPr>
                <w:sz w:val="16"/>
              </w:rPr>
              <w:t>(+30%)</w:t>
            </w:r>
          </w:p>
        </w:tc>
      </w:tr>
      <w:tr w:rsidR="00EA35F8" w:rsidRPr="00C53492" w14:paraId="2ED2AE69" w14:textId="77777777" w:rsidTr="008C15ED">
        <w:trPr>
          <w:cantSplit/>
          <w:trHeight w:val="20"/>
        </w:trPr>
        <w:tc>
          <w:tcPr>
            <w:tcW w:w="1098" w:type="pct"/>
            <w:vMerge/>
            <w:tcBorders>
              <w:left w:val="single" w:sz="4" w:space="0" w:color="auto"/>
              <w:bottom w:val="single" w:sz="4" w:space="0" w:color="auto"/>
              <w:right w:val="single" w:sz="4" w:space="0" w:color="auto"/>
            </w:tcBorders>
            <w:shd w:val="clear" w:color="auto" w:fill="auto"/>
          </w:tcPr>
          <w:p w14:paraId="668128E5" w14:textId="77777777" w:rsidR="00EA35F8" w:rsidRPr="00C53492" w:rsidRDefault="00EA35F8" w:rsidP="008C15ED">
            <w:pPr>
              <w:pStyle w:val="TableText"/>
              <w:rPr>
                <w:sz w:val="16"/>
              </w:rPr>
            </w:pPr>
          </w:p>
        </w:tc>
        <w:tc>
          <w:tcPr>
            <w:tcW w:w="3902" w:type="pct"/>
            <w:gridSpan w:val="5"/>
            <w:tcBorders>
              <w:top w:val="single" w:sz="4" w:space="0" w:color="auto"/>
              <w:left w:val="single" w:sz="4" w:space="0" w:color="auto"/>
              <w:bottom w:val="single" w:sz="4" w:space="0" w:color="auto"/>
              <w:right w:val="single" w:sz="4" w:space="0" w:color="auto"/>
            </w:tcBorders>
            <w:shd w:val="clear" w:color="auto" w:fill="auto"/>
          </w:tcPr>
          <w:p w14:paraId="040AD67A" w14:textId="77777777" w:rsidR="00EA35F8" w:rsidRPr="00C53492" w:rsidRDefault="00EA35F8" w:rsidP="008C15ED">
            <w:pPr>
              <w:pStyle w:val="TableText"/>
              <w:rPr>
                <w:color w:val="auto"/>
                <w:sz w:val="16"/>
              </w:rPr>
            </w:pPr>
            <w:r>
              <w:rPr>
                <w:color w:val="auto"/>
                <w:sz w:val="16"/>
              </w:rPr>
              <w:t>eWater</w:t>
            </w:r>
            <w:r w:rsidRPr="00C53492">
              <w:rPr>
                <w:color w:val="auto"/>
                <w:sz w:val="16"/>
              </w:rPr>
              <w:t xml:space="preserve"> increased the </w:t>
            </w:r>
            <w:r>
              <w:rPr>
                <w:color w:val="auto"/>
                <w:sz w:val="16"/>
              </w:rPr>
              <w:t>density</w:t>
            </w:r>
            <w:r w:rsidRPr="00C53492">
              <w:rPr>
                <w:color w:val="auto"/>
                <w:sz w:val="16"/>
              </w:rPr>
              <w:t xml:space="preserve"> of taxa dependent upon lateral connectivity by an average of 18% across all years, with CEW accounting for </w:t>
            </w:r>
            <w:r>
              <w:rPr>
                <w:color w:val="auto"/>
                <w:sz w:val="16"/>
              </w:rPr>
              <w:t>86</w:t>
            </w:r>
            <w:r w:rsidRPr="00C53492">
              <w:rPr>
                <w:color w:val="auto"/>
                <w:sz w:val="16"/>
              </w:rPr>
              <w:t xml:space="preserve">% of this. </w:t>
            </w:r>
          </w:p>
        </w:tc>
      </w:tr>
      <w:tr w:rsidR="00EA35F8" w:rsidRPr="00C53492" w14:paraId="55BC7740" w14:textId="77777777" w:rsidTr="008C15ED">
        <w:trPr>
          <w:cantSplit/>
          <w:trHeight w:val="20"/>
        </w:trPr>
        <w:tc>
          <w:tcPr>
            <w:tcW w:w="1098" w:type="pct"/>
            <w:vMerge w:val="restart"/>
            <w:tcBorders>
              <w:top w:val="single" w:sz="4" w:space="0" w:color="auto"/>
              <w:left w:val="single" w:sz="4" w:space="0" w:color="auto"/>
              <w:right w:val="single" w:sz="4" w:space="0" w:color="auto"/>
            </w:tcBorders>
            <w:shd w:val="clear" w:color="auto" w:fill="auto"/>
          </w:tcPr>
          <w:p w14:paraId="6379AC70" w14:textId="77777777" w:rsidR="00EA35F8" w:rsidRPr="00C53492" w:rsidRDefault="00EA35F8" w:rsidP="008C15ED">
            <w:pPr>
              <w:pStyle w:val="TableText"/>
              <w:rPr>
                <w:color w:val="auto"/>
                <w:sz w:val="16"/>
              </w:rPr>
            </w:pPr>
            <w:r w:rsidRPr="00C53492">
              <w:rPr>
                <w:sz w:val="16"/>
              </w:rPr>
              <w:t xml:space="preserve">What did CEW contribute to </w:t>
            </w:r>
            <w:proofErr w:type="spellStart"/>
            <w:r w:rsidRPr="00C53492">
              <w:rPr>
                <w:sz w:val="16"/>
              </w:rPr>
              <w:t>microinvertebrate</w:t>
            </w:r>
            <w:proofErr w:type="spellEnd"/>
            <w:r w:rsidRPr="00C53492">
              <w:rPr>
                <w:sz w:val="16"/>
              </w:rPr>
              <w:t xml:space="preserve"> communities of the LM</w:t>
            </w:r>
            <w:r>
              <w:rPr>
                <w:sz w:val="16"/>
              </w:rPr>
              <w:t>R</w:t>
            </w:r>
            <w:r w:rsidRPr="00C53492">
              <w:rPr>
                <w:sz w:val="16"/>
              </w:rPr>
              <w:t xml:space="preserve"> via longitudinal connectivity</w:t>
            </w:r>
            <w:r>
              <w:rPr>
                <w:sz w:val="16"/>
              </w:rPr>
              <w:t xml:space="preserve"> (H2b)</w:t>
            </w:r>
            <w:r w:rsidRPr="00C53492">
              <w:rPr>
                <w:sz w:val="16"/>
              </w:rPr>
              <w:t>?</w:t>
            </w:r>
          </w:p>
        </w:tc>
        <w:tc>
          <w:tcPr>
            <w:tcW w:w="1044"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DD92AAA" w14:textId="77777777" w:rsidR="00EA35F8" w:rsidRPr="00C53492" w:rsidRDefault="00EA35F8" w:rsidP="008C15ED">
            <w:pPr>
              <w:pStyle w:val="TableText"/>
              <w:rPr>
                <w:sz w:val="16"/>
                <w:lang w:val="en-US" w:bidi="en-US"/>
              </w:rPr>
            </w:pPr>
            <w:r w:rsidRPr="00C53492">
              <w:rPr>
                <w:sz w:val="16"/>
                <w:lang w:val="en-US" w:bidi="en-US"/>
              </w:rPr>
              <w:t>52</w:t>
            </w:r>
            <w:r>
              <w:rPr>
                <w:sz w:val="16"/>
                <w:lang w:val="en-US" w:bidi="en-US"/>
              </w:rPr>
              <w:t>.0</w:t>
            </w:r>
            <w:r w:rsidRPr="00C53492">
              <w:rPr>
                <w:sz w:val="16"/>
                <w:lang w:val="en-US" w:bidi="en-US"/>
              </w:rPr>
              <w:t xml:space="preserve"> [34.6, 68.7]</w:t>
            </w:r>
          </w:p>
          <w:p w14:paraId="1F469DC4" w14:textId="77777777" w:rsidR="00EA35F8" w:rsidRPr="00C53492" w:rsidRDefault="00EA35F8" w:rsidP="008C15ED">
            <w:pPr>
              <w:pStyle w:val="TableText"/>
              <w:rPr>
                <w:sz w:val="16"/>
              </w:rPr>
            </w:pPr>
            <w:r w:rsidRPr="00C53492">
              <w:rPr>
                <w:sz w:val="16"/>
                <w:lang w:val="en-US" w:bidi="en-US"/>
              </w:rPr>
              <w:t>(+6%)</w:t>
            </w:r>
          </w:p>
        </w:tc>
        <w:tc>
          <w:tcPr>
            <w:tcW w:w="583"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31F3228" w14:textId="77777777" w:rsidR="00EA35F8" w:rsidRPr="00C53492" w:rsidRDefault="00EA35F8" w:rsidP="008C15ED">
            <w:pPr>
              <w:pStyle w:val="TableText"/>
              <w:rPr>
                <w:sz w:val="16"/>
                <w:lang w:val="en-US" w:bidi="en-US"/>
              </w:rPr>
            </w:pPr>
            <w:r w:rsidRPr="00C53492">
              <w:rPr>
                <w:sz w:val="16"/>
                <w:lang w:val="en-US" w:bidi="en-US"/>
              </w:rPr>
              <w:t>22 [7.1, 36.4]</w:t>
            </w:r>
          </w:p>
          <w:p w14:paraId="0ED40D17" w14:textId="77777777" w:rsidR="00EA35F8" w:rsidRPr="00C53492" w:rsidRDefault="00EA35F8" w:rsidP="008C15ED">
            <w:pPr>
              <w:pStyle w:val="TableText"/>
              <w:rPr>
                <w:sz w:val="16"/>
              </w:rPr>
            </w:pPr>
            <w:r w:rsidRPr="00C53492">
              <w:rPr>
                <w:sz w:val="16"/>
              </w:rPr>
              <w:t>(+4%)</w:t>
            </w:r>
          </w:p>
        </w:tc>
        <w:tc>
          <w:tcPr>
            <w:tcW w:w="632"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806D5D6" w14:textId="77777777" w:rsidR="00EA35F8" w:rsidRPr="00C53492" w:rsidRDefault="00EA35F8" w:rsidP="008C15ED">
            <w:pPr>
              <w:pStyle w:val="TableText"/>
              <w:rPr>
                <w:sz w:val="16"/>
                <w:lang w:val="en-US" w:bidi="en-US"/>
              </w:rPr>
            </w:pPr>
            <w:r w:rsidRPr="00C53492">
              <w:rPr>
                <w:sz w:val="16"/>
                <w:lang w:val="en-US" w:bidi="en-US"/>
              </w:rPr>
              <w:t>19 [7.3, 30.3]</w:t>
            </w:r>
          </w:p>
          <w:p w14:paraId="39467292" w14:textId="77777777" w:rsidR="00EA35F8" w:rsidRPr="00C53492" w:rsidRDefault="00EA35F8" w:rsidP="008C15ED">
            <w:pPr>
              <w:pStyle w:val="TableText"/>
              <w:rPr>
                <w:sz w:val="16"/>
              </w:rPr>
            </w:pPr>
            <w:r w:rsidRPr="00C53492">
              <w:rPr>
                <w:sz w:val="16"/>
                <w:lang w:val="en-US" w:bidi="en-US"/>
              </w:rPr>
              <w:t>(+5%)</w:t>
            </w:r>
          </w:p>
        </w:tc>
        <w:tc>
          <w:tcPr>
            <w:tcW w:w="638"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5EA62061" w14:textId="77777777" w:rsidR="00EA35F8" w:rsidRPr="00C53492" w:rsidRDefault="00EA35F8" w:rsidP="008C15ED">
            <w:pPr>
              <w:pStyle w:val="TableText"/>
              <w:rPr>
                <w:sz w:val="16"/>
                <w:lang w:val="en-US" w:bidi="en-US"/>
              </w:rPr>
            </w:pPr>
            <w:r w:rsidRPr="00C53492">
              <w:rPr>
                <w:sz w:val="16"/>
                <w:lang w:val="en-US" w:bidi="en-US"/>
              </w:rPr>
              <w:t>70 [44.9, 94.3]</w:t>
            </w:r>
          </w:p>
          <w:p w14:paraId="2635252C" w14:textId="77777777" w:rsidR="00EA35F8" w:rsidRPr="00C53492" w:rsidRDefault="00EA35F8" w:rsidP="008C15ED">
            <w:pPr>
              <w:pStyle w:val="TableText"/>
              <w:rPr>
                <w:sz w:val="16"/>
              </w:rPr>
            </w:pPr>
            <w:r w:rsidRPr="00C53492">
              <w:rPr>
                <w:sz w:val="16"/>
              </w:rPr>
              <w:t>(+19%)</w:t>
            </w:r>
          </w:p>
        </w:tc>
        <w:tc>
          <w:tcPr>
            <w:tcW w:w="1005" w:type="pct"/>
            <w:tcBorders>
              <w:top w:val="single" w:sz="4" w:space="0" w:color="auto"/>
              <w:left w:val="single" w:sz="4" w:space="0" w:color="auto"/>
              <w:bottom w:val="single" w:sz="4" w:space="0" w:color="auto"/>
              <w:right w:val="single" w:sz="4" w:space="0" w:color="auto"/>
            </w:tcBorders>
            <w:shd w:val="clear" w:color="auto" w:fill="70AD47" w:themeFill="accent6"/>
          </w:tcPr>
          <w:p w14:paraId="5FDFCD18" w14:textId="77777777" w:rsidR="00EA35F8" w:rsidRPr="00C53492" w:rsidRDefault="00EA35F8" w:rsidP="008C15ED">
            <w:pPr>
              <w:pStyle w:val="TableText"/>
              <w:rPr>
                <w:sz w:val="16"/>
                <w:lang w:val="en-US" w:bidi="en-US"/>
              </w:rPr>
            </w:pPr>
            <w:r w:rsidRPr="00C53492">
              <w:rPr>
                <w:sz w:val="16"/>
                <w:lang w:val="en-US" w:bidi="en-US"/>
              </w:rPr>
              <w:t>182 [102.5, 260.9]</w:t>
            </w:r>
          </w:p>
          <w:p w14:paraId="27CBEFD5" w14:textId="77777777" w:rsidR="00EA35F8" w:rsidRPr="00C53492" w:rsidRDefault="00EA35F8" w:rsidP="008C15ED">
            <w:pPr>
              <w:pStyle w:val="TableText"/>
              <w:rPr>
                <w:sz w:val="16"/>
              </w:rPr>
            </w:pPr>
            <w:r w:rsidRPr="00C53492">
              <w:rPr>
                <w:sz w:val="16"/>
              </w:rPr>
              <w:t>(+27%)</w:t>
            </w:r>
          </w:p>
        </w:tc>
      </w:tr>
      <w:tr w:rsidR="00EA35F8" w:rsidRPr="00C53492" w14:paraId="44C61B7A" w14:textId="77777777" w:rsidTr="008C15ED">
        <w:trPr>
          <w:cantSplit/>
          <w:trHeight w:val="692"/>
        </w:trPr>
        <w:tc>
          <w:tcPr>
            <w:tcW w:w="1098" w:type="pct"/>
            <w:vMerge/>
            <w:tcBorders>
              <w:left w:val="single" w:sz="4" w:space="0" w:color="auto"/>
              <w:bottom w:val="single" w:sz="4" w:space="0" w:color="auto"/>
              <w:right w:val="single" w:sz="4" w:space="0" w:color="auto"/>
            </w:tcBorders>
            <w:shd w:val="clear" w:color="auto" w:fill="auto"/>
          </w:tcPr>
          <w:p w14:paraId="3A37A6EB" w14:textId="77777777" w:rsidR="00EA35F8" w:rsidRPr="00C53492" w:rsidRDefault="00EA35F8" w:rsidP="008C15ED">
            <w:pPr>
              <w:pStyle w:val="TableText"/>
              <w:rPr>
                <w:sz w:val="16"/>
              </w:rPr>
            </w:pPr>
          </w:p>
        </w:tc>
        <w:tc>
          <w:tcPr>
            <w:tcW w:w="3902" w:type="pct"/>
            <w:gridSpan w:val="5"/>
            <w:tcBorders>
              <w:top w:val="single" w:sz="4" w:space="0" w:color="auto"/>
              <w:left w:val="single" w:sz="4" w:space="0" w:color="auto"/>
              <w:bottom w:val="single" w:sz="4" w:space="0" w:color="auto"/>
              <w:right w:val="single" w:sz="4" w:space="0" w:color="auto"/>
            </w:tcBorders>
            <w:shd w:val="clear" w:color="auto" w:fill="auto"/>
          </w:tcPr>
          <w:p w14:paraId="040B68F4" w14:textId="77777777" w:rsidR="00EA35F8" w:rsidRPr="00C53492" w:rsidRDefault="00EA35F8" w:rsidP="008C15ED">
            <w:pPr>
              <w:pStyle w:val="TableText"/>
              <w:rPr>
                <w:color w:val="auto"/>
                <w:sz w:val="16"/>
              </w:rPr>
            </w:pPr>
            <w:r>
              <w:rPr>
                <w:color w:val="auto"/>
                <w:sz w:val="16"/>
              </w:rPr>
              <w:t xml:space="preserve">eWater </w:t>
            </w:r>
            <w:r w:rsidRPr="00C53492">
              <w:rPr>
                <w:color w:val="auto"/>
                <w:sz w:val="16"/>
              </w:rPr>
              <w:t xml:space="preserve">increased the </w:t>
            </w:r>
            <w:r>
              <w:rPr>
                <w:color w:val="auto"/>
                <w:sz w:val="16"/>
              </w:rPr>
              <w:t>density</w:t>
            </w:r>
            <w:r w:rsidRPr="00C53492">
              <w:rPr>
                <w:color w:val="auto"/>
                <w:sz w:val="16"/>
              </w:rPr>
              <w:t xml:space="preserve"> of taxa dependent upon longitudinal connectivity by an average of 1</w:t>
            </w:r>
            <w:r>
              <w:rPr>
                <w:color w:val="auto"/>
                <w:sz w:val="16"/>
              </w:rPr>
              <w:t>7</w:t>
            </w:r>
            <w:r w:rsidRPr="00C53492">
              <w:rPr>
                <w:color w:val="auto"/>
                <w:sz w:val="16"/>
              </w:rPr>
              <w:t xml:space="preserve">% across all years, with CEW accounting for </w:t>
            </w:r>
            <w:r>
              <w:rPr>
                <w:color w:val="auto"/>
                <w:sz w:val="16"/>
              </w:rPr>
              <w:t>65</w:t>
            </w:r>
            <w:r w:rsidRPr="00C53492">
              <w:rPr>
                <w:color w:val="auto"/>
                <w:sz w:val="16"/>
              </w:rPr>
              <w:t xml:space="preserve">% of this. </w:t>
            </w:r>
          </w:p>
        </w:tc>
      </w:tr>
      <w:tr w:rsidR="00EA35F8" w:rsidRPr="00C53492" w14:paraId="0E7BC8E3" w14:textId="77777777" w:rsidTr="008C15ED">
        <w:trPr>
          <w:cantSplit/>
          <w:trHeight w:val="20"/>
        </w:trPr>
        <w:tc>
          <w:tcPr>
            <w:tcW w:w="1098" w:type="pct"/>
            <w:vMerge w:val="restart"/>
            <w:tcBorders>
              <w:top w:val="single" w:sz="4" w:space="0" w:color="auto"/>
              <w:left w:val="single" w:sz="4" w:space="0" w:color="auto"/>
              <w:right w:val="single" w:sz="4" w:space="0" w:color="auto"/>
            </w:tcBorders>
            <w:shd w:val="clear" w:color="auto" w:fill="auto"/>
          </w:tcPr>
          <w:p w14:paraId="7F18F20E" w14:textId="77777777" w:rsidR="00EA35F8" w:rsidRPr="00C53492" w:rsidRDefault="00EA35F8" w:rsidP="008C15ED">
            <w:pPr>
              <w:pStyle w:val="TableText"/>
              <w:rPr>
                <w:color w:val="auto"/>
                <w:sz w:val="16"/>
              </w:rPr>
            </w:pPr>
            <w:r w:rsidRPr="00C53492">
              <w:rPr>
                <w:sz w:val="16"/>
              </w:rPr>
              <w:t xml:space="preserve">What did CEW contribute to spring </w:t>
            </w:r>
            <w:proofErr w:type="spellStart"/>
            <w:r w:rsidRPr="00C53492">
              <w:rPr>
                <w:sz w:val="16"/>
              </w:rPr>
              <w:t>microinvertebrate</w:t>
            </w:r>
            <w:proofErr w:type="spellEnd"/>
            <w:r w:rsidRPr="00C53492">
              <w:rPr>
                <w:sz w:val="16"/>
              </w:rPr>
              <w:t xml:space="preserve"> fish prey species density</w:t>
            </w:r>
            <w:r>
              <w:rPr>
                <w:sz w:val="16"/>
              </w:rPr>
              <w:t xml:space="preserve"> (H3)</w:t>
            </w:r>
            <w:r w:rsidRPr="00C53492">
              <w:rPr>
                <w:sz w:val="16"/>
              </w:rPr>
              <w:t>?</w:t>
            </w:r>
          </w:p>
          <w:p w14:paraId="7B0B0203" w14:textId="77777777" w:rsidR="00EA35F8" w:rsidRPr="00C53492" w:rsidRDefault="00EA35F8" w:rsidP="008C15ED">
            <w:pPr>
              <w:pStyle w:val="TableText"/>
              <w:rPr>
                <w:color w:val="auto"/>
                <w:sz w:val="16"/>
              </w:rPr>
            </w:pPr>
          </w:p>
        </w:tc>
        <w:tc>
          <w:tcPr>
            <w:tcW w:w="1044"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705921E7" w14:textId="77777777" w:rsidR="00EA35F8" w:rsidRPr="00C53492" w:rsidRDefault="00EA35F8" w:rsidP="008C15ED">
            <w:pPr>
              <w:pStyle w:val="TableText"/>
              <w:rPr>
                <w:sz w:val="16"/>
              </w:rPr>
            </w:pPr>
            <w:r w:rsidRPr="00C53492">
              <w:rPr>
                <w:sz w:val="16"/>
              </w:rPr>
              <w:t>17 [10.0, 24.7]</w:t>
            </w:r>
          </w:p>
          <w:p w14:paraId="26767BA7" w14:textId="77777777" w:rsidR="00EA35F8" w:rsidRPr="00C53492" w:rsidRDefault="00EA35F8" w:rsidP="008C15ED">
            <w:pPr>
              <w:rPr>
                <w:sz w:val="16"/>
              </w:rPr>
            </w:pPr>
            <w:r w:rsidRPr="00C53492">
              <w:rPr>
                <w:sz w:val="16"/>
              </w:rPr>
              <w:t xml:space="preserve">(+15%) </w:t>
            </w:r>
          </w:p>
        </w:tc>
        <w:tc>
          <w:tcPr>
            <w:tcW w:w="583" w:type="pct"/>
            <w:tcBorders>
              <w:top w:val="single" w:sz="4" w:space="0" w:color="auto"/>
              <w:left w:val="single" w:sz="4" w:space="0" w:color="auto"/>
              <w:bottom w:val="single" w:sz="4" w:space="0" w:color="auto"/>
              <w:right w:val="single" w:sz="4" w:space="0" w:color="auto"/>
            </w:tcBorders>
            <w:shd w:val="clear" w:color="auto" w:fill="5B9BD5" w:themeFill="accent1"/>
          </w:tcPr>
          <w:p w14:paraId="2A727C54" w14:textId="77777777" w:rsidR="00EA35F8" w:rsidRPr="00C53492" w:rsidRDefault="00EA35F8" w:rsidP="008C15ED">
            <w:pPr>
              <w:pStyle w:val="TableText"/>
              <w:rPr>
                <w:sz w:val="16"/>
              </w:rPr>
            </w:pPr>
            <w:r w:rsidRPr="00C53492">
              <w:rPr>
                <w:sz w:val="16"/>
              </w:rPr>
              <w:t>59 [47.4, 69.7]</w:t>
            </w:r>
          </w:p>
          <w:p w14:paraId="05186102" w14:textId="77777777" w:rsidR="00EA35F8" w:rsidRPr="00C53492" w:rsidRDefault="00EA35F8" w:rsidP="008C15ED">
            <w:pPr>
              <w:rPr>
                <w:sz w:val="16"/>
              </w:rPr>
            </w:pPr>
            <w:r w:rsidRPr="00C53492">
              <w:rPr>
                <w:sz w:val="16"/>
              </w:rPr>
              <w:t>(+49%)</w:t>
            </w:r>
          </w:p>
        </w:tc>
        <w:tc>
          <w:tcPr>
            <w:tcW w:w="632"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34E4FF0" w14:textId="77777777" w:rsidR="00EA35F8" w:rsidRPr="00C53492" w:rsidRDefault="00EA35F8" w:rsidP="008C15ED">
            <w:pPr>
              <w:pStyle w:val="TableText"/>
              <w:rPr>
                <w:sz w:val="16"/>
              </w:rPr>
            </w:pPr>
            <w:r w:rsidRPr="00C53492">
              <w:rPr>
                <w:sz w:val="16"/>
              </w:rPr>
              <w:t>0.4 [0.25, 0.59]</w:t>
            </w:r>
          </w:p>
          <w:p w14:paraId="3E5D653B" w14:textId="77777777" w:rsidR="00EA35F8" w:rsidRPr="00C53492" w:rsidRDefault="00EA35F8" w:rsidP="008C15ED">
            <w:pPr>
              <w:rPr>
                <w:sz w:val="16"/>
              </w:rPr>
            </w:pPr>
            <w:r w:rsidRPr="00C53492">
              <w:rPr>
                <w:sz w:val="16"/>
              </w:rPr>
              <w:t>(0%)</w:t>
            </w:r>
          </w:p>
        </w:tc>
        <w:tc>
          <w:tcPr>
            <w:tcW w:w="638" w:type="pct"/>
            <w:tcBorders>
              <w:top w:val="single" w:sz="4" w:space="0" w:color="auto"/>
              <w:left w:val="single" w:sz="4" w:space="0" w:color="auto"/>
              <w:bottom w:val="single" w:sz="4" w:space="0" w:color="auto"/>
              <w:right w:val="single" w:sz="4" w:space="0" w:color="auto"/>
            </w:tcBorders>
            <w:shd w:val="clear" w:color="auto" w:fill="5B9BD5" w:themeFill="accent1"/>
          </w:tcPr>
          <w:p w14:paraId="2001675F" w14:textId="77777777" w:rsidR="00EA35F8" w:rsidRPr="00C53492" w:rsidRDefault="00EA35F8" w:rsidP="008C15ED">
            <w:pPr>
              <w:pStyle w:val="TableText"/>
              <w:rPr>
                <w:sz w:val="16"/>
              </w:rPr>
            </w:pPr>
            <w:r w:rsidRPr="00C53492">
              <w:rPr>
                <w:sz w:val="16"/>
              </w:rPr>
              <w:t>65 [53.7, 75.7]</w:t>
            </w:r>
          </w:p>
          <w:p w14:paraId="70E7604E" w14:textId="77777777" w:rsidR="00EA35F8" w:rsidRPr="00C53492" w:rsidRDefault="00EA35F8" w:rsidP="008C15ED">
            <w:pPr>
              <w:rPr>
                <w:sz w:val="16"/>
              </w:rPr>
            </w:pPr>
            <w:r w:rsidRPr="00C53492">
              <w:rPr>
                <w:sz w:val="16"/>
              </w:rPr>
              <w:t>(+59%)</w:t>
            </w:r>
          </w:p>
        </w:tc>
        <w:tc>
          <w:tcPr>
            <w:tcW w:w="1005" w:type="pct"/>
            <w:tcBorders>
              <w:top w:val="single" w:sz="4" w:space="0" w:color="auto"/>
              <w:left w:val="single" w:sz="4" w:space="0" w:color="auto"/>
              <w:bottom w:val="single" w:sz="4" w:space="0" w:color="auto"/>
              <w:right w:val="single" w:sz="4" w:space="0" w:color="auto"/>
            </w:tcBorders>
            <w:shd w:val="clear" w:color="auto" w:fill="5B9BD5" w:themeFill="accent1"/>
          </w:tcPr>
          <w:p w14:paraId="77668466" w14:textId="77777777" w:rsidR="00EA35F8" w:rsidRPr="00C53492" w:rsidRDefault="00EA35F8" w:rsidP="008C15ED">
            <w:pPr>
              <w:pStyle w:val="TableText"/>
              <w:rPr>
                <w:sz w:val="16"/>
              </w:rPr>
            </w:pPr>
            <w:r w:rsidRPr="00C53492">
              <w:rPr>
                <w:sz w:val="16"/>
              </w:rPr>
              <w:t>24 [-7.4, 54.6]</w:t>
            </w:r>
          </w:p>
          <w:p w14:paraId="32F224D5" w14:textId="77777777" w:rsidR="00EA35F8" w:rsidRPr="00C53492" w:rsidRDefault="00EA35F8" w:rsidP="008C15ED">
            <w:pPr>
              <w:rPr>
                <w:sz w:val="16"/>
              </w:rPr>
            </w:pPr>
            <w:r w:rsidRPr="00C53492">
              <w:rPr>
                <w:sz w:val="16"/>
              </w:rPr>
              <w:t>(+37%)</w:t>
            </w:r>
          </w:p>
        </w:tc>
      </w:tr>
      <w:tr w:rsidR="00EA35F8" w:rsidRPr="00C53492" w14:paraId="3A77ED7E" w14:textId="77777777" w:rsidTr="008C15ED">
        <w:trPr>
          <w:cantSplit/>
          <w:trHeight w:val="20"/>
        </w:trPr>
        <w:tc>
          <w:tcPr>
            <w:tcW w:w="1098" w:type="pct"/>
            <w:vMerge/>
            <w:tcBorders>
              <w:left w:val="single" w:sz="4" w:space="0" w:color="auto"/>
              <w:bottom w:val="single" w:sz="4" w:space="0" w:color="auto"/>
              <w:right w:val="single" w:sz="4" w:space="0" w:color="auto"/>
            </w:tcBorders>
            <w:shd w:val="clear" w:color="auto" w:fill="auto"/>
          </w:tcPr>
          <w:p w14:paraId="3DD66736" w14:textId="77777777" w:rsidR="00EA35F8" w:rsidRPr="00C53492" w:rsidRDefault="00EA35F8" w:rsidP="008C15ED">
            <w:pPr>
              <w:pStyle w:val="TableText"/>
              <w:rPr>
                <w:sz w:val="16"/>
              </w:rPr>
            </w:pPr>
          </w:p>
        </w:tc>
        <w:tc>
          <w:tcPr>
            <w:tcW w:w="3902" w:type="pct"/>
            <w:gridSpan w:val="5"/>
            <w:tcBorders>
              <w:top w:val="single" w:sz="4" w:space="0" w:color="auto"/>
              <w:left w:val="single" w:sz="4" w:space="0" w:color="auto"/>
              <w:bottom w:val="single" w:sz="4" w:space="0" w:color="auto"/>
              <w:right w:val="single" w:sz="4" w:space="0" w:color="auto"/>
            </w:tcBorders>
            <w:shd w:val="clear" w:color="auto" w:fill="auto"/>
            <w:vAlign w:val="center"/>
          </w:tcPr>
          <w:p w14:paraId="654245AD" w14:textId="77777777" w:rsidR="00EA35F8" w:rsidRPr="00C53492" w:rsidDel="00515593" w:rsidRDefault="00EA35F8" w:rsidP="008C15ED">
            <w:pPr>
              <w:pStyle w:val="TableText"/>
              <w:rPr>
                <w:rFonts w:eastAsia="MS Mincho"/>
                <w:sz w:val="16"/>
                <w:lang w:val="en-US"/>
              </w:rPr>
            </w:pPr>
            <w:r>
              <w:rPr>
                <w:rFonts w:eastAsia="MS Mincho"/>
                <w:sz w:val="16"/>
                <w:lang w:val="en-US"/>
              </w:rPr>
              <w:t xml:space="preserve">eWater </w:t>
            </w:r>
            <w:r w:rsidRPr="00C53492">
              <w:rPr>
                <w:rFonts w:eastAsia="MS Mincho"/>
                <w:sz w:val="16"/>
                <w:lang w:val="en-US"/>
              </w:rPr>
              <w:t xml:space="preserve">increased the </w:t>
            </w:r>
            <w:r>
              <w:rPr>
                <w:rFonts w:eastAsia="MS Mincho"/>
                <w:sz w:val="16"/>
                <w:lang w:val="en-US"/>
              </w:rPr>
              <w:t>density</w:t>
            </w:r>
            <w:r w:rsidRPr="00C53492">
              <w:rPr>
                <w:rFonts w:eastAsia="MS Mincho"/>
                <w:sz w:val="16"/>
                <w:lang w:val="en-US"/>
              </w:rPr>
              <w:t xml:space="preserve"> of </w:t>
            </w:r>
            <w:proofErr w:type="spellStart"/>
            <w:r w:rsidRPr="00C53492">
              <w:rPr>
                <w:rFonts w:eastAsia="MS Mincho"/>
                <w:sz w:val="16"/>
                <w:lang w:val="en-US"/>
              </w:rPr>
              <w:t>microinvertebrate</w:t>
            </w:r>
            <w:proofErr w:type="spellEnd"/>
            <w:r w:rsidRPr="00C53492">
              <w:rPr>
                <w:rFonts w:eastAsia="MS Mincho"/>
                <w:sz w:val="16"/>
                <w:lang w:val="en-US"/>
              </w:rPr>
              <w:t xml:space="preserve"> fish prey species during spring by an average of 37% across all years, with CEW accounting for </w:t>
            </w:r>
            <w:r>
              <w:rPr>
                <w:rFonts w:eastAsia="MS Mincho"/>
                <w:sz w:val="16"/>
                <w:lang w:val="en-US"/>
              </w:rPr>
              <w:t>86</w:t>
            </w:r>
            <w:r w:rsidRPr="00C53492">
              <w:rPr>
                <w:rFonts w:eastAsia="MS Mincho"/>
                <w:sz w:val="16"/>
                <w:lang w:val="en-US"/>
              </w:rPr>
              <w:t>%</w:t>
            </w:r>
            <w:r>
              <w:rPr>
                <w:rFonts w:eastAsia="MS Mincho"/>
                <w:sz w:val="16"/>
                <w:lang w:val="en-US"/>
              </w:rPr>
              <w:t xml:space="preserve"> of this</w:t>
            </w:r>
            <w:r w:rsidRPr="00C53492">
              <w:rPr>
                <w:rFonts w:eastAsia="MS Mincho"/>
                <w:sz w:val="16"/>
                <w:lang w:val="en-US"/>
              </w:rPr>
              <w:t xml:space="preserve">. </w:t>
            </w:r>
          </w:p>
        </w:tc>
      </w:tr>
    </w:tbl>
    <w:p w14:paraId="25DEC6FA" w14:textId="77777777" w:rsidR="00EA35F8" w:rsidRPr="0056058B" w:rsidRDefault="00EA35F8" w:rsidP="00EA35F8">
      <w:pPr>
        <w:spacing w:after="0"/>
        <w:contextualSpacing/>
        <w:rPr>
          <w:sz w:val="19"/>
          <w:szCs w:val="19"/>
        </w:rPr>
      </w:pPr>
      <w:r w:rsidRPr="0056058B">
        <w:rPr>
          <w:sz w:val="19"/>
          <w:szCs w:val="19"/>
        </w:rPr>
        <w:t xml:space="preserve">* = additional management levers were also used (Appendix B) </w:t>
      </w:r>
    </w:p>
    <w:p w14:paraId="6E84343E" w14:textId="77777777" w:rsidR="00EA35F8" w:rsidRPr="00863BAE" w:rsidRDefault="00EA35F8" w:rsidP="00EA35F8">
      <w:pPr>
        <w:spacing w:before="0" w:after="0" w:line="240" w:lineRule="auto"/>
        <w:jc w:val="left"/>
        <w:rPr>
          <w:color w:val="auto"/>
          <w:kern w:val="0"/>
          <w:sz w:val="4"/>
          <w:szCs w:val="4"/>
          <w:lang w:val="en-US" w:bidi="en-US"/>
        </w:rPr>
      </w:pPr>
    </w:p>
    <w:p w14:paraId="60D51D0A" w14:textId="77777777" w:rsidR="00EA35F8" w:rsidRPr="00FF1A94" w:rsidRDefault="00EA35F8" w:rsidP="00EA35F8">
      <w:pPr>
        <w:spacing w:before="0" w:after="0" w:line="240" w:lineRule="auto"/>
        <w:jc w:val="left"/>
        <w:rPr>
          <w:color w:val="auto"/>
          <w:kern w:val="0"/>
          <w:sz w:val="18"/>
          <w:szCs w:val="19"/>
          <w:lang w:val="en-US" w:bidi="en-US"/>
        </w:rPr>
      </w:pPr>
      <w:r w:rsidRPr="00FF1A94">
        <w:rPr>
          <w:color w:val="auto"/>
          <w:kern w:val="0"/>
          <w:sz w:val="18"/>
          <w:szCs w:val="19"/>
          <w:lang w:val="en-US" w:bidi="en-US"/>
        </w:rPr>
        <w:t>Contribution (to what extent CEW contributed towards the outcome, with the significance of the outcome considered):</w:t>
      </w:r>
    </w:p>
    <w:tbl>
      <w:tblPr>
        <w:tblW w:w="8252" w:type="dxa"/>
        <w:tblLook w:val="04A0" w:firstRow="1" w:lastRow="0" w:firstColumn="1" w:lastColumn="0" w:noHBand="0" w:noVBand="1"/>
      </w:tblPr>
      <w:tblGrid>
        <w:gridCol w:w="222"/>
        <w:gridCol w:w="1066"/>
        <w:gridCol w:w="222"/>
        <w:gridCol w:w="1069"/>
        <w:gridCol w:w="222"/>
        <w:gridCol w:w="1704"/>
        <w:gridCol w:w="222"/>
        <w:gridCol w:w="727"/>
        <w:gridCol w:w="222"/>
        <w:gridCol w:w="1144"/>
        <w:gridCol w:w="236"/>
        <w:gridCol w:w="1196"/>
      </w:tblGrid>
      <w:tr w:rsidR="00EA35F8" w:rsidRPr="00040AC2" w14:paraId="7356C287" w14:textId="77777777" w:rsidTr="008C15ED">
        <w:tc>
          <w:tcPr>
            <w:tcW w:w="222" w:type="dxa"/>
            <w:shd w:val="clear" w:color="auto" w:fill="D9D9D9" w:themeFill="background1" w:themeFillShade="D9"/>
          </w:tcPr>
          <w:p w14:paraId="6AC805D6" w14:textId="77777777" w:rsidR="00EA35F8" w:rsidRPr="00FF1A94" w:rsidRDefault="00EA35F8" w:rsidP="008C15ED">
            <w:pPr>
              <w:contextualSpacing/>
              <w:rPr>
                <w:sz w:val="18"/>
                <w:szCs w:val="19"/>
              </w:rPr>
            </w:pPr>
          </w:p>
        </w:tc>
        <w:tc>
          <w:tcPr>
            <w:tcW w:w="1066" w:type="dxa"/>
            <w:vAlign w:val="center"/>
          </w:tcPr>
          <w:p w14:paraId="1694D097" w14:textId="77777777" w:rsidR="00EA35F8" w:rsidRPr="00FF1A94" w:rsidRDefault="00EA35F8" w:rsidP="008C15ED">
            <w:pPr>
              <w:contextualSpacing/>
              <w:rPr>
                <w:sz w:val="18"/>
                <w:szCs w:val="19"/>
              </w:rPr>
            </w:pPr>
            <w:r w:rsidRPr="00FF1A94">
              <w:rPr>
                <w:sz w:val="18"/>
                <w:szCs w:val="19"/>
              </w:rPr>
              <w:t>Unknown</w:t>
            </w:r>
          </w:p>
        </w:tc>
        <w:tc>
          <w:tcPr>
            <w:tcW w:w="222" w:type="dxa"/>
            <w:shd w:val="clear" w:color="auto" w:fill="FF0000"/>
            <w:vAlign w:val="center"/>
          </w:tcPr>
          <w:p w14:paraId="6612EF6B" w14:textId="77777777" w:rsidR="00EA35F8" w:rsidRPr="00FF1A94" w:rsidRDefault="00EA35F8" w:rsidP="008C15ED">
            <w:pPr>
              <w:contextualSpacing/>
              <w:rPr>
                <w:sz w:val="18"/>
                <w:szCs w:val="19"/>
              </w:rPr>
            </w:pPr>
          </w:p>
        </w:tc>
        <w:tc>
          <w:tcPr>
            <w:tcW w:w="1069" w:type="dxa"/>
            <w:vAlign w:val="center"/>
          </w:tcPr>
          <w:p w14:paraId="7F77CF68" w14:textId="77777777" w:rsidR="00EA35F8" w:rsidRPr="00FF1A94" w:rsidRDefault="00EA35F8" w:rsidP="008C15ED">
            <w:pPr>
              <w:contextualSpacing/>
              <w:rPr>
                <w:sz w:val="18"/>
                <w:szCs w:val="19"/>
              </w:rPr>
            </w:pPr>
            <w:r w:rsidRPr="00FF1A94">
              <w:rPr>
                <w:sz w:val="18"/>
                <w:szCs w:val="19"/>
              </w:rPr>
              <w:t>Negative</w:t>
            </w:r>
          </w:p>
        </w:tc>
        <w:tc>
          <w:tcPr>
            <w:tcW w:w="222" w:type="dxa"/>
            <w:shd w:val="clear" w:color="auto" w:fill="E2EFD9" w:themeFill="accent6" w:themeFillTint="33"/>
            <w:vAlign w:val="center"/>
          </w:tcPr>
          <w:p w14:paraId="325CCC6E" w14:textId="77777777" w:rsidR="00EA35F8" w:rsidRPr="00FF1A94" w:rsidRDefault="00EA35F8" w:rsidP="008C15ED">
            <w:pPr>
              <w:contextualSpacing/>
              <w:rPr>
                <w:sz w:val="18"/>
                <w:szCs w:val="19"/>
              </w:rPr>
            </w:pPr>
          </w:p>
        </w:tc>
        <w:tc>
          <w:tcPr>
            <w:tcW w:w="1704" w:type="dxa"/>
            <w:vAlign w:val="center"/>
          </w:tcPr>
          <w:p w14:paraId="2D1B7759" w14:textId="77777777" w:rsidR="00EA35F8" w:rsidRPr="00FF1A94" w:rsidRDefault="00EA35F8" w:rsidP="008C15ED">
            <w:pPr>
              <w:contextualSpacing/>
              <w:rPr>
                <w:sz w:val="18"/>
                <w:szCs w:val="19"/>
              </w:rPr>
            </w:pPr>
            <w:r w:rsidRPr="00FF1A94">
              <w:rPr>
                <w:sz w:val="18"/>
                <w:szCs w:val="19"/>
              </w:rPr>
              <w:t>None/negligible</w:t>
            </w:r>
          </w:p>
        </w:tc>
        <w:tc>
          <w:tcPr>
            <w:tcW w:w="222" w:type="dxa"/>
            <w:shd w:val="clear" w:color="auto" w:fill="A8D08D" w:themeFill="accent6" w:themeFillTint="99"/>
            <w:vAlign w:val="center"/>
          </w:tcPr>
          <w:p w14:paraId="11BE4D94" w14:textId="77777777" w:rsidR="00EA35F8" w:rsidRPr="00FF1A94" w:rsidRDefault="00EA35F8" w:rsidP="008C15ED">
            <w:pPr>
              <w:contextualSpacing/>
              <w:rPr>
                <w:sz w:val="18"/>
                <w:szCs w:val="19"/>
              </w:rPr>
            </w:pPr>
          </w:p>
        </w:tc>
        <w:tc>
          <w:tcPr>
            <w:tcW w:w="727" w:type="dxa"/>
            <w:vAlign w:val="center"/>
          </w:tcPr>
          <w:p w14:paraId="4CB2DBBD" w14:textId="77777777" w:rsidR="00EA35F8" w:rsidRPr="00FF1A94" w:rsidRDefault="00EA35F8" w:rsidP="008C15ED">
            <w:pPr>
              <w:contextualSpacing/>
              <w:rPr>
                <w:sz w:val="18"/>
                <w:szCs w:val="19"/>
              </w:rPr>
            </w:pPr>
            <w:r w:rsidRPr="00FF1A94">
              <w:rPr>
                <w:sz w:val="18"/>
                <w:szCs w:val="19"/>
              </w:rPr>
              <w:t>Minor</w:t>
            </w:r>
          </w:p>
        </w:tc>
        <w:tc>
          <w:tcPr>
            <w:tcW w:w="222" w:type="dxa"/>
            <w:shd w:val="clear" w:color="auto" w:fill="70AD47" w:themeFill="accent6"/>
            <w:vAlign w:val="center"/>
          </w:tcPr>
          <w:p w14:paraId="04A4CB9D" w14:textId="77777777" w:rsidR="00EA35F8" w:rsidRPr="00FF1A94" w:rsidRDefault="00EA35F8" w:rsidP="008C15ED">
            <w:pPr>
              <w:contextualSpacing/>
              <w:rPr>
                <w:sz w:val="18"/>
                <w:szCs w:val="19"/>
              </w:rPr>
            </w:pPr>
          </w:p>
        </w:tc>
        <w:tc>
          <w:tcPr>
            <w:tcW w:w="1144" w:type="dxa"/>
            <w:vAlign w:val="center"/>
          </w:tcPr>
          <w:p w14:paraId="4123F35E" w14:textId="77777777" w:rsidR="00EA35F8" w:rsidRPr="00FF1A94" w:rsidRDefault="00EA35F8" w:rsidP="008C15ED">
            <w:pPr>
              <w:contextualSpacing/>
              <w:rPr>
                <w:sz w:val="18"/>
                <w:szCs w:val="19"/>
              </w:rPr>
            </w:pPr>
            <w:r w:rsidRPr="00FF1A94">
              <w:rPr>
                <w:sz w:val="18"/>
                <w:szCs w:val="19"/>
              </w:rPr>
              <w:t>Moderate</w:t>
            </w:r>
          </w:p>
        </w:tc>
        <w:tc>
          <w:tcPr>
            <w:tcW w:w="236" w:type="dxa"/>
            <w:shd w:val="clear" w:color="auto" w:fill="5B9BD5" w:themeFill="accent1"/>
          </w:tcPr>
          <w:p w14:paraId="1B3C32DE" w14:textId="77777777" w:rsidR="00EA35F8" w:rsidRPr="00FF1A94" w:rsidRDefault="00EA35F8" w:rsidP="008C15ED">
            <w:pPr>
              <w:contextualSpacing/>
              <w:rPr>
                <w:sz w:val="18"/>
                <w:szCs w:val="19"/>
              </w:rPr>
            </w:pPr>
          </w:p>
        </w:tc>
        <w:tc>
          <w:tcPr>
            <w:tcW w:w="1196" w:type="dxa"/>
            <w:vAlign w:val="center"/>
          </w:tcPr>
          <w:p w14:paraId="6F7840B1" w14:textId="77777777" w:rsidR="00EA35F8" w:rsidRPr="00E10F75" w:rsidRDefault="00EA35F8" w:rsidP="008C15ED">
            <w:pPr>
              <w:contextualSpacing/>
              <w:jc w:val="left"/>
              <w:rPr>
                <w:sz w:val="18"/>
                <w:szCs w:val="19"/>
              </w:rPr>
            </w:pPr>
            <w:r w:rsidRPr="00FF1A94">
              <w:rPr>
                <w:sz w:val="18"/>
                <w:szCs w:val="19"/>
              </w:rPr>
              <w:t>Substantial</w:t>
            </w:r>
          </w:p>
        </w:tc>
      </w:tr>
    </w:tbl>
    <w:p w14:paraId="6271BB8A" w14:textId="77777777" w:rsidR="00EA35F8" w:rsidRDefault="00EA35F8" w:rsidP="00EA35F8">
      <w:pPr>
        <w:pStyle w:val="Heading3"/>
      </w:pPr>
      <w:r w:rsidRPr="00E35C12">
        <w:t>Discussion</w:t>
      </w:r>
    </w:p>
    <w:p w14:paraId="403478C5" w14:textId="729072C3" w:rsidR="00EA35F8" w:rsidRDefault="00074180" w:rsidP="00EA35F8">
      <w:r>
        <w:t xml:space="preserve">A combination of </w:t>
      </w:r>
      <w:r w:rsidR="00F83531">
        <w:t>trend analyses in observed data</w:t>
      </w:r>
      <w:r>
        <w:t xml:space="preserve"> and </w:t>
      </w:r>
      <w:r w:rsidR="00EA35F8">
        <w:t xml:space="preserve">ecological modelling was used to assess the </w:t>
      </w:r>
      <w:proofErr w:type="spellStart"/>
      <w:r w:rsidR="00EA35F8">
        <w:t>microinvertebrate</w:t>
      </w:r>
      <w:proofErr w:type="spellEnd"/>
      <w:r w:rsidR="00EA35F8">
        <w:t xml:space="preserve"> community and its response to environmental water delivery across all years, with specific interest in the first year of MER sampling (2019-20). Raw data comparison of diversity (taxonomic richness and evenness) and functional group (density) showed that the </w:t>
      </w:r>
      <w:proofErr w:type="spellStart"/>
      <w:r w:rsidR="00EA35F8">
        <w:t>microinvertebrate</w:t>
      </w:r>
      <w:proofErr w:type="spellEnd"/>
      <w:r w:rsidR="00EA35F8">
        <w:t xml:space="preserve"> community in 2019-20 had high density and taxonomic richness during peak environmental water delivery. These increases in taxonomic richness and density at a time of increased flow, suggest that organisms were also being dispersed downstream, </w:t>
      </w:r>
      <w:bookmarkStart w:id="255" w:name="_Hlk63236126"/>
      <w:r w:rsidR="00EA35F8">
        <w:t>a vital process in the protection of species and genetic diversity. Through increases in local richness and the supply of new recruits (in the form o</w:t>
      </w:r>
      <w:r w:rsidR="00BF0952">
        <w:t>f</w:t>
      </w:r>
      <w:r w:rsidR="00EA35F8">
        <w:t xml:space="preserve"> diapause eggs and live organisms) downstream, </w:t>
      </w:r>
      <w:proofErr w:type="gramStart"/>
      <w:r w:rsidR="00EA35F8">
        <w:t>these flow</w:t>
      </w:r>
      <w:proofErr w:type="gramEnd"/>
      <w:r w:rsidR="00EA35F8">
        <w:t xml:space="preserve"> induced responses also support successional processes following future disturbance events (resilience). The increases in density are also likely to have broader outcomes for the aquatic food web, as </w:t>
      </w:r>
      <w:proofErr w:type="spellStart"/>
      <w:r w:rsidR="00EA35F8">
        <w:t>microinvertebrates</w:t>
      </w:r>
      <w:proofErr w:type="spellEnd"/>
      <w:r w:rsidR="00EA35F8">
        <w:t xml:space="preserve"> provide food for a range of higher trophic organisms. The greater the density of </w:t>
      </w:r>
      <w:proofErr w:type="spellStart"/>
      <w:r w:rsidR="00EA35F8">
        <w:t>microinvertebrates</w:t>
      </w:r>
      <w:proofErr w:type="spellEnd"/>
      <w:r w:rsidR="00EA35F8">
        <w:t>, the higher the</w:t>
      </w:r>
      <w:r w:rsidR="00EA35F8" w:rsidRPr="005D62FF">
        <w:t xml:space="preserve"> rate </w:t>
      </w:r>
      <w:r w:rsidR="00EA35F8">
        <w:t xml:space="preserve">of </w:t>
      </w:r>
      <w:r w:rsidR="00EA35F8" w:rsidRPr="005D62FF">
        <w:t>predator-prey encounters</w:t>
      </w:r>
      <w:r w:rsidR="00EA35F8">
        <w:t xml:space="preserve">. This means, predators do not need to utilise as much energy to obtain food to meet their own physiological and behavioural requirements </w:t>
      </w:r>
      <w:r w:rsidR="00EA35F8">
        <w:rPr>
          <w:noProof/>
        </w:rPr>
        <w:t>(Cooper and Goldman 1980; Vinyard 1980)</w:t>
      </w:r>
      <w:r w:rsidR="00EA35F8" w:rsidRPr="00325DBF">
        <w:t>.</w:t>
      </w:r>
      <w:bookmarkEnd w:id="255"/>
      <w:r w:rsidR="00EA35F8">
        <w:t xml:space="preserve"> Assemblages in 2019-20 were characterised by Group 2 taxa (littoral/pelagic rotifers), a group primarily comprised of taxa from the </w:t>
      </w:r>
      <w:proofErr w:type="spellStart"/>
      <w:r w:rsidR="00EA35F8" w:rsidRPr="007A49DD">
        <w:rPr>
          <w:i/>
          <w:iCs/>
        </w:rPr>
        <w:t>Trichocerca</w:t>
      </w:r>
      <w:proofErr w:type="spellEnd"/>
      <w:r w:rsidR="00EA35F8" w:rsidRPr="007A49DD">
        <w:rPr>
          <w:i/>
          <w:iCs/>
        </w:rPr>
        <w:t xml:space="preserve"> </w:t>
      </w:r>
      <w:proofErr w:type="spellStart"/>
      <w:r w:rsidR="00EA35F8" w:rsidRPr="007A49DD">
        <w:rPr>
          <w:i/>
          <w:iCs/>
        </w:rPr>
        <w:t>pusilla</w:t>
      </w:r>
      <w:proofErr w:type="spellEnd"/>
      <w:r w:rsidR="00EA35F8" w:rsidRPr="007A49DD">
        <w:rPr>
          <w:i/>
          <w:iCs/>
        </w:rPr>
        <w:t xml:space="preserve"> </w:t>
      </w:r>
      <w:r w:rsidR="00EA35F8" w:rsidRPr="007A49DD">
        <w:t>complex</w:t>
      </w:r>
      <w:r w:rsidR="00EA35F8">
        <w:rPr>
          <w:rStyle w:val="FootnoteReference"/>
        </w:rPr>
        <w:footnoteReference w:id="7"/>
      </w:r>
      <w:r w:rsidR="00EA35F8">
        <w:t xml:space="preserve">. Previous studies have indicated that these taxa are positively associated with increased flow and longitudinal connectivity during spring </w:t>
      </w:r>
      <w:r w:rsidR="00EA35F8">
        <w:rPr>
          <w:noProof/>
        </w:rPr>
        <w:t xml:space="preserve">(see Furst </w:t>
      </w:r>
      <w:r w:rsidR="00EA35F8" w:rsidRPr="00BE1769">
        <w:rPr>
          <w:i/>
          <w:iCs/>
          <w:noProof/>
        </w:rPr>
        <w:t>et al</w:t>
      </w:r>
      <w:r w:rsidR="00EA35F8">
        <w:rPr>
          <w:noProof/>
        </w:rPr>
        <w:t>. 2017</w:t>
      </w:r>
      <w:r w:rsidR="00F426B8">
        <w:rPr>
          <w:noProof/>
        </w:rPr>
        <w:t>,</w:t>
      </w:r>
      <w:r w:rsidR="00EA35F8">
        <w:rPr>
          <w:noProof/>
        </w:rPr>
        <w:t xml:space="preserve"> 2018</w:t>
      </w:r>
      <w:r w:rsidR="00F426B8">
        <w:rPr>
          <w:noProof/>
        </w:rPr>
        <w:t>,</w:t>
      </w:r>
      <w:r w:rsidR="00EA35F8">
        <w:rPr>
          <w:noProof/>
        </w:rPr>
        <w:t xml:space="preserve"> 2020)</w:t>
      </w:r>
      <w:r w:rsidR="00EA35F8">
        <w:t xml:space="preserve">. Therefore, these increases are likely to be related to the timing and longitudinal connectivity achieved through environmental water delivery in 2019-20. </w:t>
      </w:r>
    </w:p>
    <w:p w14:paraId="3809FD07" w14:textId="77777777" w:rsidR="00EA35F8" w:rsidRDefault="00EA35F8" w:rsidP="00EA35F8">
      <w:r>
        <w:t xml:space="preserve">Results of modelling using all data (that is, including LTIM and MER samples), showed clear benefits for </w:t>
      </w:r>
      <w:proofErr w:type="spellStart"/>
      <w:r>
        <w:t>microinvertebrate</w:t>
      </w:r>
      <w:proofErr w:type="spellEnd"/>
      <w:r>
        <w:t xml:space="preserve"> density and richness from environmental water delivery. These benefits were highest for floodplain dependent taxa and during ‘dry’ years (2015-16, 2017-18 and 2019-20). This was particularly apparent in spring prey species density estimates, where Commonwealth environmental water alone were predicted to have attributed to between 36 and 59% of observed values. Numerically, this represents between 23 and 64 </w:t>
      </w:r>
      <w:proofErr w:type="spellStart"/>
      <w:r>
        <w:t>ind</w:t>
      </w:r>
      <w:proofErr w:type="spellEnd"/>
      <w:r>
        <w:t>/L of prey species density, a substantial contribution to riverine productivity during low flow years.</w:t>
      </w:r>
    </w:p>
    <w:p w14:paraId="723CB8C0" w14:textId="77777777" w:rsidR="00EA35F8" w:rsidRPr="00822D4C" w:rsidRDefault="00EA35F8" w:rsidP="00EA35F8">
      <w:pPr>
        <w:rPr>
          <w:bCs/>
          <w:i/>
          <w:iCs/>
          <w:u w:val="single"/>
        </w:rPr>
      </w:pPr>
      <w:r w:rsidRPr="00822D4C">
        <w:rPr>
          <w:bCs/>
          <w:i/>
          <w:iCs/>
          <w:u w:val="single"/>
        </w:rPr>
        <w:t>Diversity (taxonomic richness and evenness) patterns</w:t>
      </w:r>
    </w:p>
    <w:p w14:paraId="1E889B55" w14:textId="4D6A5593" w:rsidR="00EA35F8" w:rsidRDefault="00EA35F8" w:rsidP="00EA35F8">
      <w:r w:rsidRPr="00160BD2">
        <w:t>In interpreting the 2019</w:t>
      </w:r>
      <w:r>
        <w:t>-</w:t>
      </w:r>
      <w:r w:rsidRPr="00160BD2">
        <w:t>20 data against the LTIM period, changes in the spatial sampling design warrant a degree of caution. However,</w:t>
      </w:r>
      <w:r>
        <w:t xml:space="preserve"> the similarity with</w:t>
      </w:r>
      <w:r w:rsidRPr="00160BD2">
        <w:t xml:space="preserve"> water year 2014</w:t>
      </w:r>
      <w:r>
        <w:t>-</w:t>
      </w:r>
      <w:r w:rsidRPr="00160BD2">
        <w:t xml:space="preserve">15 </w:t>
      </w:r>
      <w:r>
        <w:t>increases confidence, as both years</w:t>
      </w:r>
      <w:r w:rsidRPr="00160BD2">
        <w:t xml:space="preserve"> </w:t>
      </w:r>
      <w:r>
        <w:t xml:space="preserve">had comparable </w:t>
      </w:r>
      <w:r w:rsidRPr="00160BD2">
        <w:t>statistics</w:t>
      </w:r>
      <w:r>
        <w:t>,</w:t>
      </w:r>
      <w:r w:rsidRPr="00160BD2">
        <w:t xml:space="preserve"> featuring similarly high richness, high </w:t>
      </w:r>
      <w:proofErr w:type="gramStart"/>
      <w:r w:rsidRPr="00160BD2">
        <w:t>densit</w:t>
      </w:r>
      <w:r>
        <w:t>ies</w:t>
      </w:r>
      <w:proofErr w:type="gramEnd"/>
      <w:r w:rsidRPr="00160BD2">
        <w:t xml:space="preserve"> and low evenness. </w:t>
      </w:r>
      <w:r>
        <w:t xml:space="preserve">Taxonomic richness was the highest of any year </w:t>
      </w:r>
      <w:r w:rsidR="000022B1">
        <w:t>in 20</w:t>
      </w:r>
      <w:r w:rsidR="000022B1" w:rsidRPr="00634B98">
        <w:t>19-20 (18.3 ±</w:t>
      </w:r>
      <w:r w:rsidR="000022B1">
        <w:t xml:space="preserve"> </w:t>
      </w:r>
      <w:r w:rsidR="000022B1" w:rsidRPr="00DE42A8">
        <w:t>0.59</w:t>
      </w:r>
      <w:r w:rsidR="000022B1">
        <w:t xml:space="preserve"> </w:t>
      </w:r>
      <w:proofErr w:type="spellStart"/>
      <w:r w:rsidR="000022B1">
        <w:t>ind</w:t>
      </w:r>
      <w:proofErr w:type="spellEnd"/>
      <w:r w:rsidR="000022B1">
        <w:t>/L) (indicative of high resilience), while taxonomic evenness was low (suggesting a community where most individuals belong to one or a few taxa and many taxa are rare and indicative of low resistance) in comparison to all other years (0.69 ± 0.02), except for 2014-15 (</w:t>
      </w:r>
      <w:r w:rsidR="000022B1" w:rsidRPr="008173AD">
        <w:t>0.66 ± 0.02</w:t>
      </w:r>
      <w:r w:rsidR="000022B1">
        <w:t>). See Appendix D for further explanation of resistance and resilience.</w:t>
      </w:r>
    </w:p>
    <w:p w14:paraId="79BBCFD6" w14:textId="1A0BD7CF" w:rsidR="00EA35F8" w:rsidRDefault="00074180" w:rsidP="00EA35F8">
      <w:r>
        <w:t xml:space="preserve">Tellingly, </w:t>
      </w:r>
      <w:r w:rsidR="00EA35F8">
        <w:t>a similarity between the 2014-15 and 2019-20 sampling periods was the occurrence of large spring/summer floods in the prior two to three water years. Large spring/summer floods are likely to drive dispersal and productivity</w:t>
      </w:r>
      <w:r w:rsidR="00EA35F8" w:rsidRPr="00067472">
        <w:t xml:space="preserve"> </w:t>
      </w:r>
      <w:r w:rsidR="00EA35F8">
        <w:t xml:space="preserve">simultaneously, replenishing the </w:t>
      </w:r>
      <w:proofErr w:type="spellStart"/>
      <w:r w:rsidR="00EA35F8">
        <w:t>microinvertebrate</w:t>
      </w:r>
      <w:proofErr w:type="spellEnd"/>
      <w:r w:rsidR="00EA35F8">
        <w:t xml:space="preserve"> </w:t>
      </w:r>
      <w:proofErr w:type="spellStart"/>
      <w:r w:rsidR="00EA35F8">
        <w:t>eggbank</w:t>
      </w:r>
      <w:proofErr w:type="spellEnd"/>
      <w:r w:rsidR="00EA35F8">
        <w:t xml:space="preserve"> throughout the </w:t>
      </w:r>
      <w:r w:rsidR="00EA35F8" w:rsidRPr="001E11D2">
        <w:t xml:space="preserve">system (e.g. </w:t>
      </w:r>
      <w:r w:rsidR="0089410C" w:rsidRPr="001E11D2">
        <w:t xml:space="preserve">Junk </w:t>
      </w:r>
      <w:r w:rsidR="0089410C" w:rsidRPr="00BE1769">
        <w:rPr>
          <w:i/>
          <w:iCs/>
        </w:rPr>
        <w:t>et al</w:t>
      </w:r>
      <w:r w:rsidR="0089410C" w:rsidRPr="001E11D2">
        <w:t>. 1989</w:t>
      </w:r>
      <w:r w:rsidR="0089410C">
        <w:t xml:space="preserve">; </w:t>
      </w:r>
      <w:r w:rsidR="00EA35F8" w:rsidRPr="001E11D2">
        <w:t xml:space="preserve">Jenkins and Boulton 2003). </w:t>
      </w:r>
      <w:r w:rsidR="00EA35F8">
        <w:t xml:space="preserve">Over time however, </w:t>
      </w:r>
      <w:proofErr w:type="spellStart"/>
      <w:r w:rsidR="00EA35F8">
        <w:t>eggbanks</w:t>
      </w:r>
      <w:proofErr w:type="spellEnd"/>
      <w:r w:rsidR="00EA35F8">
        <w:t xml:space="preserve"> degrade, where some taxa are more prone to degradation than </w:t>
      </w:r>
      <w:r w:rsidR="00EA35F8" w:rsidRPr="001E11D2">
        <w:t>others (</w:t>
      </w:r>
      <w:proofErr w:type="spellStart"/>
      <w:r w:rsidR="00EA35F8" w:rsidRPr="001E11D2">
        <w:t>Brendonck</w:t>
      </w:r>
      <w:proofErr w:type="spellEnd"/>
      <w:r w:rsidR="00EA35F8" w:rsidRPr="001E11D2">
        <w:t xml:space="preserve"> and De </w:t>
      </w:r>
      <w:proofErr w:type="spellStart"/>
      <w:r w:rsidR="00EA35F8" w:rsidRPr="001E11D2">
        <w:t>Meester</w:t>
      </w:r>
      <w:proofErr w:type="spellEnd"/>
      <w:r w:rsidR="00EA35F8" w:rsidRPr="001E11D2">
        <w:t xml:space="preserve"> 2003). </w:t>
      </w:r>
      <w:r w:rsidR="00EA35F8">
        <w:t xml:space="preserve">Therefore, without new recruits, </w:t>
      </w:r>
      <w:proofErr w:type="spellStart"/>
      <w:r w:rsidR="00EA35F8">
        <w:t>eggbanks</w:t>
      </w:r>
      <w:proofErr w:type="spellEnd"/>
      <w:r w:rsidR="00EA35F8">
        <w:t xml:space="preserve"> become less diverse over </w:t>
      </w:r>
      <w:r w:rsidR="00EA35F8" w:rsidRPr="001E11D2">
        <w:t xml:space="preserve">time (e.g. Boulton and Lloyd 1992). </w:t>
      </w:r>
      <w:r w:rsidR="00EA35F8">
        <w:t xml:space="preserve">Consequently, large spring/summer floods are likely to have a temporally declining residual effect (due to the degradation of the </w:t>
      </w:r>
      <w:proofErr w:type="spellStart"/>
      <w:r w:rsidR="00EA35F8">
        <w:t>eggbank</w:t>
      </w:r>
      <w:proofErr w:type="spellEnd"/>
      <w:r w:rsidR="00EA35F8">
        <w:t xml:space="preserve">) on the active community. Disturbance can often increase evenness as it removes dominant </w:t>
      </w:r>
      <w:r w:rsidR="00EA35F8" w:rsidRPr="001E11D2">
        <w:t xml:space="preserve">taxa (Hillebrand </w:t>
      </w:r>
      <w:r w:rsidR="00EA35F8" w:rsidRPr="00BE1769">
        <w:rPr>
          <w:i/>
          <w:iCs/>
        </w:rPr>
        <w:t>et al</w:t>
      </w:r>
      <w:r w:rsidR="00EA35F8" w:rsidRPr="001E11D2">
        <w:t xml:space="preserve">. 2008), as </w:t>
      </w:r>
      <w:r w:rsidR="00EA35F8">
        <w:t>we observe in the 2016-17 data</w:t>
      </w:r>
      <w:r w:rsidR="00BF0952">
        <w:t xml:space="preserve">. Thus, we theorise that the 2014-15 and 2019-20 sampling periods reflect more stable </w:t>
      </w:r>
      <w:proofErr w:type="spellStart"/>
      <w:r w:rsidR="00BF0952">
        <w:t>microinvertebrate</w:t>
      </w:r>
      <w:proofErr w:type="spellEnd"/>
      <w:r w:rsidR="00BF0952">
        <w:t xml:space="preserve"> communities, benefiting from a legacy effect of replenished and diversified floodplain egg banks from the high flow periods throughout much of 2011-12 and 2012-13 and the large flood event during 2016-17. This result highlights one of the many important aspects of frequent large-scale spring/summer floods. While such flood events are not a direct outcome of environmental water, the latter clearly plays a crucial role in maximising the benefits over subsequent years, by maintaining lateral connectivity and transporting </w:t>
      </w:r>
      <w:proofErr w:type="spellStart"/>
      <w:r w:rsidR="00BF0952">
        <w:t>microinvertebrates</w:t>
      </w:r>
      <w:proofErr w:type="spellEnd"/>
      <w:r w:rsidR="00BF0952">
        <w:t xml:space="preserve"> back to the main channel of the river. This effect was evident in the modelling, where in the low flow years following the flood events, 21−31% of the observed density of floodplain-dependent taxa was estimated to be attributable to Commonwealth environmental water.</w:t>
      </w:r>
      <w:r w:rsidR="00BF0952" w:rsidRPr="002264B2">
        <w:t xml:space="preserve"> </w:t>
      </w:r>
      <w:r w:rsidR="00EA35F8" w:rsidRPr="002264B2">
        <w:t xml:space="preserve"> </w:t>
      </w:r>
    </w:p>
    <w:p w14:paraId="35213B48" w14:textId="77777777" w:rsidR="00EA35F8" w:rsidRPr="00822D4C" w:rsidRDefault="00EA35F8" w:rsidP="00EA35F8">
      <w:pPr>
        <w:rPr>
          <w:bCs/>
          <w:i/>
          <w:iCs/>
          <w:u w:val="single"/>
        </w:rPr>
      </w:pPr>
      <w:r w:rsidRPr="00822D4C">
        <w:rPr>
          <w:bCs/>
          <w:i/>
          <w:iCs/>
          <w:u w:val="single"/>
        </w:rPr>
        <w:t>Functional group density</w:t>
      </w:r>
    </w:p>
    <w:p w14:paraId="56EBFA6B" w14:textId="4FD21867" w:rsidR="00EA35F8" w:rsidRDefault="00EA35F8" w:rsidP="00EA35F8">
      <w:r w:rsidRPr="002D201B">
        <w:t>There were clear patterns in the relative dominance of functional groups</w:t>
      </w:r>
      <w:r>
        <w:t>,</w:t>
      </w:r>
      <w:r w:rsidRPr="002D201B">
        <w:t xml:space="preserve"> with </w:t>
      </w:r>
      <w:r>
        <w:t>G</w:t>
      </w:r>
      <w:r w:rsidRPr="002D201B">
        <w:t xml:space="preserve">roup 2 (high density of littoral/pelagic rotifers) </w:t>
      </w:r>
      <w:r>
        <w:t xml:space="preserve">being most dominant in 2019-20. </w:t>
      </w:r>
      <w:r w:rsidRPr="008C0F28">
        <w:t>Group 2 samples</w:t>
      </w:r>
      <w:r>
        <w:t xml:space="preserve"> were</w:t>
      </w:r>
      <w:r w:rsidRPr="008C0F28">
        <w:t xml:space="preserve"> </w:t>
      </w:r>
      <w:r>
        <w:t xml:space="preserve">primarily comprised of taxa from the </w:t>
      </w:r>
      <w:proofErr w:type="spellStart"/>
      <w:r w:rsidRPr="007A49DD">
        <w:rPr>
          <w:i/>
          <w:iCs/>
        </w:rPr>
        <w:t>Trichocerca</w:t>
      </w:r>
      <w:proofErr w:type="spellEnd"/>
      <w:r w:rsidRPr="007A49DD">
        <w:rPr>
          <w:i/>
          <w:iCs/>
        </w:rPr>
        <w:t xml:space="preserve"> </w:t>
      </w:r>
      <w:proofErr w:type="spellStart"/>
      <w:r w:rsidRPr="007A49DD">
        <w:rPr>
          <w:i/>
          <w:iCs/>
        </w:rPr>
        <w:t>pusilla</w:t>
      </w:r>
      <w:proofErr w:type="spellEnd"/>
      <w:r w:rsidRPr="007A49DD">
        <w:rPr>
          <w:i/>
          <w:iCs/>
        </w:rPr>
        <w:t xml:space="preserve"> </w:t>
      </w:r>
      <w:r w:rsidRPr="007A49DD">
        <w:t>complex</w:t>
      </w:r>
      <w:r>
        <w:t xml:space="preserve"> along with </w:t>
      </w:r>
      <w:r w:rsidRPr="007A49DD">
        <w:rPr>
          <w:i/>
          <w:iCs/>
        </w:rPr>
        <w:t xml:space="preserve">T. </w:t>
      </w:r>
      <w:proofErr w:type="spellStart"/>
      <w:r w:rsidRPr="007A49DD">
        <w:rPr>
          <w:i/>
          <w:iCs/>
        </w:rPr>
        <w:t>similis</w:t>
      </w:r>
      <w:proofErr w:type="spellEnd"/>
      <w:r>
        <w:t xml:space="preserve"> and </w:t>
      </w:r>
      <w:r w:rsidRPr="007A49DD">
        <w:rPr>
          <w:i/>
          <w:iCs/>
        </w:rPr>
        <w:t xml:space="preserve">T. </w:t>
      </w:r>
      <w:proofErr w:type="spellStart"/>
      <w:r w:rsidRPr="007A49DD">
        <w:rPr>
          <w:i/>
          <w:iCs/>
        </w:rPr>
        <w:t>similis</w:t>
      </w:r>
      <w:proofErr w:type="spellEnd"/>
      <w:r w:rsidRPr="007A49DD">
        <w:rPr>
          <w:i/>
          <w:iCs/>
        </w:rPr>
        <w:t xml:space="preserve"> grandis</w:t>
      </w:r>
      <w:r>
        <w:t xml:space="preserve">. Group 2 samples </w:t>
      </w:r>
      <w:r w:rsidRPr="008C0F28">
        <w:t xml:space="preserve">were present under all sets of conditions, but most favoured during long-term flows </w:t>
      </w:r>
      <w:r>
        <w:t xml:space="preserve">(mean daily flow over 12-weeks) </w:t>
      </w:r>
      <w:r w:rsidRPr="008C0F28">
        <w:t>exceeding 5.4 G</w:t>
      </w:r>
      <w:r>
        <w:t>L/d</w:t>
      </w:r>
      <w:r w:rsidRPr="008C0F28">
        <w:t xml:space="preserve"> but with relatively constant (or slowly decreasing) flow, or during the month of December.</w:t>
      </w:r>
      <w:r>
        <w:t xml:space="preserve"> This finding is consistent with previous studies which have found these taxa to occur in high density during periods of higher longitudinal connectivity, water velocity and discharge, particularly during the months of October and November within the main channel of the </w:t>
      </w:r>
      <w:r w:rsidR="00CD41EB">
        <w:t>LMR</w:t>
      </w:r>
      <w:r w:rsidRPr="001E11D2">
        <w:t xml:space="preserve"> (Furst </w:t>
      </w:r>
      <w:r w:rsidRPr="00BE1769">
        <w:rPr>
          <w:i/>
          <w:iCs/>
        </w:rPr>
        <w:t>et al.</w:t>
      </w:r>
      <w:r w:rsidRPr="001E11D2">
        <w:t xml:space="preserve"> 2017, 2018; Gibbs </w:t>
      </w:r>
      <w:r w:rsidRPr="00BE1769">
        <w:rPr>
          <w:i/>
          <w:iCs/>
        </w:rPr>
        <w:t>et al.</w:t>
      </w:r>
      <w:r w:rsidRPr="001E11D2">
        <w:t xml:space="preserve"> 2020). Under these conditions, it is possible that a proportion of these organisms are swept from littoral habitat (their preferred habitat</w:t>
      </w:r>
      <w:r w:rsidR="00074180">
        <w:t>,</w:t>
      </w:r>
      <w:r w:rsidRPr="001E11D2">
        <w:t xml:space="preserve"> e.g. </w:t>
      </w:r>
      <w:proofErr w:type="spellStart"/>
      <w:r w:rsidRPr="001E11D2">
        <w:t>Chengalath</w:t>
      </w:r>
      <w:proofErr w:type="spellEnd"/>
      <w:r w:rsidRPr="001E11D2">
        <w:t xml:space="preserve"> and </w:t>
      </w:r>
      <w:proofErr w:type="spellStart"/>
      <w:r w:rsidRPr="001E11D2">
        <w:t>Mulamoottil</w:t>
      </w:r>
      <w:proofErr w:type="spellEnd"/>
      <w:r w:rsidRPr="001E11D2">
        <w:t xml:space="preserve"> 1975), entrained </w:t>
      </w:r>
      <w:r>
        <w:t xml:space="preserve">within the flowing water and moved downstream. Increases in density may then occur due to in-channel reproduction and/or the constant entrainment of these organisms into an envelope of water as it passes downstream. In fact, interruptions to longitudinal connectivity related to diversions and structures that cause decreases in water velocity appear to disrupt longitudinal trends (suggesting interference in transportation) of these organisms </w:t>
      </w:r>
      <w:r w:rsidRPr="001E11D2">
        <w:t xml:space="preserve">(Furst </w:t>
      </w:r>
      <w:r w:rsidRPr="00BE1769">
        <w:rPr>
          <w:i/>
          <w:iCs/>
        </w:rPr>
        <w:t>et al.</w:t>
      </w:r>
      <w:r w:rsidRPr="001E11D2">
        <w:t xml:space="preserve"> 2018). </w:t>
      </w:r>
      <w:r>
        <w:t xml:space="preserve">This and previous studies suggest that peaks in the density of </w:t>
      </w:r>
      <w:r w:rsidRPr="0075222D">
        <w:t>these taxa</w:t>
      </w:r>
      <w:r>
        <w:rPr>
          <w:i/>
        </w:rPr>
        <w:t xml:space="preserve"> </w:t>
      </w:r>
      <w:r>
        <w:t>frequently occur between October and November when water temperatures are between ~19</w:t>
      </w:r>
      <w:r>
        <w:sym w:font="Symbol" w:char="F02D"/>
      </w:r>
      <w:r>
        <w:t xml:space="preserve">21 </w:t>
      </w:r>
      <w:r>
        <w:rPr>
          <w:rFonts w:cstheme="minorHAnsi"/>
        </w:rPr>
        <w:t>°</w:t>
      </w:r>
      <w:r w:rsidRPr="001E11D2">
        <w:t xml:space="preserve">C (Furst </w:t>
      </w:r>
      <w:r w:rsidRPr="00BE1769">
        <w:rPr>
          <w:i/>
          <w:iCs/>
        </w:rPr>
        <w:t>et al.</w:t>
      </w:r>
      <w:r w:rsidRPr="001E11D2">
        <w:t xml:space="preserve"> 2017, 2018). </w:t>
      </w:r>
      <w:r>
        <w:t xml:space="preserve">However, this study also highlighted that peaks also commonly occurred in December in the LMR. One possible explanation for this is that the later peaks may be due to transportation of </w:t>
      </w:r>
      <w:proofErr w:type="spellStart"/>
      <w:r>
        <w:t>microinvertebrates</w:t>
      </w:r>
      <w:proofErr w:type="spellEnd"/>
      <w:r>
        <w:t xml:space="preserve"> from upstream areas (e.g. near Tocumwal) (accounting for travel times), where the required flow and temperature conditions are being met as in the LMR in November. The specific species of higher trophic levels that predate upon </w:t>
      </w:r>
      <w:proofErr w:type="spellStart"/>
      <w:r>
        <w:rPr>
          <w:i/>
        </w:rPr>
        <w:t>Trichocerca</w:t>
      </w:r>
      <w:proofErr w:type="spellEnd"/>
      <w:r>
        <w:rPr>
          <w:i/>
        </w:rPr>
        <w:t xml:space="preserve"> </w:t>
      </w:r>
      <w:r>
        <w:t>species</w:t>
      </w:r>
      <w:r>
        <w:rPr>
          <w:i/>
        </w:rPr>
        <w:t xml:space="preserve"> </w:t>
      </w:r>
      <w:r>
        <w:t xml:space="preserve">in the </w:t>
      </w:r>
      <w:r w:rsidR="00D26B87">
        <w:t>LMR</w:t>
      </w:r>
      <w:r w:rsidRPr="00167D5E">
        <w:t xml:space="preserve"> </w:t>
      </w:r>
      <w:r>
        <w:t xml:space="preserve">have not been identified. However, a number of international studies have found this genus to be an important food resource for both fish </w:t>
      </w:r>
      <w:r>
        <w:rPr>
          <w:noProof/>
        </w:rPr>
        <w:t xml:space="preserve">(e.g. </w:t>
      </w:r>
      <w:r w:rsidR="0089410C">
        <w:rPr>
          <w:noProof/>
        </w:rPr>
        <w:t xml:space="preserve">Van Den Avyle and Wilson 1980; McCullough and Stanley 1981; </w:t>
      </w:r>
      <w:r>
        <w:rPr>
          <w:noProof/>
        </w:rPr>
        <w:t xml:space="preserve">Dev and Rahmatullah 1998; Sampson </w:t>
      </w:r>
      <w:r w:rsidRPr="00BE1769">
        <w:rPr>
          <w:i/>
          <w:iCs/>
          <w:noProof/>
        </w:rPr>
        <w:t>et al.</w:t>
      </w:r>
      <w:r>
        <w:rPr>
          <w:noProof/>
        </w:rPr>
        <w:t xml:space="preserve"> 2009)</w:t>
      </w:r>
      <w:r>
        <w:t xml:space="preserve"> and shrimp </w:t>
      </w:r>
      <w:r>
        <w:rPr>
          <w:noProof/>
        </w:rPr>
        <w:t>(e.g. Grossnickle 2001; Haskell and Stanford 2006)</w:t>
      </w:r>
      <w:r>
        <w:t>.</w:t>
      </w:r>
      <w:r w:rsidR="000022B1">
        <w:t xml:space="preserve"> For more discussion relating to patterns in Group 1 and Group 3 </w:t>
      </w:r>
      <w:proofErr w:type="spellStart"/>
      <w:r w:rsidR="000022B1">
        <w:t>microinvertebrates</w:t>
      </w:r>
      <w:proofErr w:type="spellEnd"/>
      <w:r w:rsidR="000022B1">
        <w:t xml:space="preserve"> in previous years see Appendix D.</w:t>
      </w:r>
    </w:p>
    <w:p w14:paraId="3C3F0DF4" w14:textId="77777777" w:rsidR="00EA35F8" w:rsidRPr="00822D4C" w:rsidRDefault="00EA35F8" w:rsidP="00EA35F8">
      <w:pPr>
        <w:rPr>
          <w:bCs/>
          <w:i/>
          <w:iCs/>
          <w:u w:val="single"/>
        </w:rPr>
      </w:pPr>
      <w:r w:rsidRPr="00822D4C">
        <w:rPr>
          <w:bCs/>
          <w:i/>
          <w:iCs/>
          <w:u w:val="single"/>
        </w:rPr>
        <w:t xml:space="preserve">Modelled effects of environmental flows for </w:t>
      </w:r>
      <w:proofErr w:type="spellStart"/>
      <w:r w:rsidRPr="00822D4C">
        <w:rPr>
          <w:bCs/>
          <w:i/>
          <w:iCs/>
          <w:u w:val="single"/>
        </w:rPr>
        <w:t>microinvertebrates</w:t>
      </w:r>
      <w:proofErr w:type="spellEnd"/>
    </w:p>
    <w:p w14:paraId="5A071012" w14:textId="42AEEA43" w:rsidR="00EA35F8" w:rsidRDefault="000022B1" w:rsidP="00EA35F8">
      <w:r>
        <w:t>Overall, m</w:t>
      </w:r>
      <w:r w:rsidRPr="007E5DB6">
        <w:t xml:space="preserve">odelling demonstrated that environmental water delivery has consistently provided benefits for the </w:t>
      </w:r>
      <w:proofErr w:type="spellStart"/>
      <w:r w:rsidRPr="007E5DB6">
        <w:t>microinvertebrate</w:t>
      </w:r>
      <w:proofErr w:type="spellEnd"/>
      <w:r w:rsidRPr="007E5DB6">
        <w:t xml:space="preserve"> community</w:t>
      </w:r>
      <w:r>
        <w:t xml:space="preserve"> in the LMR. All three hypotheses under test were clearly supported.</w:t>
      </w:r>
      <w:r w:rsidR="00EA35F8">
        <w:t xml:space="preserve"> </w:t>
      </w:r>
    </w:p>
    <w:p w14:paraId="5C0078D9" w14:textId="77777777" w:rsidR="00EA35F8" w:rsidRDefault="00EA35F8" w:rsidP="00EA35F8">
      <w:r>
        <w:t xml:space="preserve">The first hypothesis was that </w:t>
      </w:r>
      <w:r w:rsidRPr="008F2026">
        <w:rPr>
          <w:i/>
        </w:rPr>
        <w:t xml:space="preserve">overall </w:t>
      </w:r>
      <w:proofErr w:type="spellStart"/>
      <w:r w:rsidRPr="008F2026">
        <w:rPr>
          <w:i/>
        </w:rPr>
        <w:t>microinvertebrate</w:t>
      </w:r>
      <w:proofErr w:type="spellEnd"/>
      <w:r w:rsidRPr="008F2026">
        <w:rPr>
          <w:i/>
        </w:rPr>
        <w:t xml:space="preserve"> density, and taxonomic richness, will increase </w:t>
      </w:r>
      <w:r>
        <w:rPr>
          <w:i/>
        </w:rPr>
        <w:t>with</w:t>
      </w:r>
      <w:r w:rsidRPr="008F2026">
        <w:rPr>
          <w:i/>
        </w:rPr>
        <w:t xml:space="preserve"> environmental </w:t>
      </w:r>
      <w:r>
        <w:rPr>
          <w:i/>
        </w:rPr>
        <w:t>water</w:t>
      </w:r>
      <w:r w:rsidRPr="008F2026">
        <w:rPr>
          <w:i/>
        </w:rPr>
        <w:t xml:space="preserve"> due to the combined effects of longitudinal transport and improved lateral connectivity with off-channel habitats</w:t>
      </w:r>
      <w:r w:rsidRPr="008F2026">
        <w:t>.</w:t>
      </w:r>
      <w:r>
        <w:t xml:space="preserve"> Modelling indicated that in 2019-20, there was a higher than usual benefit from Commonwealth environmental water, representing</w:t>
      </w:r>
      <w:r w:rsidRPr="00107D2F">
        <w:t xml:space="preserve"> a predicted </w:t>
      </w:r>
      <w:r>
        <w:t>23</w:t>
      </w:r>
      <w:r w:rsidRPr="00107D2F">
        <w:t>% increase</w:t>
      </w:r>
      <w:r>
        <w:t xml:space="preserve"> in density,</w:t>
      </w:r>
      <w:r w:rsidRPr="00107D2F">
        <w:t xml:space="preserve"> </w:t>
      </w:r>
      <w:r>
        <w:t>compared with the all-years average of 18%. As discussed above, we speculate this could be a legacy effect of large flood events in the recent flow history. Predictably, because of its correlation with density, taxonomic richness also increased due to Commonwealth environmental water, although the proportional increase was only 9% across all years and 10% in 2019-20. Due to the high correlation between density and richness, the testing of other hypotheses focused only on estimating changes in density.</w:t>
      </w:r>
    </w:p>
    <w:p w14:paraId="192915C5" w14:textId="742887CE" w:rsidR="00EA35F8" w:rsidRPr="00167D5E" w:rsidRDefault="00EA35F8" w:rsidP="00EA35F8">
      <w:pPr>
        <w:rPr>
          <w:iCs/>
        </w:rPr>
      </w:pPr>
      <w:r>
        <w:t>The second hypothesis was</w:t>
      </w:r>
      <w:r w:rsidR="005E53ED">
        <w:t xml:space="preserve"> that</w:t>
      </w:r>
      <w:r w:rsidR="00F15B71" w:rsidRPr="00F15B71">
        <w:rPr>
          <w:i/>
        </w:rPr>
        <w:t xml:space="preserve"> density will increase for ‘floodplain associated’ </w:t>
      </w:r>
      <w:proofErr w:type="spellStart"/>
      <w:r w:rsidR="00F15B71" w:rsidRPr="00F15B71">
        <w:rPr>
          <w:i/>
        </w:rPr>
        <w:t>microinvertebrates</w:t>
      </w:r>
      <w:proofErr w:type="spellEnd"/>
      <w:r w:rsidR="00F15B71" w:rsidRPr="00F15B71">
        <w:rPr>
          <w:i/>
        </w:rPr>
        <w:t xml:space="preserve"> during periods of greater floodplain inundation (H2a) and for those that are likely to be transported to the LMR from upstream during periods of high longitudinal connectivity (H2b). </w:t>
      </w:r>
      <w:r>
        <w:rPr>
          <w:iCs/>
        </w:rPr>
        <w:t xml:space="preserve">Both H2a and H2b were supported, with similar level of effect to that found for all taxa (~19% overall) but a greater contribution attributable to </w:t>
      </w:r>
      <w:r>
        <w:t>Commonwealth environmental water</w:t>
      </w:r>
      <w:r>
        <w:rPr>
          <w:iCs/>
        </w:rPr>
        <w:t xml:space="preserve"> for lateral connectivity dependent taxa (~85%).</w:t>
      </w:r>
      <w:bookmarkStart w:id="256" w:name="_Hlk62826751"/>
      <w:r w:rsidRPr="00BD0F7A">
        <w:rPr>
          <w:iCs/>
        </w:rPr>
        <w:t xml:space="preserve"> </w:t>
      </w:r>
      <w:r>
        <w:rPr>
          <w:iCs/>
        </w:rPr>
        <w:t>This dispersal, both longitudinally and laterally, are important</w:t>
      </w:r>
      <w:r w:rsidRPr="00822D4C">
        <w:rPr>
          <w:iCs/>
        </w:rPr>
        <w:t xml:space="preserve"> processes in the preservation of species and genetic diversity, through the supply of new recruits to downstream habitats</w:t>
      </w:r>
      <w:r>
        <w:rPr>
          <w:iCs/>
        </w:rPr>
        <w:t xml:space="preserve"> (spatial dispersal)</w:t>
      </w:r>
      <w:r w:rsidRPr="00822D4C">
        <w:rPr>
          <w:iCs/>
        </w:rPr>
        <w:t xml:space="preserve"> and the egg bank</w:t>
      </w:r>
      <w:r>
        <w:rPr>
          <w:iCs/>
        </w:rPr>
        <w:t xml:space="preserve"> (temporal dispersal)</w:t>
      </w:r>
      <w:r w:rsidRPr="00822D4C">
        <w:rPr>
          <w:iCs/>
        </w:rPr>
        <w:t>.</w:t>
      </w:r>
    </w:p>
    <w:bookmarkEnd w:id="256"/>
    <w:p w14:paraId="7BDDFBD3" w14:textId="77777777" w:rsidR="000022B1" w:rsidRDefault="000022B1" w:rsidP="000022B1">
      <w:r>
        <w:t xml:space="preserve">The third hypothesis was that </w:t>
      </w:r>
      <w:r w:rsidRPr="009558AF">
        <w:rPr>
          <w:i/>
        </w:rPr>
        <w:t xml:space="preserve">environmental </w:t>
      </w:r>
      <w:r>
        <w:rPr>
          <w:i/>
        </w:rPr>
        <w:t>water delivery</w:t>
      </w:r>
      <w:r w:rsidRPr="009558AF">
        <w:rPr>
          <w:i/>
        </w:rPr>
        <w:t xml:space="preserve"> during spring months will increase the density of preferred </w:t>
      </w:r>
      <w:proofErr w:type="spellStart"/>
      <w:r w:rsidRPr="009558AF">
        <w:rPr>
          <w:i/>
        </w:rPr>
        <w:t>microinvertebrate</w:t>
      </w:r>
      <w:proofErr w:type="spellEnd"/>
      <w:r w:rsidRPr="009558AF">
        <w:rPr>
          <w:i/>
        </w:rPr>
        <w:t xml:space="preserve"> prey species for fish</w:t>
      </w:r>
      <w:r w:rsidRPr="00F1771B">
        <w:rPr>
          <w:i/>
        </w:rPr>
        <w:t>.</w:t>
      </w:r>
      <w:r>
        <w:t xml:space="preserve"> This hypothesis had the strongest support, particularly for low flow years. Modelling estimated that in 2019-20, the density of prey species in spring would have been ~37% lower without Commonwealth environmental water. </w:t>
      </w:r>
    </w:p>
    <w:p w14:paraId="7F94DE8B" w14:textId="0E12BC1A" w:rsidR="00EA35F8" w:rsidRPr="00E05741" w:rsidRDefault="000022B1" w:rsidP="000022B1">
      <w:r>
        <w:t xml:space="preserve">In 2019-20, environmental water was delivered in November/December, resulting in an in-channel flow pulse of ~15,000 ML/d. It is likely that the increases were driven by a combination of the flushing of weir pools and the inundation of temporary habitats adjoining the river such as backwaters, low-lying wetlands and floodplain, triggering emergence from the egg-bank and providing habitat for reproduction. Additionally, improved lateral connectivity due to environmental water probably increased the access to floodplain egg-banks replenished in 2016-17, a flood year, therefore greater </w:t>
      </w:r>
      <w:proofErr w:type="spellStart"/>
      <w:r>
        <w:t>microinvertebrate</w:t>
      </w:r>
      <w:proofErr w:type="spellEnd"/>
      <w:r>
        <w:t xml:space="preserve"> increases were observed in 2017-18 than 2019-20.</w:t>
      </w:r>
    </w:p>
    <w:p w14:paraId="0D2A711C" w14:textId="2DAEF67F" w:rsidR="00EA35F8" w:rsidRDefault="00EA35F8" w:rsidP="00EA35F8">
      <w:r>
        <w:t xml:space="preserve">Unsurprisingly, models selected several common predictors, including hydrological, inundated floodplain areas and physiochemical predictors along with some two-way interactions. Firstly, despite a high correlation with flow being evident for all periods, the influence of flow tended to be more predictive using longer periods (e.g. 12 weeks) than mean daily flows. The positive coefficient estimates are evidence that delivery of </w:t>
      </w:r>
      <w:r w:rsidRPr="00FB1FE9">
        <w:t xml:space="preserve">more water over a longer period is </w:t>
      </w:r>
      <w:r>
        <w:t>generally going to achieve better outcomes.</w:t>
      </w:r>
      <w:r w:rsidRPr="00FB1FE9">
        <w:t xml:space="preserve"> </w:t>
      </w:r>
      <w:proofErr w:type="spellStart"/>
      <w:r>
        <w:t>Microinvertebrates</w:t>
      </w:r>
      <w:proofErr w:type="spellEnd"/>
      <w:r>
        <w:t xml:space="preserve"> are well recognised for their ability to respond rapidly to environmental water delivery (i.e. within hours) due to emergence from </w:t>
      </w:r>
      <w:r w:rsidRPr="001E11D2">
        <w:t>the egg</w:t>
      </w:r>
      <w:r>
        <w:t>-</w:t>
      </w:r>
      <w:r w:rsidRPr="001E11D2">
        <w:t xml:space="preserve">bank (e.g. Tan and Shiel 1993). Therefore, despite the importance of greater flows over longer periods seeming intuitive, as they are required for emergent communities to develop into stable and highly dense communities, </w:t>
      </w:r>
      <w:r w:rsidR="00074180">
        <w:t>this</w:t>
      </w:r>
      <w:r>
        <w:t xml:space="preserve"> </w:t>
      </w:r>
      <w:r w:rsidRPr="001E11D2">
        <w:t xml:space="preserve">can often be overlooked (e.g. </w:t>
      </w:r>
      <w:proofErr w:type="spellStart"/>
      <w:r w:rsidRPr="001E11D2">
        <w:t>Obertegger</w:t>
      </w:r>
      <w:proofErr w:type="spellEnd"/>
      <w:r w:rsidRPr="001E11D2">
        <w:t xml:space="preserve"> </w:t>
      </w:r>
      <w:r w:rsidRPr="00BE1769">
        <w:rPr>
          <w:i/>
          <w:iCs/>
        </w:rPr>
        <w:t>et al.</w:t>
      </w:r>
      <w:r w:rsidRPr="001E11D2">
        <w:t xml:space="preserve"> 2007). </w:t>
      </w:r>
      <w:r>
        <w:t xml:space="preserve">This finding emphasises that the duration of flow should be a key consideration when delivering environmental water for meeting objectives related to the </w:t>
      </w:r>
      <w:proofErr w:type="spellStart"/>
      <w:r>
        <w:t>microinvertebrate</w:t>
      </w:r>
      <w:proofErr w:type="spellEnd"/>
      <w:r>
        <w:t xml:space="preserve"> community. </w:t>
      </w:r>
    </w:p>
    <w:p w14:paraId="30420754" w14:textId="29BBE263" w:rsidR="00EA35F8" w:rsidRDefault="00EA35F8" w:rsidP="00EA35F8">
      <w:r>
        <w:t>Secondly, as expected, greater area of floodplain inundated had a positive effect, however, it was involved in a negative interaction with electrical conductivity</w:t>
      </w:r>
      <w:r w:rsidRPr="005E34C9">
        <w:t xml:space="preserve"> </w:t>
      </w:r>
      <w:r>
        <w:t xml:space="preserve">in all models. This suggests that positive outcomes achieved with floodplain inundation (including high </w:t>
      </w:r>
      <w:proofErr w:type="spellStart"/>
      <w:r>
        <w:t>microinvertebrate</w:t>
      </w:r>
      <w:proofErr w:type="spellEnd"/>
      <w:r>
        <w:t xml:space="preserve"> densities, longitudinal and lateral </w:t>
      </w:r>
      <w:proofErr w:type="gramStart"/>
      <w:r>
        <w:t>dispersal</w:t>
      </w:r>
      <w:proofErr w:type="gramEnd"/>
      <w:r>
        <w:t xml:space="preserve"> and food production for fish), are likely to be greatest during periods of lower electrical conductivity. The effect of electrical conductivity on taxonomic richness is not surprising as salinity is well documented as having a negative relationship with </w:t>
      </w:r>
      <w:proofErr w:type="spellStart"/>
      <w:r>
        <w:t>microinvertebrate</w:t>
      </w:r>
      <w:proofErr w:type="spellEnd"/>
      <w:r>
        <w:t xml:space="preserve"> taxonomic richness in freshwater and coastal habitats </w:t>
      </w:r>
      <w:r>
        <w:rPr>
          <w:noProof/>
        </w:rPr>
        <w:t xml:space="preserve">(e.g. Marc </w:t>
      </w:r>
      <w:r w:rsidRPr="00BE1769">
        <w:rPr>
          <w:i/>
          <w:iCs/>
          <w:noProof/>
        </w:rPr>
        <w:t>et al.</w:t>
      </w:r>
      <w:r>
        <w:rPr>
          <w:noProof/>
        </w:rPr>
        <w:t xml:space="preserve"> 2003; Nielsen </w:t>
      </w:r>
      <w:r w:rsidRPr="00BE1769">
        <w:rPr>
          <w:i/>
          <w:iCs/>
          <w:noProof/>
        </w:rPr>
        <w:t>et al.</w:t>
      </w:r>
      <w:r>
        <w:rPr>
          <w:noProof/>
        </w:rPr>
        <w:t xml:space="preserve"> 2008</w:t>
      </w:r>
      <w:r w:rsidR="0089410C">
        <w:rPr>
          <w:noProof/>
        </w:rPr>
        <w:t>;</w:t>
      </w:r>
      <w:r w:rsidR="0089410C" w:rsidRPr="0089410C">
        <w:rPr>
          <w:noProof/>
        </w:rPr>
        <w:t xml:space="preserve"> </w:t>
      </w:r>
      <w:r w:rsidR="0089410C">
        <w:rPr>
          <w:noProof/>
        </w:rPr>
        <w:t xml:space="preserve">Gutierrez </w:t>
      </w:r>
      <w:r w:rsidR="0089410C" w:rsidRPr="00BE1769">
        <w:rPr>
          <w:i/>
          <w:iCs/>
          <w:noProof/>
        </w:rPr>
        <w:t>et al.</w:t>
      </w:r>
      <w:r w:rsidR="0089410C">
        <w:rPr>
          <w:noProof/>
        </w:rPr>
        <w:t xml:space="preserve"> 2018</w:t>
      </w:r>
      <w:r>
        <w:rPr>
          <w:noProof/>
        </w:rPr>
        <w:t>)</w:t>
      </w:r>
      <w:r>
        <w:t xml:space="preserve">. </w:t>
      </w:r>
      <w:r w:rsidR="000022B1">
        <w:t xml:space="preserve">Therefore, these results suggest that electrical conductivity had important, but indirect, multiplicative effects on taxonomic richness, particularly for specific subsets associated with lateral connectivity in this part of the system. Within the LMR, electrical conductivity commonly increases throughout summer, reaching its highest values during minimum flow periods, typically in late summer. Therefore, the delivery of environmental water that aims to inundate temporary habitats, including floodplain, may have less value </w:t>
      </w:r>
      <w:r w:rsidR="000022B1" w:rsidRPr="00551096">
        <w:t>late</w:t>
      </w:r>
      <w:r w:rsidR="000022B1">
        <w:t xml:space="preserve"> in the</w:t>
      </w:r>
      <w:r w:rsidR="000022B1" w:rsidRPr="00551096">
        <w:t xml:space="preserve"> season</w:t>
      </w:r>
      <w:r w:rsidR="000022B1">
        <w:t xml:space="preserve"> due to increased electrical conductivity. In support of this, floodplain taxa and fish food both exhibited lower densities in later months. Notably, temperature and electrical conductivity had a negative interaction, suggesting that when both values are high, the combined effect on </w:t>
      </w:r>
      <w:proofErr w:type="spellStart"/>
      <w:r w:rsidR="000022B1">
        <w:t>microinvertebrates</w:t>
      </w:r>
      <w:proofErr w:type="spellEnd"/>
      <w:r w:rsidR="000022B1">
        <w:t xml:space="preserve"> is detrimental.</w:t>
      </w:r>
    </w:p>
    <w:p w14:paraId="701FF848" w14:textId="77777777" w:rsidR="00EA35F8" w:rsidRDefault="00EA35F8" w:rsidP="00EA35F8">
      <w:r>
        <w:t xml:space="preserve">Another notable predictor was the flow trend over the past ten days, which showed an increasing trend in flow also increased density but, after accounting for this, taxonomic richness had a negative association. This suggests that for a given density, taxonomic richness increased more as water levels decreased rather than increased. This supports the conceptual understanding that as water levels decrease, </w:t>
      </w:r>
      <w:proofErr w:type="spellStart"/>
      <w:r>
        <w:t>microinvertebrates</w:t>
      </w:r>
      <w:proofErr w:type="spellEnd"/>
      <w:r>
        <w:t xml:space="preserve"> from the floodplain, wetland, </w:t>
      </w:r>
      <w:proofErr w:type="gramStart"/>
      <w:r>
        <w:t>backwater</w:t>
      </w:r>
      <w:proofErr w:type="gramEnd"/>
      <w:r>
        <w:t xml:space="preserve"> and littoral habitats drain back into the main river channel, transferring new taxa and thus providing a wider variety of food resources for higher trophic organisms. </w:t>
      </w:r>
    </w:p>
    <w:p w14:paraId="222120E2" w14:textId="77777777" w:rsidR="00EA35F8" w:rsidRDefault="00EA35F8" w:rsidP="00EA35F8">
      <w:pPr>
        <w:pStyle w:val="Heading3"/>
      </w:pPr>
      <w:r>
        <w:t>Management implications</w:t>
      </w:r>
    </w:p>
    <w:p w14:paraId="6BF743EF" w14:textId="77777777" w:rsidR="00EA35F8" w:rsidRPr="009F3086" w:rsidRDefault="00EA35F8" w:rsidP="00EA35F8">
      <w:r>
        <w:t xml:space="preserve">This project has highlighted </w:t>
      </w:r>
      <w:proofErr w:type="gramStart"/>
      <w:r>
        <w:t>a number of</w:t>
      </w:r>
      <w:proofErr w:type="gramEnd"/>
      <w:r>
        <w:t xml:space="preserve"> key findings that may be used to inform future environmental water deliveries, aiming to promote a response in the </w:t>
      </w:r>
      <w:proofErr w:type="spellStart"/>
      <w:r>
        <w:t>microinvertebrate</w:t>
      </w:r>
      <w:proofErr w:type="spellEnd"/>
      <w:r>
        <w:t xml:space="preserve"> community in the LMR. </w:t>
      </w:r>
    </w:p>
    <w:p w14:paraId="4A321B7C" w14:textId="309D1E7E" w:rsidR="00DC34CA" w:rsidRDefault="00DC34CA" w:rsidP="00DC34CA">
      <w:r>
        <w:t>E</w:t>
      </w:r>
      <w:r w:rsidRPr="007E5DB6">
        <w:t xml:space="preserve">nvironmental water delivery consistently provided benefits for </w:t>
      </w:r>
      <w:proofErr w:type="spellStart"/>
      <w:r>
        <w:t>microinvertebrate</w:t>
      </w:r>
      <w:proofErr w:type="spellEnd"/>
      <w:r>
        <w:t xml:space="preserve"> densities (including prey densities)</w:t>
      </w:r>
      <w:r w:rsidRPr="007E5DB6">
        <w:t xml:space="preserve"> across years</w:t>
      </w:r>
      <w:r>
        <w:t>, however there appeared to be limited benefits in high flow years and greater benefits in subsequent years following a large unregulated flood. This</w:t>
      </w:r>
      <w:r w:rsidR="0011025F">
        <w:t>,</w:t>
      </w:r>
      <w:r>
        <w:t xml:space="preserve"> however</w:t>
      </w:r>
      <w:r w:rsidR="0011025F">
        <w:t>,</w:t>
      </w:r>
      <w:r>
        <w:t xml:space="preserve"> was largely due to the smaller proportion of environmental water in comparison to overall flow in high flow years in comparison to low flow years. The value of similar volumes of environmental water as different percentages of overall flow might warrant exploration. For example, environmental water delivery might be prioritised in the first year or two following large floods, specifically to increase in-channel productivity by leveraging higher floodplain </w:t>
      </w:r>
      <w:proofErr w:type="spellStart"/>
      <w:r>
        <w:t>microinvertebrate</w:t>
      </w:r>
      <w:proofErr w:type="spellEnd"/>
      <w:r>
        <w:t xml:space="preserve"> richness and density.</w:t>
      </w:r>
    </w:p>
    <w:p w14:paraId="0554155E" w14:textId="77777777" w:rsidR="00EA35F8" w:rsidRDefault="00EA35F8" w:rsidP="00EA35F8">
      <w:r>
        <w:t>T</w:t>
      </w:r>
      <w:r w:rsidRPr="002D201B">
        <w:t>here were clear patterns in the relative dominance of functional groups</w:t>
      </w:r>
      <w:r>
        <w:t xml:space="preserve"> under different flow conditions. Investigations such as those being undertaken as part of the research task of this project will provide insights into the quality, as a food resource for higher trophic organisms, of different communities (dominated by different functional groups). Environmental water delivery can then aim to promote specific communities characterised by certain functional groups at appropriate times.</w:t>
      </w:r>
    </w:p>
    <w:p w14:paraId="1D7C7CD3" w14:textId="77777777" w:rsidR="000022B1" w:rsidRDefault="000022B1" w:rsidP="000022B1">
      <w:r>
        <w:t xml:space="preserve">Increases in prey items appeared to be driven by both the flushing of organisms from the lake like conditions that develop in weir pools and through the inundation of temporary habitats during pulse flows and the flushing of backwater habitats and littoral zones. Again, investigations such as those being undertaken as part of the research task of this project may provide insights into whether these similar food resources, yet from different habitats, provide comparable quality food for higher trophic organisms. </w:t>
      </w:r>
    </w:p>
    <w:p w14:paraId="5CCADBD2" w14:textId="011A151A" w:rsidR="00EA35F8" w:rsidRDefault="00EA35F8" w:rsidP="00EA35F8">
      <w:r>
        <w:t xml:space="preserve">There were numerous predictors that were consistently important in modelling, both hydrological and physicochemical and could potentially help inform future environmental water delivery for </w:t>
      </w:r>
      <w:proofErr w:type="spellStart"/>
      <w:r>
        <w:t>microinvertebrate</w:t>
      </w:r>
      <w:proofErr w:type="spellEnd"/>
      <w:r>
        <w:t xml:space="preserve"> communities. For example: (1) the influence of flow tended to be more predictive using longer periods (e.g., 12 weeks) than mean daily flows, suggesting that </w:t>
      </w:r>
      <w:r w:rsidRPr="00FB1FE9">
        <w:t xml:space="preserve">more water </w:t>
      </w:r>
      <w:r>
        <w:t xml:space="preserve">delivered </w:t>
      </w:r>
      <w:r w:rsidRPr="00FB1FE9">
        <w:t xml:space="preserve">over a longer period </w:t>
      </w:r>
      <w:r>
        <w:t xml:space="preserve">could be more likely to achieve better outcomes; and (2) greater area of floodplain inundated had a positive effect, but in all models the benefits decreased with </w:t>
      </w:r>
      <w:r w:rsidR="00F07481">
        <w:t>increasing</w:t>
      </w:r>
      <w:r w:rsidR="00693F2E">
        <w:t xml:space="preserve"> salinity</w:t>
      </w:r>
      <w:r w:rsidR="00F07481">
        <w:t xml:space="preserve"> </w:t>
      </w:r>
      <w:r w:rsidR="00693F2E">
        <w:t>(</w:t>
      </w:r>
      <w:r w:rsidR="00F07481">
        <w:t>electrical conductivity</w:t>
      </w:r>
      <w:r w:rsidR="00693F2E">
        <w:t>)</w:t>
      </w:r>
      <w:r w:rsidR="00F07481">
        <w:t>,</w:t>
      </w:r>
      <w:r>
        <w:t xml:space="preserve"> therefore, positive outcomes of floodplain inundation are likely to be greatest during periods of lower </w:t>
      </w:r>
      <w:r w:rsidR="00693F2E">
        <w:t>salinity</w:t>
      </w:r>
      <w:r>
        <w:t>.</w:t>
      </w:r>
    </w:p>
    <w:p w14:paraId="6D5FE34C" w14:textId="77777777" w:rsidR="00EA35F8" w:rsidRDefault="00EA35F8" w:rsidP="00EA35F8">
      <w:pPr>
        <w:pStyle w:val="Heading3"/>
      </w:pPr>
      <w:r w:rsidRPr="003C0EBB">
        <w:t xml:space="preserve">Conclusion </w:t>
      </w:r>
    </w:p>
    <w:p w14:paraId="519BC2A6" w14:textId="419443D4" w:rsidR="000A0247" w:rsidRDefault="00EA35F8" w:rsidP="007101D6">
      <w:pPr>
        <w:rPr>
          <w:rFonts w:eastAsiaTheme="majorEastAsia" w:cstheme="majorBidi"/>
          <w:b/>
          <w:i/>
          <w:color w:val="44546A" w:themeColor="text2"/>
          <w:sz w:val="26"/>
          <w:szCs w:val="24"/>
        </w:rPr>
      </w:pPr>
      <w:r>
        <w:t xml:space="preserve">Data collected as part of LTIM and MER have generated a unique multi-year </w:t>
      </w:r>
      <w:proofErr w:type="spellStart"/>
      <w:r>
        <w:t>microinvertebrate</w:t>
      </w:r>
      <w:proofErr w:type="spellEnd"/>
      <w:r>
        <w:t xml:space="preserve"> dataset. This dataset has allowed an approach that identified functional groups and the hydrological conditions in which they were commonly present. Additionally, it has allowed a modelling approach to be undertaken which identified several hydrological and physicochemical predictors influential on observed </w:t>
      </w:r>
      <w:proofErr w:type="spellStart"/>
      <w:r>
        <w:t>microinvertebrate</w:t>
      </w:r>
      <w:proofErr w:type="spellEnd"/>
      <w:r>
        <w:t xml:space="preserve"> density, taxonomic </w:t>
      </w:r>
      <w:proofErr w:type="gramStart"/>
      <w:r>
        <w:t>richness</w:t>
      </w:r>
      <w:proofErr w:type="gramEnd"/>
      <w:r>
        <w:t xml:space="preserve"> and composition. Moving forward, future work should aim to identify and incorporate additional predictors (e.g. the density of higher and lower trophic levels) and further refine those identified here to increase explanatory power of the models and better inform alternative management interventions. Concurrent research being conducted under the research task of this project, aims to provide insights into the ecological value of various planktonic (including </w:t>
      </w:r>
      <w:proofErr w:type="spellStart"/>
      <w:r>
        <w:t>microinvertebrate</w:t>
      </w:r>
      <w:proofErr w:type="spellEnd"/>
      <w:r>
        <w:t>) communities within the broader food web, such as their quality as a food resource (i.e. fatty acid composition). These investigations combined are likely to provide a</w:t>
      </w:r>
      <w:r w:rsidRPr="00636248">
        <w:t xml:space="preserve"> more quantifiable guide for managers </w:t>
      </w:r>
      <w:r>
        <w:t>to better inform</w:t>
      </w:r>
      <w:r w:rsidRPr="00636248">
        <w:t xml:space="preserve"> future environmental water delivery.</w:t>
      </w:r>
    </w:p>
    <w:p w14:paraId="007B0121" w14:textId="77777777" w:rsidR="002573E0" w:rsidRDefault="002573E0">
      <w:pPr>
        <w:spacing w:before="0" w:after="160" w:line="259" w:lineRule="auto"/>
        <w:jc w:val="left"/>
        <w:rPr>
          <w:rFonts w:eastAsiaTheme="majorEastAsia" w:cstheme="majorBidi"/>
          <w:b/>
          <w:i/>
          <w:color w:val="44546A" w:themeColor="text2"/>
          <w:sz w:val="26"/>
          <w:szCs w:val="24"/>
        </w:rPr>
      </w:pPr>
      <w:r>
        <w:br w:type="page"/>
      </w:r>
    </w:p>
    <w:p w14:paraId="3E895F8A" w14:textId="458AF5AD" w:rsidR="00914280" w:rsidRPr="00E35C12" w:rsidRDefault="00F46757" w:rsidP="00F46757">
      <w:pPr>
        <w:pStyle w:val="Heading2"/>
      </w:pPr>
      <w:bookmarkStart w:id="257" w:name="_Ref53046930"/>
      <w:bookmarkStart w:id="258" w:name="_Toc69309243"/>
      <w:bookmarkStart w:id="259" w:name="_Hlk63411837"/>
      <w:r w:rsidRPr="00F46757">
        <w:t>Flow-cued Spawning Fish Recruitment</w:t>
      </w:r>
      <w:bookmarkEnd w:id="257"/>
      <w:bookmarkEnd w:id="258"/>
    </w:p>
    <w:p w14:paraId="4E66F90A" w14:textId="77777777" w:rsidR="008B4383" w:rsidRPr="00E35C12" w:rsidRDefault="008B4383" w:rsidP="008B4383">
      <w:pPr>
        <w:pStyle w:val="Heading3"/>
      </w:pPr>
      <w:r w:rsidRPr="00E35C12">
        <w:t>Background</w:t>
      </w:r>
    </w:p>
    <w:p w14:paraId="5F6CD391" w14:textId="51EEDDF9" w:rsidR="008B4383" w:rsidRDefault="008B4383" w:rsidP="008B4383">
      <w:pPr>
        <w:rPr>
          <w:bCs/>
        </w:rPr>
      </w:pPr>
      <w:r w:rsidRPr="002D25BB">
        <w:rPr>
          <w:bCs/>
        </w:rPr>
        <w:t>In the southern MDB, spawning and recruitment of golden perch corresponds with increases in water temperature and discharge, either in-channel or overbank (</w:t>
      </w:r>
      <w:proofErr w:type="spellStart"/>
      <w:r w:rsidRPr="002D25BB">
        <w:rPr>
          <w:bCs/>
        </w:rPr>
        <w:t>Mallen</w:t>
      </w:r>
      <w:proofErr w:type="spellEnd"/>
      <w:r w:rsidRPr="002D25BB">
        <w:rPr>
          <w:bCs/>
        </w:rPr>
        <w:t xml:space="preserve">-Cooper and Stuart 2003; Zampatti and Leigh 2013a; 2013b). Silver perch display similar life history characteristics and population dynamics, although in the lotic reaches of the </w:t>
      </w:r>
      <w:r w:rsidR="001D3000">
        <w:rPr>
          <w:bCs/>
        </w:rPr>
        <w:t xml:space="preserve">Murray </w:t>
      </w:r>
      <w:r w:rsidRPr="002D25BB">
        <w:rPr>
          <w:bCs/>
        </w:rPr>
        <w:t xml:space="preserve">River, silver perch may spawn circa-annually (Tonkin </w:t>
      </w:r>
      <w:r w:rsidRPr="006D1E79">
        <w:rPr>
          <w:bCs/>
          <w:i/>
        </w:rPr>
        <w:t>et al.</w:t>
      </w:r>
      <w:r w:rsidRPr="002D25BB">
        <w:rPr>
          <w:bCs/>
        </w:rPr>
        <w:t xml:space="preserve"> 2019). </w:t>
      </w:r>
      <w:r>
        <w:rPr>
          <w:bCs/>
        </w:rPr>
        <w:t>A</w:t>
      </w:r>
      <w:r w:rsidRPr="002D25BB">
        <w:rPr>
          <w:bCs/>
        </w:rPr>
        <w:t xml:space="preserve">nnual increases in flow (spring flow pulses) were a </w:t>
      </w:r>
      <w:r>
        <w:rPr>
          <w:bCs/>
        </w:rPr>
        <w:t>distinct hydrological</w:t>
      </w:r>
      <w:r w:rsidRPr="002D25BB">
        <w:rPr>
          <w:bCs/>
        </w:rPr>
        <w:t xml:space="preserve"> feature of the unregulated Murray River (</w:t>
      </w:r>
      <w:proofErr w:type="spellStart"/>
      <w:r w:rsidRPr="002D25BB">
        <w:rPr>
          <w:bCs/>
        </w:rPr>
        <w:t>Mallen</w:t>
      </w:r>
      <w:proofErr w:type="spellEnd"/>
      <w:r w:rsidRPr="002D25BB">
        <w:rPr>
          <w:bCs/>
        </w:rPr>
        <w:t xml:space="preserve">-Cooper and </w:t>
      </w:r>
      <w:proofErr w:type="spellStart"/>
      <w:r w:rsidRPr="002D25BB">
        <w:rPr>
          <w:bCs/>
        </w:rPr>
        <w:t>Zampatti</w:t>
      </w:r>
      <w:proofErr w:type="spellEnd"/>
      <w:r w:rsidRPr="002D25BB">
        <w:rPr>
          <w:bCs/>
        </w:rPr>
        <w:t xml:space="preserve"> 2018). In regions where these featu</w:t>
      </w:r>
      <w:r>
        <w:rPr>
          <w:bCs/>
        </w:rPr>
        <w:t>res remain intact (e.g. the mid-</w:t>
      </w:r>
      <w:r w:rsidRPr="002D25BB">
        <w:rPr>
          <w:bCs/>
        </w:rPr>
        <w:t>Murray</w:t>
      </w:r>
      <w:r>
        <w:rPr>
          <w:bCs/>
        </w:rPr>
        <w:t xml:space="preserve"> River</w:t>
      </w:r>
      <w:r w:rsidRPr="002D25BB">
        <w:rPr>
          <w:bCs/>
        </w:rPr>
        <w:t xml:space="preserve">), golden perch display more consistent recruitment (Zampatti </w:t>
      </w:r>
      <w:r w:rsidRPr="006D1E79">
        <w:rPr>
          <w:bCs/>
          <w:i/>
        </w:rPr>
        <w:t>et al.</w:t>
      </w:r>
      <w:r w:rsidRPr="002D25BB">
        <w:rPr>
          <w:bCs/>
        </w:rPr>
        <w:t xml:space="preserve"> 2018). In the </w:t>
      </w:r>
      <w:r w:rsidR="00D26B87">
        <w:rPr>
          <w:bCs/>
        </w:rPr>
        <w:t xml:space="preserve">Murray River </w:t>
      </w:r>
      <w:r w:rsidRPr="002D25BB">
        <w:rPr>
          <w:bCs/>
        </w:rPr>
        <w:t xml:space="preserve">downstream of the Darling junction, </w:t>
      </w:r>
      <w:r>
        <w:rPr>
          <w:bCs/>
        </w:rPr>
        <w:t xml:space="preserve">however, </w:t>
      </w:r>
      <w:r w:rsidRPr="002D25BB">
        <w:rPr>
          <w:bCs/>
        </w:rPr>
        <w:t>spring flow pulses are compromised by river regulation</w:t>
      </w:r>
      <w:r w:rsidR="001D3000">
        <w:rPr>
          <w:bCs/>
        </w:rPr>
        <w:t xml:space="preserve">. </w:t>
      </w:r>
      <w:r w:rsidRPr="002D25BB">
        <w:rPr>
          <w:bCs/>
        </w:rPr>
        <w:t>Commonwealth environmental water</w:t>
      </w:r>
      <w:r>
        <w:rPr>
          <w:bCs/>
        </w:rPr>
        <w:t xml:space="preserve"> may be used, at least in-</w:t>
      </w:r>
      <w:r w:rsidR="00DD344A" w:rsidRPr="00DD344A">
        <w:rPr>
          <w:bCs/>
        </w:rPr>
        <w:t xml:space="preserve"> </w:t>
      </w:r>
      <w:r w:rsidR="00DD344A">
        <w:rPr>
          <w:bCs/>
        </w:rPr>
        <w:t xml:space="preserve">part, to restore </w:t>
      </w:r>
      <w:r>
        <w:rPr>
          <w:bCs/>
        </w:rPr>
        <w:t>these pulses</w:t>
      </w:r>
      <w:r w:rsidRPr="002D25BB">
        <w:rPr>
          <w:bCs/>
        </w:rPr>
        <w:t>.</w:t>
      </w:r>
    </w:p>
    <w:p w14:paraId="6CFD40D5" w14:textId="0CB09732" w:rsidR="008B4383" w:rsidRPr="00312979" w:rsidRDefault="00DD344A" w:rsidP="008B4383">
      <w:pPr>
        <w:rPr>
          <w:u w:val="single"/>
        </w:rPr>
      </w:pPr>
      <w:r>
        <w:rPr>
          <w:bCs/>
        </w:rPr>
        <w:t xml:space="preserve">Since </w:t>
      </w:r>
      <w:r>
        <w:t xml:space="preserve">2012, </w:t>
      </w:r>
      <w:r w:rsidRPr="00E0532B">
        <w:t>&gt;</w:t>
      </w:r>
      <w:r>
        <w:t>500</w:t>
      </w:r>
      <w:r w:rsidRPr="00E0532B">
        <w:t xml:space="preserve"> GL</w:t>
      </w:r>
      <w:r>
        <w:t xml:space="preserve">/year </w:t>
      </w:r>
      <w:r w:rsidRPr="00E0532B">
        <w:t xml:space="preserve">of </w:t>
      </w:r>
      <w:r>
        <w:t xml:space="preserve">Commonwealth </w:t>
      </w:r>
      <w:r w:rsidRPr="00E0532B">
        <w:t xml:space="preserve">environmental water </w:t>
      </w:r>
      <w:r>
        <w:t xml:space="preserve">has been </w:t>
      </w:r>
      <w:r w:rsidR="00F47059">
        <w:t xml:space="preserve">delivered to the LMR </w:t>
      </w:r>
      <w:r w:rsidR="00F47059" w:rsidRPr="00E0532B">
        <w:t xml:space="preserve">to enhance </w:t>
      </w:r>
      <w:r w:rsidR="00F47059">
        <w:t xml:space="preserve">the </w:t>
      </w:r>
      <w:r w:rsidR="00F47059" w:rsidRPr="00E0532B">
        <w:t>flow regime</w:t>
      </w:r>
      <w:r w:rsidR="00F47059">
        <w:t xml:space="preserve"> and</w:t>
      </w:r>
      <w:r w:rsidR="00F47059" w:rsidRPr="00E0532B">
        <w:t xml:space="preserve"> rehabilitate the</w:t>
      </w:r>
      <w:r w:rsidR="00F47059">
        <w:t xml:space="preserve"> health of aquatic ecosystems. </w:t>
      </w:r>
      <w:r w:rsidR="00F47059" w:rsidRPr="00E0532B">
        <w:t xml:space="preserve">In the LMR, Commonwealth environmental water </w:t>
      </w:r>
      <w:r w:rsidR="00F47059">
        <w:t>has been primarily</w:t>
      </w:r>
      <w:r w:rsidR="00F47059" w:rsidRPr="00E0532B">
        <w:t xml:space="preserve"> used to contribute to increased base flows and freshes (</w:t>
      </w:r>
      <w:proofErr w:type="gramStart"/>
      <w:r w:rsidR="00F47059" w:rsidRPr="00E0532B">
        <w:t>i.e.</w:t>
      </w:r>
      <w:proofErr w:type="gramEnd"/>
      <w:r w:rsidR="00F47059" w:rsidRPr="00E0532B">
        <w:t xml:space="preserve"> increases in flow cont</w:t>
      </w:r>
      <w:r w:rsidR="00F47059">
        <w:t xml:space="preserve">ained within the river channel) </w:t>
      </w:r>
      <w:r w:rsidR="008B4383">
        <w:t xml:space="preserve">(Section </w:t>
      </w:r>
      <w:r w:rsidR="008B4383">
        <w:fldChar w:fldCharType="begin"/>
      </w:r>
      <w:r w:rsidR="008B4383">
        <w:instrText xml:space="preserve"> REF _Ref25331850 \r \h </w:instrText>
      </w:r>
      <w:r w:rsidR="008B4383">
        <w:fldChar w:fldCharType="separate"/>
      </w:r>
      <w:r w:rsidR="00241910">
        <w:t>1.4</w:t>
      </w:r>
      <w:r w:rsidR="008B4383">
        <w:fldChar w:fldCharType="end"/>
      </w:r>
      <w:r w:rsidR="008B4383">
        <w:t>)</w:t>
      </w:r>
      <w:r w:rsidR="008B4383" w:rsidRPr="00E0532B">
        <w:t xml:space="preserve">. </w:t>
      </w:r>
      <w:r>
        <w:t xml:space="preserve">One of the ecological objectives of flow augmentation was </w:t>
      </w:r>
      <w:r w:rsidRPr="00E0532B">
        <w:t>to contribute to increased spawning and/or recruitment of flow-dependent fish species.</w:t>
      </w:r>
      <w:r w:rsidR="00EF392B">
        <w:t xml:space="preserve"> S</w:t>
      </w:r>
      <w:r w:rsidR="00EF392B" w:rsidRPr="00EF392B">
        <w:t>ince 2012-13</w:t>
      </w:r>
      <w:r w:rsidR="00EF392B">
        <w:t>, t</w:t>
      </w:r>
      <w:r w:rsidR="00EF392B" w:rsidRPr="00EF392B">
        <w:t>here has been no substantial recruitment of golden perch</w:t>
      </w:r>
      <w:r w:rsidR="00871606">
        <w:t>,</w:t>
      </w:r>
      <w:r w:rsidR="00EF392B">
        <w:t xml:space="preserve"> despite </w:t>
      </w:r>
      <w:r w:rsidR="00EF392B" w:rsidRPr="00EF392B">
        <w:t>some spawning of golden perch coincid</w:t>
      </w:r>
      <w:r w:rsidR="00871606">
        <w:t>ing</w:t>
      </w:r>
      <w:r w:rsidR="00EF392B" w:rsidRPr="00EF392B">
        <w:t xml:space="preserve"> with periods when environmental water was used to promote flow pulses in the LMR</w:t>
      </w:r>
      <w:r w:rsidR="00EF392B">
        <w:t>. Th</w:t>
      </w:r>
      <w:r w:rsidR="00871606">
        <w:t>is has</w:t>
      </w:r>
      <w:r w:rsidR="00EF392B" w:rsidRPr="00EF392B">
        <w:t xml:space="preserve"> led to a population dominated by a few distinct and ageing cohorts. Evidence from </w:t>
      </w:r>
      <w:r w:rsidR="00854BCC">
        <w:t xml:space="preserve">these </w:t>
      </w:r>
      <w:r w:rsidR="00EF392B" w:rsidRPr="00EF392B">
        <w:t xml:space="preserve">investigations suggest that greater flow rates (&gt;20,000 ML/d) are likely required to significantly influence golden perch spawning and recruitment in the LMR. </w:t>
      </w:r>
      <w:r>
        <w:t>During the MER</w:t>
      </w:r>
      <w:r w:rsidRPr="005A7A21">
        <w:t xml:space="preserve"> </w:t>
      </w:r>
      <w:r>
        <w:t>P</w:t>
      </w:r>
      <w:r w:rsidRPr="005A7A21">
        <w:t>roject</w:t>
      </w:r>
      <w:r>
        <w:t xml:space="preserve">, </w:t>
      </w:r>
      <w:r w:rsidRPr="00AB56EE">
        <w:t xml:space="preserve">the recruitment of golden perch and silver perch in the </w:t>
      </w:r>
      <w:r>
        <w:t>LMR</w:t>
      </w:r>
      <w:r w:rsidRPr="00AB56EE">
        <w:t xml:space="preserve"> </w:t>
      </w:r>
      <w:r>
        <w:t xml:space="preserve">is </w:t>
      </w:r>
      <w:r w:rsidRPr="00AB56EE">
        <w:t xml:space="preserve">investigated </w:t>
      </w:r>
      <w:r>
        <w:t>t</w:t>
      </w:r>
      <w:r w:rsidRPr="00AB56EE">
        <w:t>hrough age structure analysis to assess the impact of the flow regime (including environmental water) on populations.</w:t>
      </w:r>
      <w:r>
        <w:t xml:space="preserve"> Data collected as part of the LTIM Project (Ye </w:t>
      </w:r>
      <w:r w:rsidRPr="00895E4D">
        <w:rPr>
          <w:i/>
          <w:iCs/>
        </w:rPr>
        <w:t>et al.</w:t>
      </w:r>
      <w:r>
        <w:t xml:space="preserve"> 2020) is integrated in the reporting and evaluation for this indicator.</w:t>
      </w:r>
    </w:p>
    <w:p w14:paraId="6F2693C8" w14:textId="68A4CB2A" w:rsidR="00DD344A" w:rsidRPr="00DD344A" w:rsidRDefault="00DD344A" w:rsidP="00DD344A">
      <w:pPr>
        <w:rPr>
          <w:i/>
          <w:u w:val="single"/>
        </w:rPr>
      </w:pPr>
      <w:r w:rsidRPr="00DD344A">
        <w:rPr>
          <w:i/>
          <w:u w:val="single"/>
        </w:rPr>
        <w:t>Hypotheses</w:t>
      </w:r>
    </w:p>
    <w:p w14:paraId="6E9C19D3" w14:textId="2779E3DA" w:rsidR="008B4383" w:rsidRDefault="008B4383" w:rsidP="008B4383">
      <w:pPr>
        <w:numPr>
          <w:ilvl w:val="0"/>
          <w:numId w:val="5"/>
        </w:numPr>
        <w:jc w:val="left"/>
      </w:pPr>
      <w:r>
        <w:t>Increased spring–summer flow (nominally &gt;20,000 ML/d), either in-channel or overbank, will promote the spawning and recruitment (to YOY) of golden perch and silver perch</w:t>
      </w:r>
      <w:r w:rsidR="0084014F">
        <w:t>; and</w:t>
      </w:r>
    </w:p>
    <w:p w14:paraId="7597A371" w14:textId="4FECD6AE" w:rsidR="008B4383" w:rsidRPr="00F739A8" w:rsidRDefault="008B4383" w:rsidP="008B4383">
      <w:pPr>
        <w:numPr>
          <w:ilvl w:val="0"/>
          <w:numId w:val="5"/>
        </w:numPr>
        <w:jc w:val="left"/>
      </w:pPr>
      <w:r>
        <w:t xml:space="preserve">Multiple years of enhanced spring–summer flow will increase the resilience of golden perch and silver perch populations in the </w:t>
      </w:r>
      <w:r w:rsidR="00DD344A">
        <w:t>LMR by promoting a more diverse age</w:t>
      </w:r>
      <w:r w:rsidR="007B5CF9">
        <w:t xml:space="preserve"> </w:t>
      </w:r>
      <w:r w:rsidR="00DD344A">
        <w:t>structure.</w:t>
      </w:r>
    </w:p>
    <w:p w14:paraId="5566268D" w14:textId="77777777" w:rsidR="008B4383" w:rsidRPr="00E35C12" w:rsidRDefault="008B4383" w:rsidP="008B4383">
      <w:pPr>
        <w:pStyle w:val="Heading3"/>
      </w:pPr>
      <w:r>
        <w:t>Methods</w:t>
      </w:r>
    </w:p>
    <w:p w14:paraId="4AE1DCD8" w14:textId="714FD0D3" w:rsidR="008B4383" w:rsidRDefault="008B4383" w:rsidP="008B4383">
      <w:pPr>
        <w:rPr>
          <w:bCs/>
        </w:rPr>
      </w:pPr>
      <w:r>
        <w:rPr>
          <w:bCs/>
        </w:rPr>
        <w:t>U</w:t>
      </w:r>
      <w:r w:rsidRPr="00661E12">
        <w:rPr>
          <w:bCs/>
        </w:rPr>
        <w:t>nder the current core</w:t>
      </w:r>
      <w:r w:rsidR="00210EBF">
        <w:rPr>
          <w:bCs/>
        </w:rPr>
        <w:t xml:space="preserve"> fish assemblage (Category 1) monitoring</w:t>
      </w:r>
      <w:r>
        <w:rPr>
          <w:bCs/>
        </w:rPr>
        <w:t xml:space="preserve"> (</w:t>
      </w:r>
      <w:r w:rsidR="00210EBF">
        <w:rPr>
          <w:bCs/>
        </w:rPr>
        <w:t xml:space="preserve">Section </w:t>
      </w:r>
      <w:r w:rsidR="00210EBF">
        <w:rPr>
          <w:bCs/>
        </w:rPr>
        <w:fldChar w:fldCharType="begin"/>
      </w:r>
      <w:r w:rsidR="00210EBF">
        <w:rPr>
          <w:bCs/>
        </w:rPr>
        <w:instrText xml:space="preserve"> REF _Ref53046930 \r \h </w:instrText>
      </w:r>
      <w:r w:rsidR="00210EBF">
        <w:rPr>
          <w:bCs/>
        </w:rPr>
      </w:r>
      <w:r w:rsidR="00210EBF">
        <w:rPr>
          <w:bCs/>
        </w:rPr>
        <w:fldChar w:fldCharType="separate"/>
      </w:r>
      <w:r w:rsidR="00241910">
        <w:rPr>
          <w:bCs/>
        </w:rPr>
        <w:t>2.6</w:t>
      </w:r>
      <w:r w:rsidR="00210EBF">
        <w:rPr>
          <w:bCs/>
        </w:rPr>
        <w:fldChar w:fldCharType="end"/>
      </w:r>
      <w:r>
        <w:rPr>
          <w:bCs/>
        </w:rPr>
        <w:t>),</w:t>
      </w:r>
      <w:r w:rsidRPr="00661E12">
        <w:rPr>
          <w:bCs/>
        </w:rPr>
        <w:t xml:space="preserve"> </w:t>
      </w:r>
      <w:r>
        <w:rPr>
          <w:bCs/>
        </w:rPr>
        <w:t>t</w:t>
      </w:r>
      <w:r w:rsidRPr="00661E12">
        <w:rPr>
          <w:bCs/>
        </w:rPr>
        <w:t>here is limited capacity to evaluate the effect of Commonwealth environmental water on the reproduction (spawning and recruitment) of golden perch and silver perch</w:t>
      </w:r>
      <w:r>
        <w:rPr>
          <w:bCs/>
        </w:rPr>
        <w:t>. Fundamental to this evaluation is</w:t>
      </w:r>
      <w:r w:rsidRPr="00661E12">
        <w:rPr>
          <w:bCs/>
        </w:rPr>
        <w:t xml:space="preserve"> knowledge of hydrological conditions at the time and place of spawning to explicitly relate spawning of flow-cued fishes to flow. </w:t>
      </w:r>
      <w:r>
        <w:rPr>
          <w:bCs/>
        </w:rPr>
        <w:t>For the purposes of this pro</w:t>
      </w:r>
      <w:r w:rsidR="002A75FD">
        <w:rPr>
          <w:bCs/>
        </w:rPr>
        <w:t>ject</w:t>
      </w:r>
      <w:r>
        <w:rPr>
          <w:bCs/>
        </w:rPr>
        <w:t xml:space="preserve">, </w:t>
      </w:r>
      <w:r w:rsidR="005F76FD">
        <w:rPr>
          <w:bCs/>
        </w:rPr>
        <w:t>comprehensive</w:t>
      </w:r>
      <w:r w:rsidR="002A75FD">
        <w:rPr>
          <w:bCs/>
        </w:rPr>
        <w:t xml:space="preserve"> </w:t>
      </w:r>
      <w:r w:rsidRPr="00661E12">
        <w:rPr>
          <w:bCs/>
        </w:rPr>
        <w:t>evaluation of the reproduction (</w:t>
      </w:r>
      <w:r w:rsidR="005F76FD">
        <w:rPr>
          <w:bCs/>
        </w:rPr>
        <w:t>including</w:t>
      </w:r>
      <w:r w:rsidRPr="00661E12">
        <w:rPr>
          <w:bCs/>
        </w:rPr>
        <w:t xml:space="preserve"> spawning) of golden perch and silver perch in response to Commonwealth environmental water is contingent upon spring</w:t>
      </w:r>
      <w:r w:rsidR="005F76FD">
        <w:rPr>
          <w:bCs/>
        </w:rPr>
        <w:t>–</w:t>
      </w:r>
      <w:r w:rsidRPr="00661E12">
        <w:rPr>
          <w:bCs/>
        </w:rPr>
        <w:t>summer flows exceeding 20,000 ML/d (see Section 5.3</w:t>
      </w:r>
      <w:r>
        <w:rPr>
          <w:bCs/>
        </w:rPr>
        <w:t xml:space="preserve"> of the Lower Murray MER Plan, SARDI </w:t>
      </w:r>
      <w:r w:rsidRPr="00210EBF">
        <w:rPr>
          <w:bCs/>
          <w:i/>
        </w:rPr>
        <w:t xml:space="preserve">et al. </w:t>
      </w:r>
      <w:r>
        <w:rPr>
          <w:bCs/>
        </w:rPr>
        <w:t>2019</w:t>
      </w:r>
      <w:r w:rsidRPr="00661E12">
        <w:rPr>
          <w:bCs/>
        </w:rPr>
        <w:t>).</w:t>
      </w:r>
    </w:p>
    <w:p w14:paraId="55E21A57" w14:textId="1D43FDB4" w:rsidR="008B4383" w:rsidRPr="00410B45" w:rsidRDefault="008B4383" w:rsidP="008B4383">
      <w:pPr>
        <w:rPr>
          <w:i/>
          <w:u w:val="single"/>
        </w:rPr>
      </w:pPr>
      <w:r>
        <w:rPr>
          <w:bCs/>
        </w:rPr>
        <w:t>In 2019-20, t</w:t>
      </w:r>
      <w:r w:rsidRPr="00554A22">
        <w:rPr>
          <w:bCs/>
        </w:rPr>
        <w:t xml:space="preserve">o evaluate golden perch and silver perch </w:t>
      </w:r>
      <w:r>
        <w:rPr>
          <w:bCs/>
        </w:rPr>
        <w:t xml:space="preserve">recruitment and its association with flow, including environmental water, </w:t>
      </w:r>
      <w:r w:rsidRPr="00554A22">
        <w:rPr>
          <w:bCs/>
        </w:rPr>
        <w:t xml:space="preserve">we </w:t>
      </w:r>
      <w:r w:rsidRPr="00554A22">
        <w:t>used electrofishing to</w:t>
      </w:r>
      <w:r>
        <w:t>: (1)</w:t>
      </w:r>
      <w:r w:rsidRPr="00554A22">
        <w:t xml:space="preserve"> </w:t>
      </w:r>
      <w:r>
        <w:t>assess t</w:t>
      </w:r>
      <w:r w:rsidRPr="00615F93">
        <w:t>emporal variability in the relative abundance of golden perch</w:t>
      </w:r>
      <w:r>
        <w:t>; and (2)</w:t>
      </w:r>
      <w:r w:rsidRPr="00615F93">
        <w:t xml:space="preserve"> </w:t>
      </w:r>
      <w:r w:rsidRPr="00554A22">
        <w:t>collect a representative sub</w:t>
      </w:r>
      <w:r w:rsidR="00E330A8">
        <w:t>-</w:t>
      </w:r>
      <w:r w:rsidRPr="00554A22">
        <w:t xml:space="preserve">sample of the golden perch and silver </w:t>
      </w:r>
      <w:r w:rsidRPr="001A4F8C">
        <w:t>perch populations in the LMR to determin</w:t>
      </w:r>
      <w:r>
        <w:t>e</w:t>
      </w:r>
      <w:r w:rsidRPr="001A4F8C">
        <w:t xml:space="preserve"> population age structure</w:t>
      </w:r>
      <w:r w:rsidRPr="001A4F8C">
        <w:rPr>
          <w:bCs/>
        </w:rPr>
        <w:t>. Due to low numbers of silver perch collected during this project, we only present findings for golden perch in this report.</w:t>
      </w:r>
      <w:r>
        <w:rPr>
          <w:bCs/>
        </w:rPr>
        <w:t xml:space="preserve"> </w:t>
      </w:r>
    </w:p>
    <w:p w14:paraId="5E196D92" w14:textId="3881B761" w:rsidR="008B4383" w:rsidRPr="004041F8" w:rsidRDefault="008B4383" w:rsidP="008B4383">
      <w:pPr>
        <w:rPr>
          <w:i/>
          <w:u w:val="single"/>
        </w:rPr>
      </w:pPr>
      <w:r w:rsidRPr="004041F8">
        <w:rPr>
          <w:i/>
          <w:u w:val="single"/>
        </w:rPr>
        <w:t>Sampling YOY and population age</w:t>
      </w:r>
      <w:r w:rsidR="005F76FD">
        <w:rPr>
          <w:i/>
          <w:u w:val="single"/>
        </w:rPr>
        <w:t xml:space="preserve"> </w:t>
      </w:r>
      <w:r w:rsidRPr="004041F8">
        <w:rPr>
          <w:i/>
          <w:u w:val="single"/>
        </w:rPr>
        <w:t>structure</w:t>
      </w:r>
    </w:p>
    <w:p w14:paraId="108D5E72" w14:textId="79E2C18E" w:rsidR="008B4383" w:rsidRDefault="008B4383" w:rsidP="008B4383">
      <w:r>
        <w:t>From 2015–2020, a</w:t>
      </w:r>
      <w:r w:rsidRPr="00A27AD6">
        <w:t>dult and juvenile golden perch</w:t>
      </w:r>
      <w:r>
        <w:t xml:space="preserve"> </w:t>
      </w:r>
      <w:r w:rsidRPr="00A27AD6">
        <w:t xml:space="preserve">were sampled </w:t>
      </w:r>
      <w:r w:rsidRPr="001226B6">
        <w:t xml:space="preserve">using a 7.5 kW Smith Root (Model GPP 7.5) </w:t>
      </w:r>
      <w:r w:rsidRPr="00A27AD6">
        <w:t xml:space="preserve">boat </w:t>
      </w:r>
      <w:r w:rsidRPr="00250FE2">
        <w:t>electrofishing</w:t>
      </w:r>
      <w:r>
        <w:t xml:space="preserve"> unit</w:t>
      </w:r>
      <w:r w:rsidRPr="00250FE2">
        <w:t xml:space="preserve"> at </w:t>
      </w:r>
      <w:r w:rsidRPr="001A4F8C">
        <w:t>approximately 16 sites</w:t>
      </w:r>
      <w:r w:rsidRPr="00250FE2">
        <w:t xml:space="preserve"> in</w:t>
      </w:r>
      <w:r>
        <w:t xml:space="preserve"> the </w:t>
      </w:r>
      <w:r w:rsidRPr="004C46D7">
        <w:t>LMR</w:t>
      </w:r>
      <w:r>
        <w:t xml:space="preserve"> </w:t>
      </w:r>
      <w:r w:rsidRPr="00A5719D">
        <w:t>(</w:t>
      </w:r>
      <w:r>
        <w:t xml:space="preserve">Ye </w:t>
      </w:r>
      <w:r w:rsidRPr="00A64AEF">
        <w:rPr>
          <w:i/>
        </w:rPr>
        <w:t>et al.</w:t>
      </w:r>
      <w:r>
        <w:t xml:space="preserve"> 2020)</w:t>
      </w:r>
      <w:r w:rsidRPr="00A27AD6">
        <w:t>.</w:t>
      </w:r>
      <w:r>
        <w:t xml:space="preserve"> Annual s</w:t>
      </w:r>
      <w:r w:rsidRPr="001226B6">
        <w:t xml:space="preserve">ampling was undertaken in </w:t>
      </w:r>
      <w:r w:rsidRPr="00796AF4">
        <w:t>April</w:t>
      </w:r>
      <w:r>
        <w:t>–</w:t>
      </w:r>
      <w:r w:rsidRPr="00B1362D">
        <w:t xml:space="preserve">May to complement Category 1 Fish </w:t>
      </w:r>
      <w:r>
        <w:t>Assemblage</w:t>
      </w:r>
      <w:r w:rsidRPr="00B1362D">
        <w:t xml:space="preserve"> sampling and to maximise the likeliho</w:t>
      </w:r>
      <w:r>
        <w:t>od</w:t>
      </w:r>
      <w:r w:rsidRPr="001226B6">
        <w:t xml:space="preserve"> of collecting YOY </w:t>
      </w:r>
      <w:bookmarkStart w:id="260" w:name="_Toc396249016"/>
      <w:r w:rsidR="00DD344A">
        <w:t>from</w:t>
      </w:r>
      <w:r w:rsidR="00DD344A" w:rsidRPr="001226B6">
        <w:t xml:space="preserve"> the </w:t>
      </w:r>
      <w:r w:rsidR="00DD344A">
        <w:t xml:space="preserve">previous </w:t>
      </w:r>
      <w:r w:rsidR="00DD344A" w:rsidRPr="001226B6">
        <w:t>spring–summer spawning season.</w:t>
      </w:r>
    </w:p>
    <w:p w14:paraId="1A6CFE2E" w14:textId="5468AA8C" w:rsidR="008B4383" w:rsidRDefault="008B4383" w:rsidP="008B4383">
      <w:r w:rsidRPr="001226B6">
        <w:t>Electrofishing was conducted during daylight hours and all av</w:t>
      </w:r>
      <w:r>
        <w:t>ailable littoral habitats were surveyed</w:t>
      </w:r>
      <w:r w:rsidRPr="001226B6">
        <w:t>. At each site</w:t>
      </w:r>
      <w:r>
        <w:t>,</w:t>
      </w:r>
      <w:r w:rsidRPr="001226B6">
        <w:t xml:space="preserve"> the total time during which electrical current was applied </w:t>
      </w:r>
      <w:r w:rsidR="0083497B">
        <w:t xml:space="preserve">(on-time effort) </w:t>
      </w:r>
      <w:r w:rsidRPr="001226B6">
        <w:t xml:space="preserve">ranged from </w:t>
      </w:r>
      <w:r w:rsidRPr="00716F32">
        <w:t xml:space="preserve">approximately </w:t>
      </w:r>
      <w:r w:rsidRPr="003F2FDF">
        <w:t>676</w:t>
      </w:r>
      <w:r w:rsidRPr="007D321A">
        <w:t xml:space="preserve"> to 2</w:t>
      </w:r>
      <w:r w:rsidR="003A404C">
        <w:t>,</w:t>
      </w:r>
      <w:r w:rsidRPr="007D321A">
        <w:t>880 seconds</w:t>
      </w:r>
      <w:r w:rsidRPr="001226B6">
        <w:t xml:space="preserve">. All individuals were measured to the nearest mm (total length, TL) and a </w:t>
      </w:r>
      <w:bookmarkEnd w:id="260"/>
      <w:r w:rsidRPr="001226B6">
        <w:t>sub</w:t>
      </w:r>
      <w:r w:rsidR="00E330A8">
        <w:t>-</w:t>
      </w:r>
      <w:r w:rsidRPr="001226B6">
        <w:t xml:space="preserve">sample of </w:t>
      </w:r>
      <w:r>
        <w:t>golden perch</w:t>
      </w:r>
      <w:r w:rsidRPr="001226B6">
        <w:t xml:space="preserve"> proportionally representing the length-frequency of golden perch </w:t>
      </w:r>
      <w:r>
        <w:t xml:space="preserve">collected </w:t>
      </w:r>
      <w:r w:rsidRPr="001226B6">
        <w:t>was retained for ageing.</w:t>
      </w:r>
    </w:p>
    <w:p w14:paraId="625FD81E" w14:textId="77777777" w:rsidR="008B4383" w:rsidRPr="00B1362D" w:rsidRDefault="008B4383" w:rsidP="008B4383">
      <w:pPr>
        <w:spacing w:before="0" w:after="200"/>
        <w:jc w:val="left"/>
        <w:rPr>
          <w:i/>
          <w:u w:val="single"/>
        </w:rPr>
      </w:pPr>
      <w:r>
        <w:rPr>
          <w:i/>
          <w:u w:val="single"/>
        </w:rPr>
        <w:t>Abundance</w:t>
      </w:r>
    </w:p>
    <w:p w14:paraId="11F2D396" w14:textId="6B33088F" w:rsidR="008B4383" w:rsidRPr="00DD4873" w:rsidRDefault="008B4383" w:rsidP="008B4383">
      <w:pPr>
        <w:rPr>
          <w:rFonts w:eastAsiaTheme="majorEastAsia"/>
        </w:rPr>
      </w:pPr>
      <w:r w:rsidRPr="00231CF1">
        <w:t xml:space="preserve">Temporal variability in </w:t>
      </w:r>
      <w:r>
        <w:t>the relative abundance of golden perch</w:t>
      </w:r>
      <w:r w:rsidRPr="00231CF1">
        <w:t xml:space="preserve"> was investigated by assessing changes </w:t>
      </w:r>
      <w:r>
        <w:t>in Categ</w:t>
      </w:r>
      <w:r w:rsidRPr="00B1362D">
        <w:t>ory 1 electrofishing</w:t>
      </w:r>
      <w:r w:rsidR="006D0A9D">
        <w:t xml:space="preserve"> catch-per-unit-effort</w:t>
      </w:r>
      <w:r w:rsidRPr="00B1362D">
        <w:t xml:space="preserve"> </w:t>
      </w:r>
      <w:r w:rsidR="006D0A9D">
        <w:t>(</w:t>
      </w:r>
      <w:r w:rsidRPr="00B1362D">
        <w:t>CPUE</w:t>
      </w:r>
      <w:r w:rsidR="006D0A9D">
        <w:t>)</w:t>
      </w:r>
      <w:r w:rsidRPr="00B1362D">
        <w:t xml:space="preserve"> data (See </w:t>
      </w:r>
      <w:r>
        <w:t xml:space="preserve">Section </w:t>
      </w:r>
      <w:r w:rsidR="006D0A9D">
        <w:fldChar w:fldCharType="begin"/>
      </w:r>
      <w:r w:rsidR="006D0A9D">
        <w:instrText xml:space="preserve"> REF _Ref56693925 \r \h </w:instrText>
      </w:r>
      <w:r w:rsidR="006D0A9D">
        <w:fldChar w:fldCharType="separate"/>
      </w:r>
      <w:r w:rsidR="00241910">
        <w:t>2.8</w:t>
      </w:r>
      <w:r w:rsidR="006D0A9D">
        <w:fldChar w:fldCharType="end"/>
      </w:r>
      <w:r>
        <w:t xml:space="preserve">, </w:t>
      </w:r>
      <w:r w:rsidRPr="00B1362D">
        <w:t xml:space="preserve">Fish </w:t>
      </w:r>
      <w:r>
        <w:t>Assemblage</w:t>
      </w:r>
      <w:r w:rsidRPr="00B1362D">
        <w:t>). Differences</w:t>
      </w:r>
      <w:r w:rsidRPr="00231CF1">
        <w:t xml:space="preserve"> in the relative abundance (</w:t>
      </w:r>
      <w:r>
        <w:t>individuals per 90 seconds of electrofishing on-time effort</w:t>
      </w:r>
      <w:r w:rsidRPr="00231CF1">
        <w:t xml:space="preserve">) between years </w:t>
      </w:r>
      <w:r>
        <w:t>were analysed using uni</w:t>
      </w:r>
      <w:r w:rsidRPr="00231CF1">
        <w:t>variate single-factor PERMANOVA (</w:t>
      </w:r>
      <w:r>
        <w:t>permutational ANOVA and MANOVA)</w:t>
      </w:r>
      <w:r w:rsidRPr="00231CF1">
        <w:t xml:space="preserve"> in the software package PRIMER v. 6.1.12 and PERMANOVA+ (Anderson </w:t>
      </w:r>
      <w:r w:rsidRPr="00231CF1">
        <w:rPr>
          <w:i/>
        </w:rPr>
        <w:t xml:space="preserve">et al. </w:t>
      </w:r>
      <w:r w:rsidRPr="00231CF1">
        <w:t xml:space="preserve">2008). These analyses were performed on </w:t>
      </w:r>
      <w:r>
        <w:t>un</w:t>
      </w:r>
      <w:r w:rsidRPr="00231CF1">
        <w:t>transformed</w:t>
      </w:r>
      <w:r>
        <w:t>,</w:t>
      </w:r>
      <w:r w:rsidRPr="00231CF1">
        <w:t xml:space="preserve"> </w:t>
      </w:r>
      <w:r>
        <w:t xml:space="preserve">standardised </w:t>
      </w:r>
      <w:r w:rsidRPr="00231CF1">
        <w:t xml:space="preserve">relative abundance data. </w:t>
      </w:r>
    </w:p>
    <w:p w14:paraId="2BABEF6B" w14:textId="77777777" w:rsidR="008B4383" w:rsidRPr="004041F8" w:rsidRDefault="008B4383" w:rsidP="008B4383">
      <w:pPr>
        <w:spacing w:before="0" w:after="200"/>
        <w:jc w:val="left"/>
        <w:rPr>
          <w:i/>
          <w:u w:val="single"/>
        </w:rPr>
      </w:pPr>
      <w:r w:rsidRPr="004041F8">
        <w:rPr>
          <w:i/>
          <w:u w:val="single"/>
        </w:rPr>
        <w:t>Ageing</w:t>
      </w:r>
    </w:p>
    <w:p w14:paraId="7E0CB21C" w14:textId="0BB825FC" w:rsidR="008B4383" w:rsidRPr="001226B6" w:rsidRDefault="008B4383" w:rsidP="008B4383">
      <w:r w:rsidRPr="00A434F2">
        <w:t xml:space="preserve">We </w:t>
      </w:r>
      <w:r>
        <w:t>used</w:t>
      </w:r>
      <w:r w:rsidRPr="00A434F2">
        <w:t xml:space="preserve"> age-frequency distributions to assess the age structure and year-class strength of golden perch. </w:t>
      </w:r>
      <w:bookmarkStart w:id="261" w:name="_Hlk57382715"/>
      <w:r w:rsidRPr="00A434F2">
        <w:t>Golden perch retained for ageing were euthanised and sagittal otoliths were removed. Whole otoliths were embedded in clear casting resin and a single 400 to 600 </w:t>
      </w:r>
      <w:r w:rsidRPr="00A434F2">
        <w:sym w:font="Symbol" w:char="F06D"/>
      </w:r>
      <w:r w:rsidRPr="00A434F2">
        <w:t>m transverse section was prepared. Sections were examined using a dissecting microscope (x25) under transmitted light. Estimates of age were determined independently by three readers by counting the number of discernible opaque zones (annuli) from the primordium to the otolith edge. YOY (&lt;1 year old) fish were defined as individuals lacking clearly discernible annuli.</w:t>
      </w:r>
      <w:bookmarkEnd w:id="261"/>
    </w:p>
    <w:p w14:paraId="4819DEFF" w14:textId="77777777" w:rsidR="008B4383" w:rsidRDefault="008B4383" w:rsidP="008B4383">
      <w:pPr>
        <w:spacing w:before="0" w:after="160" w:line="259" w:lineRule="auto"/>
        <w:jc w:val="left"/>
        <w:rPr>
          <w:rFonts w:eastAsiaTheme="majorEastAsia" w:cstheme="majorBidi"/>
          <w:b/>
          <w:i/>
          <w:color w:val="44546A" w:themeColor="text2"/>
          <w:sz w:val="24"/>
          <w:szCs w:val="24"/>
        </w:rPr>
      </w:pPr>
      <w:r>
        <w:br w:type="page"/>
      </w:r>
    </w:p>
    <w:p w14:paraId="238CBC2C" w14:textId="77777777" w:rsidR="008B4383" w:rsidRDefault="008B4383" w:rsidP="008B4383">
      <w:pPr>
        <w:pStyle w:val="Heading3"/>
      </w:pPr>
      <w:r>
        <w:t>Results</w:t>
      </w:r>
    </w:p>
    <w:p w14:paraId="691BAE29" w14:textId="77777777" w:rsidR="008B4383" w:rsidRPr="008D67E0" w:rsidRDefault="008B4383" w:rsidP="008B4383">
      <w:pPr>
        <w:rPr>
          <w:i/>
          <w:u w:val="single"/>
        </w:rPr>
      </w:pPr>
      <w:r>
        <w:rPr>
          <w:i/>
          <w:u w:val="single"/>
        </w:rPr>
        <w:t>Abundance</w:t>
      </w:r>
    </w:p>
    <w:p w14:paraId="65F5545A" w14:textId="24F90655" w:rsidR="008B4383" w:rsidRDefault="008B4383" w:rsidP="008B4383">
      <w:r w:rsidRPr="00401C96">
        <w:t>Relative abundance of golden perch declined from 2015 (0.57 ± 0.08</w:t>
      </w:r>
      <w:r>
        <w:t> </w:t>
      </w:r>
      <w:r w:rsidRPr="00401C96">
        <w:t>ind./shot) to 20</w:t>
      </w:r>
      <w:r>
        <w:t>20</w:t>
      </w:r>
      <w:r w:rsidRPr="00401C96">
        <w:t xml:space="preserve"> (0.2</w:t>
      </w:r>
      <w:r>
        <w:t>7</w:t>
      </w:r>
      <w:r w:rsidRPr="00401C96">
        <w:t xml:space="preserve"> ± 0.0</w:t>
      </w:r>
      <w:r>
        <w:t>3 </w:t>
      </w:r>
      <w:r w:rsidRPr="00401C96">
        <w:t xml:space="preserve">ind./shot, </w:t>
      </w:r>
      <w:r w:rsidRPr="0002107D">
        <w:fldChar w:fldCharType="begin"/>
      </w:r>
      <w:r w:rsidRPr="0002107D">
        <w:instrText xml:space="preserve"> REF _Ref24642517 \h </w:instrText>
      </w:r>
      <w:r>
        <w:instrText xml:space="preserve"> \* MERGEFORMAT </w:instrText>
      </w:r>
      <w:r w:rsidRPr="0002107D">
        <w:fldChar w:fldCharType="separate"/>
      </w:r>
      <w:r w:rsidR="006045CA">
        <w:t xml:space="preserve">Figure </w:t>
      </w:r>
      <w:r w:rsidR="006045CA">
        <w:rPr>
          <w:noProof/>
        </w:rPr>
        <w:t>47</w:t>
      </w:r>
      <w:r w:rsidRPr="0002107D">
        <w:fldChar w:fldCharType="end"/>
      </w:r>
      <w:r w:rsidRPr="0002107D">
        <w:t xml:space="preserve">). </w:t>
      </w:r>
      <w:r w:rsidRPr="00401C96">
        <w:t>This was supported by PERMANOVA which demonstrated significant differences between years (</w:t>
      </w:r>
      <w:r w:rsidRPr="001D60DC">
        <w:t>Pseudo F</w:t>
      </w:r>
      <w:r w:rsidRPr="00C90552">
        <w:rPr>
          <w:vertAlign w:val="subscript"/>
        </w:rPr>
        <w:t>5</w:t>
      </w:r>
      <w:r w:rsidRPr="001D60DC">
        <w:rPr>
          <w:vertAlign w:val="subscript"/>
        </w:rPr>
        <w:t>,</w:t>
      </w:r>
      <w:r w:rsidRPr="00C90552">
        <w:rPr>
          <w:vertAlign w:val="subscript"/>
        </w:rPr>
        <w:t>5</w:t>
      </w:r>
      <w:r w:rsidRPr="001D60DC">
        <w:rPr>
          <w:vertAlign w:val="subscript"/>
        </w:rPr>
        <w:t xml:space="preserve">4 </w:t>
      </w:r>
      <w:r w:rsidRPr="001D60DC">
        <w:t>=</w:t>
      </w:r>
      <w:r w:rsidRPr="00C90552">
        <w:t>5.6435</w:t>
      </w:r>
      <w:r w:rsidRPr="001D60DC">
        <w:t xml:space="preserve">, </w:t>
      </w:r>
      <w:r w:rsidRPr="001D60DC">
        <w:rPr>
          <w:i/>
        </w:rPr>
        <w:t>P</w:t>
      </w:r>
      <w:r>
        <w:t>≤</w:t>
      </w:r>
      <w:r w:rsidRPr="003B2109">
        <w:t>0.00</w:t>
      </w:r>
      <w:r>
        <w:t>1</w:t>
      </w:r>
      <w:r w:rsidRPr="00401C96">
        <w:t>). Pair-wise comparisons revealed significant di</w:t>
      </w:r>
      <w:r>
        <w:t xml:space="preserve">fferences between 2015 and 2019, 2015 and 2020, </w:t>
      </w:r>
      <w:r w:rsidR="0080561C">
        <w:t xml:space="preserve">2016 and </w:t>
      </w:r>
      <w:r>
        <w:t>2019</w:t>
      </w:r>
      <w:r w:rsidRPr="00401C96">
        <w:t>,</w:t>
      </w:r>
      <w:r>
        <w:t xml:space="preserve"> and </w:t>
      </w:r>
      <w:r w:rsidR="0080561C">
        <w:t xml:space="preserve">2016 and </w:t>
      </w:r>
      <w:r>
        <w:t>2020,</w:t>
      </w:r>
      <w:r w:rsidRPr="00401C96">
        <w:t xml:space="preserve"> but not between any other years</w:t>
      </w:r>
      <w:r w:rsidRPr="000A7BCA">
        <w:t xml:space="preserve"> (</w:t>
      </w:r>
      <w:r w:rsidR="007F69C2">
        <w:t>Table D11 in Appendix D</w:t>
      </w:r>
      <w:r w:rsidRPr="000A7BCA">
        <w:t>).</w:t>
      </w:r>
    </w:p>
    <w:p w14:paraId="0FB1EB65" w14:textId="77777777" w:rsidR="008B4383" w:rsidRDefault="008B4383" w:rsidP="008B4383">
      <w:pPr>
        <w:jc w:val="center"/>
        <w:rPr>
          <w:i/>
          <w:u w:val="single"/>
        </w:rPr>
      </w:pPr>
      <w:r w:rsidRPr="00A756B5">
        <w:rPr>
          <w:noProof/>
          <w:lang w:eastAsia="en-AU"/>
        </w:rPr>
        <w:drawing>
          <wp:inline distT="0" distB="0" distL="0" distR="0" wp14:anchorId="57221A12" wp14:editId="524EF649">
            <wp:extent cx="4125433" cy="2923596"/>
            <wp:effectExtent l="0" t="0" r="889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4178796" cy="2961413"/>
                    </a:xfrm>
                    <a:prstGeom prst="rect">
                      <a:avLst/>
                    </a:prstGeom>
                    <a:noFill/>
                    <a:ln>
                      <a:noFill/>
                    </a:ln>
                  </pic:spPr>
                </pic:pic>
              </a:graphicData>
            </a:graphic>
          </wp:inline>
        </w:drawing>
      </w:r>
    </w:p>
    <w:p w14:paraId="37A04E58" w14:textId="21B0BA8F" w:rsidR="008B4383" w:rsidRDefault="008B4383" w:rsidP="008B4383">
      <w:pPr>
        <w:pStyle w:val="Caption"/>
        <w:rPr>
          <w:i/>
          <w:u w:val="single"/>
        </w:rPr>
      </w:pPr>
      <w:bookmarkStart w:id="262" w:name="_Ref24642517"/>
      <w:bookmarkStart w:id="263" w:name="_Toc69387711"/>
      <w:r>
        <w:t xml:space="preserve">Figure </w:t>
      </w:r>
      <w:r>
        <w:rPr>
          <w:noProof/>
        </w:rPr>
        <w:fldChar w:fldCharType="begin"/>
      </w:r>
      <w:r>
        <w:rPr>
          <w:noProof/>
        </w:rPr>
        <w:instrText xml:space="preserve"> SEQ Figure \* ARABIC </w:instrText>
      </w:r>
      <w:r>
        <w:rPr>
          <w:noProof/>
        </w:rPr>
        <w:fldChar w:fldCharType="separate"/>
      </w:r>
      <w:r w:rsidR="00996426">
        <w:rPr>
          <w:noProof/>
        </w:rPr>
        <w:t>47</w:t>
      </w:r>
      <w:r>
        <w:rPr>
          <w:noProof/>
        </w:rPr>
        <w:fldChar w:fldCharType="end"/>
      </w:r>
      <w:bookmarkEnd w:id="262"/>
      <w:r>
        <w:t xml:space="preserve">. </w:t>
      </w:r>
      <w:r w:rsidRPr="00607412">
        <w:t xml:space="preserve">Mean catch-per-unit-effort (CPUE) ± standard error of </w:t>
      </w:r>
      <w:r>
        <w:t>golden perch</w:t>
      </w:r>
      <w:r w:rsidRPr="00607412">
        <w:t xml:space="preserve"> captured </w:t>
      </w:r>
      <w:r>
        <w:t>during Category 1 Fish Assemblage</w:t>
      </w:r>
      <w:r w:rsidRPr="00607412">
        <w:t xml:space="preserve"> electrofishing (individuals per 90 second shot) in the gorge geomorphic zone (10 sites) of the L</w:t>
      </w:r>
      <w:r w:rsidR="008C22A9">
        <w:t xml:space="preserve">ower </w:t>
      </w:r>
      <w:r w:rsidRPr="00607412">
        <w:t>M</w:t>
      </w:r>
      <w:r w:rsidR="008C22A9">
        <w:t xml:space="preserve">urray </w:t>
      </w:r>
      <w:r w:rsidRPr="00607412">
        <w:t>R</w:t>
      </w:r>
      <w:r w:rsidR="008C22A9">
        <w:t>iver</w:t>
      </w:r>
      <w:r w:rsidRPr="00607412">
        <w:t xml:space="preserve"> in </w:t>
      </w:r>
      <w:r>
        <w:t>a</w:t>
      </w:r>
      <w:r w:rsidRPr="00607412">
        <w:t>utumn from 2015–20</w:t>
      </w:r>
      <w:r>
        <w:t>20</w:t>
      </w:r>
      <w:r w:rsidRPr="00607412">
        <w:t>. CPUE data from five sites are presented for 2017 as other sites were sampled during winter 2017.</w:t>
      </w:r>
      <w:bookmarkEnd w:id="263"/>
    </w:p>
    <w:p w14:paraId="0405791C" w14:textId="77777777" w:rsidR="008B4383" w:rsidRPr="00410B45" w:rsidRDefault="008B4383" w:rsidP="008B4383">
      <w:pPr>
        <w:rPr>
          <w:i/>
          <w:u w:val="single"/>
        </w:rPr>
      </w:pPr>
      <w:r>
        <w:rPr>
          <w:i/>
          <w:u w:val="single"/>
        </w:rPr>
        <w:t>A</w:t>
      </w:r>
      <w:r w:rsidRPr="00410B45">
        <w:rPr>
          <w:i/>
          <w:u w:val="single"/>
        </w:rPr>
        <w:t>ge structure</w:t>
      </w:r>
    </w:p>
    <w:p w14:paraId="6103E549" w14:textId="5E55A215" w:rsidR="008B4383" w:rsidRDefault="00DD344A" w:rsidP="008B4383">
      <w:pPr>
        <w:rPr>
          <w:i/>
          <w:u w:val="single"/>
        </w:rPr>
      </w:pPr>
      <w:r>
        <w:t>From 2015–2020, YOY (age 0+) golden perch were absent from electrofishing</w:t>
      </w:r>
      <w:r w:rsidR="00074180">
        <w:t xml:space="preserve"> samples</w:t>
      </w:r>
      <w:r>
        <w:t xml:space="preserve">, although in 2017, two individuals were collected in fyke nets. In 2015, the sampled population of golden perch ranged in age from 2+ to 18+ years, with </w:t>
      </w:r>
      <w:r w:rsidRPr="0097212A">
        <w:t xml:space="preserve">dominant cohorts of age </w:t>
      </w:r>
      <w:r>
        <w:t>4</w:t>
      </w:r>
      <w:r w:rsidRPr="0097212A">
        <w:t>+</w:t>
      </w:r>
      <w:r>
        <w:t xml:space="preserve"> (30% of population), 5</w:t>
      </w:r>
      <w:r w:rsidRPr="0097212A">
        <w:t>+</w:t>
      </w:r>
      <w:r>
        <w:t xml:space="preserve"> (35%), 14+ (9%) and 18+ (10%) representing </w:t>
      </w:r>
      <w:r w:rsidRPr="0097212A">
        <w:t xml:space="preserve">fish </w:t>
      </w:r>
      <w:r>
        <w:t xml:space="preserve">born </w:t>
      </w:r>
      <w:r w:rsidRPr="0097212A">
        <w:t xml:space="preserve">in </w:t>
      </w:r>
      <w:r>
        <w:t xml:space="preserve">2010-11, </w:t>
      </w:r>
      <w:r w:rsidRPr="0097212A">
        <w:t>2009</w:t>
      </w:r>
      <w:r>
        <w:rPr>
          <w:rFonts w:cstheme="minorHAnsi"/>
        </w:rPr>
        <w:t>-</w:t>
      </w:r>
      <w:r w:rsidRPr="0097212A">
        <w:t>10</w:t>
      </w:r>
      <w:r>
        <w:t>, 2000-01 and 1996-97</w:t>
      </w:r>
      <w:r w:rsidRPr="0097212A">
        <w:t>, respectively</w:t>
      </w:r>
      <w:r>
        <w:t xml:space="preserve"> </w:t>
      </w:r>
      <w:r w:rsidR="008B4383">
        <w:t>(</w:t>
      </w:r>
      <w:r w:rsidR="008B4383">
        <w:fldChar w:fldCharType="begin"/>
      </w:r>
      <w:r w:rsidR="008B4383">
        <w:instrText xml:space="preserve"> REF _Ref531251781 \h </w:instrText>
      </w:r>
      <w:r w:rsidR="008B4383">
        <w:fldChar w:fldCharType="separate"/>
      </w:r>
      <w:r w:rsidR="006045CA">
        <w:t xml:space="preserve">Figure </w:t>
      </w:r>
      <w:r w:rsidR="006045CA">
        <w:rPr>
          <w:noProof/>
        </w:rPr>
        <w:t>48</w:t>
      </w:r>
      <w:r w:rsidR="008B4383">
        <w:fldChar w:fldCharType="end"/>
      </w:r>
      <w:r w:rsidR="008B4383" w:rsidRPr="00754625">
        <w:t>)</w:t>
      </w:r>
      <w:r w:rsidR="008B4383" w:rsidRPr="0097212A">
        <w:t>.</w:t>
      </w:r>
      <w:r w:rsidR="00F47059">
        <w:t xml:space="preserve"> </w:t>
      </w:r>
      <w:r>
        <w:t xml:space="preserve">These four cohorts persisted in the population from 2015–2020, but their relative contribution varied. </w:t>
      </w:r>
      <w:r w:rsidRPr="0097212A">
        <w:t>In 20</w:t>
      </w:r>
      <w:r>
        <w:t>20</w:t>
      </w:r>
      <w:r w:rsidRPr="0097212A">
        <w:t xml:space="preserve">, </w:t>
      </w:r>
      <w:r>
        <w:t>g</w:t>
      </w:r>
      <w:r w:rsidRPr="0097212A">
        <w:t>olden perch</w:t>
      </w:r>
      <w:r>
        <w:t xml:space="preserve"> collected in the LMR</w:t>
      </w:r>
      <w:r w:rsidRPr="0097212A">
        <w:t xml:space="preserve"> ranged in age from </w:t>
      </w:r>
      <w:r>
        <w:t>1</w:t>
      </w:r>
      <w:r w:rsidRPr="0097212A">
        <w:t xml:space="preserve">+ to </w:t>
      </w:r>
      <w:r>
        <w:t>23</w:t>
      </w:r>
      <w:r w:rsidRPr="0097212A">
        <w:t>+</w:t>
      </w:r>
      <w:r>
        <w:t xml:space="preserve"> years</w:t>
      </w:r>
      <w:r w:rsidRPr="0097212A">
        <w:t xml:space="preserve">, with dominant cohorts of age </w:t>
      </w:r>
      <w:r>
        <w:t xml:space="preserve">6+ to 10+ </w:t>
      </w:r>
      <w:r w:rsidRPr="0097212A">
        <w:t xml:space="preserve">fish, </w:t>
      </w:r>
      <w:r>
        <w:t>born</w:t>
      </w:r>
      <w:r w:rsidRPr="0097212A">
        <w:t xml:space="preserve"> in</w:t>
      </w:r>
      <w:r>
        <w:t xml:space="preserve"> 2013-14 to </w:t>
      </w:r>
      <w:r w:rsidRPr="0097212A">
        <w:t>2009</w:t>
      </w:r>
      <w:r>
        <w:rPr>
          <w:rFonts w:cstheme="minorHAnsi"/>
        </w:rPr>
        <w:t>-</w:t>
      </w:r>
      <w:r w:rsidRPr="0097212A">
        <w:t>10</w:t>
      </w:r>
      <w:r>
        <w:t xml:space="preserve">, collectively </w:t>
      </w:r>
      <w:r w:rsidRPr="0097212A">
        <w:t>compris</w:t>
      </w:r>
      <w:r>
        <w:t>ing</w:t>
      </w:r>
      <w:r w:rsidRPr="0097212A">
        <w:t xml:space="preserve"> </w:t>
      </w:r>
      <w:r>
        <w:t>87</w:t>
      </w:r>
      <w:r w:rsidRPr="0097212A">
        <w:t>% of the sampled population</w:t>
      </w:r>
      <w:r w:rsidRPr="00754625">
        <w:t>.</w:t>
      </w:r>
    </w:p>
    <w:p w14:paraId="6D80119C" w14:textId="77777777" w:rsidR="008B4383" w:rsidRDefault="008B4383" w:rsidP="008B4383"/>
    <w:p w14:paraId="653083AF" w14:textId="77777777" w:rsidR="008B4383" w:rsidRDefault="008B4383" w:rsidP="008B4383">
      <w:pPr>
        <w:jc w:val="center"/>
        <w:sectPr w:rsidR="008B4383">
          <w:footnotePr>
            <w:numFmt w:val="lowerLetter"/>
          </w:footnotePr>
          <w:pgSz w:w="11906" w:h="16838"/>
          <w:pgMar w:top="1440" w:right="1440" w:bottom="1440" w:left="1440" w:header="708" w:footer="708" w:gutter="0"/>
          <w:cols w:space="708"/>
          <w:docGrid w:linePitch="360"/>
        </w:sectPr>
      </w:pPr>
      <w:r w:rsidRPr="00284906">
        <w:t xml:space="preserve"> </w:t>
      </w:r>
    </w:p>
    <w:p w14:paraId="1138ADB7" w14:textId="7072780F" w:rsidR="008B4383" w:rsidRDefault="00B670A9" w:rsidP="008B4383">
      <w:pPr>
        <w:jc w:val="center"/>
      </w:pPr>
      <w:r w:rsidRPr="00B670A9">
        <w:rPr>
          <w:noProof/>
        </w:rPr>
        <w:drawing>
          <wp:inline distT="0" distB="0" distL="0" distR="0" wp14:anchorId="547F4208" wp14:editId="6EC1F6AD">
            <wp:extent cx="4322519" cy="7620000"/>
            <wp:effectExtent l="0" t="0" r="190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9" cstate="email">
                      <a:extLst>
                        <a:ext uri="{28A0092B-C50C-407E-A947-70E740481C1C}">
                          <a14:useLocalDpi xmlns:a14="http://schemas.microsoft.com/office/drawing/2010/main"/>
                        </a:ext>
                      </a:extLst>
                    </a:blip>
                    <a:srcRect t="3761" r="3029"/>
                    <a:stretch/>
                  </pic:blipFill>
                  <pic:spPr bwMode="auto">
                    <a:xfrm>
                      <a:off x="0" y="0"/>
                      <a:ext cx="4330895" cy="7634766"/>
                    </a:xfrm>
                    <a:prstGeom prst="rect">
                      <a:avLst/>
                    </a:prstGeom>
                    <a:noFill/>
                    <a:ln>
                      <a:noFill/>
                    </a:ln>
                    <a:extLst>
                      <a:ext uri="{53640926-AAD7-44D8-BBD7-CCE9431645EC}">
                        <a14:shadowObscured xmlns:a14="http://schemas.microsoft.com/office/drawing/2010/main"/>
                      </a:ext>
                    </a:extLst>
                  </pic:spPr>
                </pic:pic>
              </a:graphicData>
            </a:graphic>
          </wp:inline>
        </w:drawing>
      </w:r>
    </w:p>
    <w:p w14:paraId="466CF07D" w14:textId="07F02D69" w:rsidR="008B4383" w:rsidRDefault="008B4383" w:rsidP="008B4383">
      <w:pPr>
        <w:pStyle w:val="Caption"/>
        <w:sectPr w:rsidR="008B4383" w:rsidSect="00B33830">
          <w:pgSz w:w="11906" w:h="16838"/>
          <w:pgMar w:top="1440" w:right="1440" w:bottom="1440" w:left="1440" w:header="709" w:footer="709" w:gutter="0"/>
          <w:cols w:space="708"/>
          <w:docGrid w:linePitch="360"/>
        </w:sectPr>
      </w:pPr>
      <w:bookmarkStart w:id="264" w:name="_Ref531251781"/>
      <w:bookmarkStart w:id="265" w:name="_Toc3558379"/>
      <w:bookmarkStart w:id="266" w:name="_Toc69387712"/>
      <w:r>
        <w:t xml:space="preserve">Figure </w:t>
      </w:r>
      <w:r>
        <w:rPr>
          <w:noProof/>
        </w:rPr>
        <w:fldChar w:fldCharType="begin"/>
      </w:r>
      <w:r>
        <w:rPr>
          <w:noProof/>
        </w:rPr>
        <w:instrText xml:space="preserve"> SEQ Figure \* ARABIC </w:instrText>
      </w:r>
      <w:r>
        <w:rPr>
          <w:noProof/>
        </w:rPr>
        <w:fldChar w:fldCharType="separate"/>
      </w:r>
      <w:r w:rsidR="00940312">
        <w:rPr>
          <w:noProof/>
        </w:rPr>
        <w:t>48</w:t>
      </w:r>
      <w:r>
        <w:rPr>
          <w:noProof/>
        </w:rPr>
        <w:fldChar w:fldCharType="end"/>
      </w:r>
      <w:bookmarkEnd w:id="264"/>
      <w:r>
        <w:t>. A</w:t>
      </w:r>
      <w:r w:rsidRPr="00F67B33">
        <w:t xml:space="preserve">ge frequency distribution of golden perch </w:t>
      </w:r>
      <w:r>
        <w:t>from</w:t>
      </w:r>
      <w:r w:rsidRPr="00F67B33">
        <w:t xml:space="preserve"> the </w:t>
      </w:r>
      <w:r w:rsidR="008C22A9" w:rsidRPr="00607412">
        <w:t>L</w:t>
      </w:r>
      <w:r w:rsidR="008C22A9">
        <w:t xml:space="preserve">ower </w:t>
      </w:r>
      <w:r w:rsidR="008C22A9" w:rsidRPr="00607412">
        <w:t>M</w:t>
      </w:r>
      <w:r w:rsidR="008C22A9">
        <w:t xml:space="preserve">urray </w:t>
      </w:r>
      <w:r w:rsidR="008C22A9" w:rsidRPr="00607412">
        <w:t>R</w:t>
      </w:r>
      <w:r w:rsidR="008C22A9">
        <w:t>iver</w:t>
      </w:r>
      <w:r w:rsidRPr="00F67B33">
        <w:t xml:space="preserve"> </w:t>
      </w:r>
      <w:r>
        <w:t>from 2015–</w:t>
      </w:r>
      <w:r w:rsidRPr="00511E78">
        <w:t>20</w:t>
      </w:r>
      <w:r>
        <w:t xml:space="preserve">20, also showing the natal origins of dominant cohorts inferred from otolith </w:t>
      </w:r>
      <w:r w:rsidR="00DD344A">
        <w:t xml:space="preserve">core </w:t>
      </w:r>
      <w:r w:rsidR="00DD344A" w:rsidRPr="007B5CF9">
        <w:rPr>
          <w:vertAlign w:val="superscript"/>
        </w:rPr>
        <w:t>87</w:t>
      </w:r>
      <w:r w:rsidR="00DD344A">
        <w:t>Sr/</w:t>
      </w:r>
      <w:r w:rsidR="00DD344A" w:rsidRPr="007B5CF9">
        <w:rPr>
          <w:vertAlign w:val="superscript"/>
        </w:rPr>
        <w:t>86</w:t>
      </w:r>
      <w:r w:rsidR="00DD344A">
        <w:t xml:space="preserve">Sr signatures </w:t>
      </w:r>
      <w:r>
        <w:t xml:space="preserve">of the sampled fish in comparison to the water sample reference collection (Ye </w:t>
      </w:r>
      <w:r w:rsidRPr="00DC4246">
        <w:rPr>
          <w:i/>
        </w:rPr>
        <w:t>et al.</w:t>
      </w:r>
      <w:r>
        <w:t xml:space="preserve"> 2020). </w:t>
      </w:r>
      <w:r w:rsidRPr="0085569B">
        <w:t xml:space="preserve">LRM = Murray River, below the Darling confluence. </w:t>
      </w:r>
      <w:r>
        <w:t>Percentage of origin for each cohort are based on the sub</w:t>
      </w:r>
      <w:r w:rsidR="00E330A8">
        <w:t>-</w:t>
      </w:r>
      <w:r>
        <w:t>sampled population. Age cohorts with grey bars were not assessed for natal origin.</w:t>
      </w:r>
      <w:bookmarkEnd w:id="265"/>
      <w:bookmarkEnd w:id="266"/>
    </w:p>
    <w:p w14:paraId="5C52CF4A" w14:textId="77777777" w:rsidR="008B4383" w:rsidRDefault="008B4383" w:rsidP="008B4383">
      <w:pPr>
        <w:pStyle w:val="Heading3"/>
      </w:pPr>
      <w:r w:rsidRPr="00B76721">
        <w:t>Evaluation</w:t>
      </w:r>
    </w:p>
    <w:p w14:paraId="6FE72897" w14:textId="2A514480" w:rsidR="008B4383" w:rsidRDefault="008B4383" w:rsidP="008B4383">
      <w:r>
        <w:t xml:space="preserve">The evaluation approach, including assessment criteria, is described in the evaluation section for </w:t>
      </w:r>
      <w:r w:rsidR="00855E31">
        <w:t>H</w:t>
      </w:r>
      <w:r>
        <w:t>ydr</w:t>
      </w:r>
      <w:r w:rsidR="001522FE">
        <w:t>aulic</w:t>
      </w:r>
      <w:r>
        <w:t xml:space="preserve"> </w:t>
      </w:r>
      <w:r w:rsidR="00855E31">
        <w:t>R</w:t>
      </w:r>
      <w:r>
        <w:t xml:space="preserve">egime (Section </w:t>
      </w:r>
      <w:r>
        <w:fldChar w:fldCharType="begin"/>
      </w:r>
      <w:r>
        <w:instrText xml:space="preserve"> REF _Ref35872226 \r \h  \* MERGEFORMAT </w:instrText>
      </w:r>
      <w:r>
        <w:fldChar w:fldCharType="separate"/>
      </w:r>
      <w:r w:rsidR="00241910">
        <w:t>2.1</w:t>
      </w:r>
      <w:r>
        <w:fldChar w:fldCharType="end"/>
      </w:r>
      <w:r>
        <w:t>).</w:t>
      </w:r>
    </w:p>
    <w:p w14:paraId="120D197A" w14:textId="68A2532A" w:rsidR="008B4383" w:rsidRPr="00B76721" w:rsidRDefault="008B4383" w:rsidP="008B4383">
      <w:pPr>
        <w:pStyle w:val="Caption"/>
      </w:pPr>
      <w:bookmarkStart w:id="267" w:name="_Toc69387748"/>
      <w:r>
        <w:t xml:space="preserve">Table </w:t>
      </w:r>
      <w:r>
        <w:rPr>
          <w:noProof/>
        </w:rPr>
        <w:fldChar w:fldCharType="begin"/>
      </w:r>
      <w:r>
        <w:rPr>
          <w:noProof/>
        </w:rPr>
        <w:instrText xml:space="preserve"> SEQ Table \* ARABIC </w:instrText>
      </w:r>
      <w:r>
        <w:rPr>
          <w:noProof/>
        </w:rPr>
        <w:fldChar w:fldCharType="separate"/>
      </w:r>
      <w:r w:rsidR="00002263">
        <w:rPr>
          <w:noProof/>
        </w:rPr>
        <w:t>19</w:t>
      </w:r>
      <w:r>
        <w:rPr>
          <w:noProof/>
        </w:rPr>
        <w:fldChar w:fldCharType="end"/>
      </w:r>
      <w:r>
        <w:t xml:space="preserve">. </w:t>
      </w:r>
      <w:r w:rsidRPr="00F46757">
        <w:t>Flow-cued Spawning Fish Recruitment</w:t>
      </w:r>
      <w:r>
        <w:t xml:space="preserve"> evaluation questions and answers. YOY = young-of-year.</w:t>
      </w:r>
      <w:bookmarkEnd w:id="26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56"/>
        <w:gridCol w:w="2267"/>
        <w:gridCol w:w="3493"/>
      </w:tblGrid>
      <w:tr w:rsidR="008B4383" w:rsidRPr="0041543F" w14:paraId="4425009C" w14:textId="77777777" w:rsidTr="00A707FD">
        <w:trPr>
          <w:cantSplit/>
          <w:trHeight w:val="20"/>
          <w:tblHeader/>
        </w:trPr>
        <w:tc>
          <w:tcPr>
            <w:tcW w:w="1806" w:type="pct"/>
            <w:vMerge w:val="restart"/>
            <w:tcBorders>
              <w:top w:val="single" w:sz="4" w:space="0" w:color="auto"/>
              <w:left w:val="single" w:sz="4" w:space="0" w:color="auto"/>
              <w:right w:val="single" w:sz="4" w:space="0" w:color="auto"/>
            </w:tcBorders>
          </w:tcPr>
          <w:p w14:paraId="1B971119" w14:textId="77777777" w:rsidR="008B4383" w:rsidRPr="0041543F" w:rsidRDefault="008B4383" w:rsidP="00210EBF">
            <w:pPr>
              <w:pStyle w:val="TableHeading"/>
              <w:jc w:val="center"/>
              <w:rPr>
                <w:sz w:val="19"/>
                <w:szCs w:val="19"/>
              </w:rPr>
            </w:pPr>
            <w:r w:rsidRPr="0041543F">
              <w:rPr>
                <w:sz w:val="19"/>
                <w:szCs w:val="19"/>
              </w:rPr>
              <w:t xml:space="preserve">CEWO evaluation questions </w:t>
            </w:r>
          </w:p>
        </w:tc>
        <w:tc>
          <w:tcPr>
            <w:tcW w:w="3194" w:type="pct"/>
            <w:gridSpan w:val="2"/>
            <w:tcBorders>
              <w:top w:val="single" w:sz="4" w:space="0" w:color="auto"/>
              <w:left w:val="single" w:sz="4" w:space="0" w:color="auto"/>
              <w:right w:val="single" w:sz="4" w:space="0" w:color="auto"/>
            </w:tcBorders>
          </w:tcPr>
          <w:p w14:paraId="0D77B344" w14:textId="77777777" w:rsidR="008B4383" w:rsidRPr="0041543F" w:rsidRDefault="008B4383" w:rsidP="00210EBF">
            <w:pPr>
              <w:pStyle w:val="TableHeading"/>
              <w:jc w:val="center"/>
              <w:rPr>
                <w:sz w:val="19"/>
                <w:szCs w:val="19"/>
              </w:rPr>
            </w:pPr>
            <w:r w:rsidRPr="0041543F">
              <w:rPr>
                <w:sz w:val="19"/>
                <w:szCs w:val="19"/>
              </w:rPr>
              <w:t xml:space="preserve">Outcomes </w:t>
            </w:r>
            <w:r w:rsidRPr="0085624C">
              <w:rPr>
                <w:sz w:val="19"/>
                <w:szCs w:val="19"/>
              </w:rPr>
              <w:t xml:space="preserve">of </w:t>
            </w:r>
            <w:r w:rsidRPr="001408FD">
              <w:rPr>
                <w:sz w:val="19"/>
                <w:szCs w:val="19"/>
              </w:rPr>
              <w:t>flow</w:t>
            </w:r>
            <w:r w:rsidRPr="0085624C">
              <w:rPr>
                <w:sz w:val="19"/>
                <w:szCs w:val="19"/>
              </w:rPr>
              <w:t xml:space="preserve"> delivery</w:t>
            </w:r>
          </w:p>
        </w:tc>
      </w:tr>
      <w:tr w:rsidR="008B4383" w:rsidRPr="0041543F" w14:paraId="51886CC9" w14:textId="77777777" w:rsidTr="00A707FD">
        <w:trPr>
          <w:cantSplit/>
          <w:trHeight w:val="20"/>
          <w:tblHeader/>
        </w:trPr>
        <w:tc>
          <w:tcPr>
            <w:tcW w:w="1806" w:type="pct"/>
            <w:vMerge/>
            <w:tcBorders>
              <w:left w:val="single" w:sz="4" w:space="0" w:color="auto"/>
              <w:bottom w:val="single" w:sz="4" w:space="0" w:color="auto"/>
              <w:right w:val="single" w:sz="4" w:space="0" w:color="auto"/>
            </w:tcBorders>
          </w:tcPr>
          <w:p w14:paraId="5A953065" w14:textId="77777777" w:rsidR="008B4383" w:rsidRDefault="008B4383" w:rsidP="00210EBF">
            <w:pPr>
              <w:pStyle w:val="TableHeading"/>
              <w:jc w:val="center"/>
              <w:rPr>
                <w:sz w:val="19"/>
                <w:szCs w:val="19"/>
              </w:rPr>
            </w:pPr>
          </w:p>
        </w:tc>
        <w:tc>
          <w:tcPr>
            <w:tcW w:w="1257" w:type="pct"/>
            <w:tcBorders>
              <w:left w:val="single" w:sz="4" w:space="0" w:color="auto"/>
              <w:bottom w:val="single" w:sz="4" w:space="0" w:color="auto"/>
            </w:tcBorders>
            <w:vAlign w:val="bottom"/>
          </w:tcPr>
          <w:p w14:paraId="286E76B9" w14:textId="77777777" w:rsidR="008B4383" w:rsidRPr="0041543F" w:rsidRDefault="008B4383" w:rsidP="00210EBF">
            <w:pPr>
              <w:pStyle w:val="TableHeading"/>
              <w:jc w:val="center"/>
              <w:rPr>
                <w:sz w:val="19"/>
                <w:szCs w:val="19"/>
              </w:rPr>
            </w:pPr>
            <w:r>
              <w:rPr>
                <w:sz w:val="19"/>
                <w:szCs w:val="19"/>
              </w:rPr>
              <w:t>2014-15 – 2018-19</w:t>
            </w:r>
          </w:p>
        </w:tc>
        <w:tc>
          <w:tcPr>
            <w:tcW w:w="1937" w:type="pct"/>
            <w:tcBorders>
              <w:top w:val="single" w:sz="4" w:space="0" w:color="auto"/>
              <w:bottom w:val="single" w:sz="4" w:space="0" w:color="auto"/>
            </w:tcBorders>
          </w:tcPr>
          <w:p w14:paraId="30CD5D7E" w14:textId="77777777" w:rsidR="008B4383" w:rsidRDefault="008B4383" w:rsidP="00210EBF">
            <w:pPr>
              <w:pStyle w:val="TableHeading"/>
              <w:jc w:val="center"/>
              <w:rPr>
                <w:sz w:val="19"/>
                <w:szCs w:val="19"/>
              </w:rPr>
            </w:pPr>
            <w:r>
              <w:rPr>
                <w:sz w:val="19"/>
                <w:szCs w:val="19"/>
              </w:rPr>
              <w:t>2019-20</w:t>
            </w:r>
          </w:p>
        </w:tc>
      </w:tr>
      <w:tr w:rsidR="008B4383" w:rsidRPr="0041543F" w14:paraId="191753FF" w14:textId="77777777" w:rsidTr="00A707FD">
        <w:trPr>
          <w:cantSplit/>
          <w:trHeight w:val="20"/>
          <w:tblHeader/>
        </w:trPr>
        <w:tc>
          <w:tcPr>
            <w:tcW w:w="1806" w:type="pct"/>
            <w:tcBorders>
              <w:left w:val="single" w:sz="4" w:space="0" w:color="auto"/>
              <w:bottom w:val="single" w:sz="4" w:space="0" w:color="auto"/>
              <w:right w:val="single" w:sz="4" w:space="0" w:color="auto"/>
            </w:tcBorders>
          </w:tcPr>
          <w:p w14:paraId="79C235D4" w14:textId="77777777" w:rsidR="008B4383" w:rsidRPr="00C63722" w:rsidRDefault="008B4383" w:rsidP="00210EBF">
            <w:pPr>
              <w:pStyle w:val="TableHeading"/>
              <w:jc w:val="left"/>
              <w:rPr>
                <w:sz w:val="19"/>
                <w:szCs w:val="19"/>
              </w:rPr>
            </w:pPr>
            <w:r w:rsidRPr="00C63722">
              <w:rPr>
                <w:b w:val="0"/>
                <w:sz w:val="19"/>
                <w:szCs w:val="19"/>
              </w:rPr>
              <w:t>Did the flow regime (including environmental water) contribute to recruitment of golden perch and silver perch?</w:t>
            </w:r>
          </w:p>
        </w:tc>
        <w:tc>
          <w:tcPr>
            <w:tcW w:w="1257" w:type="pct"/>
            <w:tcBorders>
              <w:left w:val="single" w:sz="4" w:space="0" w:color="auto"/>
              <w:bottom w:val="single" w:sz="4" w:space="0" w:color="auto"/>
            </w:tcBorders>
            <w:shd w:val="clear" w:color="auto" w:fill="E2EFD9" w:themeFill="accent6" w:themeFillTint="33"/>
          </w:tcPr>
          <w:p w14:paraId="2A980BEA" w14:textId="77777777" w:rsidR="008B4383" w:rsidRPr="00B71F94" w:rsidRDefault="008B4383" w:rsidP="00210EBF">
            <w:pPr>
              <w:pStyle w:val="TableHeading"/>
              <w:jc w:val="left"/>
              <w:rPr>
                <w:b w:val="0"/>
                <w:sz w:val="19"/>
                <w:szCs w:val="19"/>
              </w:rPr>
            </w:pPr>
            <w:r>
              <w:rPr>
                <w:b w:val="0"/>
                <w:sz w:val="19"/>
                <w:szCs w:val="19"/>
              </w:rPr>
              <w:t>Negligible recruitment</w:t>
            </w:r>
          </w:p>
          <w:p w14:paraId="260DDA43" w14:textId="77777777" w:rsidR="008B4383" w:rsidRPr="00311ED9" w:rsidRDefault="008B4383" w:rsidP="00210EBF">
            <w:pPr>
              <w:pStyle w:val="TableHeading"/>
              <w:jc w:val="left"/>
              <w:rPr>
                <w:sz w:val="19"/>
                <w:szCs w:val="19"/>
              </w:rPr>
            </w:pPr>
          </w:p>
        </w:tc>
        <w:tc>
          <w:tcPr>
            <w:tcW w:w="1937" w:type="pct"/>
            <w:tcBorders>
              <w:top w:val="single" w:sz="4" w:space="0" w:color="auto"/>
              <w:bottom w:val="single" w:sz="4" w:space="0" w:color="auto"/>
            </w:tcBorders>
            <w:shd w:val="clear" w:color="auto" w:fill="E2EFD9" w:themeFill="accent6" w:themeFillTint="33"/>
          </w:tcPr>
          <w:p w14:paraId="7C7B1666" w14:textId="5E7DD3FE" w:rsidR="008B4383" w:rsidRPr="00DA052E" w:rsidRDefault="008B4383" w:rsidP="00210EBF">
            <w:pPr>
              <w:pStyle w:val="TableHeading"/>
              <w:jc w:val="left"/>
              <w:rPr>
                <w:b w:val="0"/>
                <w:color w:val="auto"/>
                <w:sz w:val="19"/>
                <w:szCs w:val="19"/>
              </w:rPr>
            </w:pPr>
            <w:r>
              <w:rPr>
                <w:b w:val="0"/>
                <w:color w:val="auto"/>
                <w:sz w:val="19"/>
                <w:szCs w:val="19"/>
              </w:rPr>
              <w:t>In</w:t>
            </w:r>
            <w:r w:rsidRPr="00DA052E">
              <w:rPr>
                <w:b w:val="0"/>
                <w:color w:val="auto"/>
                <w:sz w:val="19"/>
                <w:szCs w:val="19"/>
              </w:rPr>
              <w:t xml:space="preserve"> the </w:t>
            </w:r>
            <w:r>
              <w:rPr>
                <w:b w:val="0"/>
                <w:color w:val="auto"/>
                <w:sz w:val="19"/>
                <w:szCs w:val="19"/>
              </w:rPr>
              <w:t>LMR during 2019-20, the flow regime (including environmental water) contribute</w:t>
            </w:r>
            <w:r w:rsidR="00B90076">
              <w:rPr>
                <w:b w:val="0"/>
                <w:color w:val="auto"/>
                <w:sz w:val="19"/>
                <w:szCs w:val="19"/>
              </w:rPr>
              <w:t>d</w:t>
            </w:r>
            <w:r>
              <w:rPr>
                <w:b w:val="0"/>
                <w:color w:val="auto"/>
                <w:sz w:val="19"/>
                <w:szCs w:val="19"/>
              </w:rPr>
              <w:t xml:space="preserve"> to </w:t>
            </w:r>
            <w:r w:rsidR="00C63722">
              <w:rPr>
                <w:b w:val="0"/>
                <w:color w:val="auto"/>
                <w:sz w:val="19"/>
                <w:szCs w:val="19"/>
              </w:rPr>
              <w:t xml:space="preserve">negligible </w:t>
            </w:r>
            <w:r>
              <w:rPr>
                <w:b w:val="0"/>
                <w:color w:val="auto"/>
                <w:sz w:val="19"/>
                <w:szCs w:val="19"/>
              </w:rPr>
              <w:t xml:space="preserve">recruitment of golden perch </w:t>
            </w:r>
            <w:r w:rsidR="00C63722">
              <w:rPr>
                <w:b w:val="0"/>
                <w:color w:val="auto"/>
                <w:sz w:val="19"/>
                <w:szCs w:val="19"/>
              </w:rPr>
              <w:t>and</w:t>
            </w:r>
            <w:r>
              <w:rPr>
                <w:b w:val="0"/>
                <w:color w:val="auto"/>
                <w:sz w:val="19"/>
                <w:szCs w:val="19"/>
              </w:rPr>
              <w:t xml:space="preserve"> </w:t>
            </w:r>
            <w:r w:rsidRPr="00223BA5">
              <w:rPr>
                <w:b w:val="0"/>
                <w:color w:val="auto"/>
                <w:sz w:val="19"/>
                <w:szCs w:val="19"/>
              </w:rPr>
              <w:t>silver perch (to YOY, age 0+).</w:t>
            </w:r>
          </w:p>
        </w:tc>
      </w:tr>
      <w:tr w:rsidR="008B4383" w:rsidRPr="007770BB" w14:paraId="75A6DC3F" w14:textId="77777777" w:rsidTr="00A707FD">
        <w:trPr>
          <w:cantSplit/>
          <w:trHeight w:val="20"/>
        </w:trPr>
        <w:tc>
          <w:tcPr>
            <w:tcW w:w="1806" w:type="pct"/>
            <w:tcBorders>
              <w:left w:val="single" w:sz="4" w:space="0" w:color="auto"/>
              <w:bottom w:val="single" w:sz="4" w:space="0" w:color="auto"/>
              <w:right w:val="single" w:sz="4" w:space="0" w:color="auto"/>
            </w:tcBorders>
          </w:tcPr>
          <w:p w14:paraId="2EFE2ABD" w14:textId="77777777" w:rsidR="008B4383" w:rsidRPr="00C63722" w:rsidRDefault="008B4383" w:rsidP="00210EBF">
            <w:pPr>
              <w:pStyle w:val="TableHeading"/>
              <w:jc w:val="left"/>
              <w:rPr>
                <w:b w:val="0"/>
                <w:sz w:val="19"/>
                <w:szCs w:val="19"/>
              </w:rPr>
            </w:pPr>
            <w:r w:rsidRPr="00C63722">
              <w:rPr>
                <w:b w:val="0"/>
                <w:sz w:val="19"/>
                <w:szCs w:val="19"/>
              </w:rPr>
              <w:t>Did the flow regime (including environmental water) contribute to the resilience of golden perch and silver perch populations?</w:t>
            </w:r>
          </w:p>
        </w:tc>
        <w:tc>
          <w:tcPr>
            <w:tcW w:w="3194" w:type="pct"/>
            <w:gridSpan w:val="2"/>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7BA6AFA" w14:textId="721C62CC" w:rsidR="008B4383" w:rsidRDefault="008B4383" w:rsidP="00210EBF">
            <w:pPr>
              <w:pStyle w:val="TableHeading"/>
              <w:jc w:val="left"/>
              <w:rPr>
                <w:b w:val="0"/>
                <w:sz w:val="19"/>
                <w:szCs w:val="19"/>
              </w:rPr>
            </w:pPr>
            <w:r>
              <w:rPr>
                <w:b w:val="0"/>
                <w:sz w:val="19"/>
                <w:szCs w:val="19"/>
              </w:rPr>
              <w:t>From</w:t>
            </w:r>
            <w:r w:rsidRPr="00A132FD">
              <w:rPr>
                <w:b w:val="0"/>
                <w:sz w:val="19"/>
                <w:szCs w:val="19"/>
              </w:rPr>
              <w:t xml:space="preserve"> 2014-15 to 201</w:t>
            </w:r>
            <w:r>
              <w:rPr>
                <w:b w:val="0"/>
                <w:sz w:val="19"/>
                <w:szCs w:val="19"/>
              </w:rPr>
              <w:t>9-20,</w:t>
            </w:r>
            <w:r w:rsidRPr="00A132FD">
              <w:rPr>
                <w:b w:val="0"/>
                <w:sz w:val="19"/>
                <w:szCs w:val="19"/>
              </w:rPr>
              <w:t xml:space="preserve"> </w:t>
            </w:r>
            <w:r>
              <w:rPr>
                <w:b w:val="0"/>
                <w:sz w:val="19"/>
                <w:szCs w:val="19"/>
              </w:rPr>
              <w:t>the flow regime (including environmental water)</w:t>
            </w:r>
            <w:r w:rsidRPr="00A132FD">
              <w:rPr>
                <w:b w:val="0"/>
                <w:sz w:val="19"/>
                <w:szCs w:val="19"/>
              </w:rPr>
              <w:t xml:space="preserve"> </w:t>
            </w:r>
            <w:r>
              <w:rPr>
                <w:b w:val="0"/>
                <w:sz w:val="19"/>
                <w:szCs w:val="19"/>
              </w:rPr>
              <w:t xml:space="preserve">in the LMR </w:t>
            </w:r>
            <w:r w:rsidR="00A707FD">
              <w:rPr>
                <w:b w:val="0"/>
                <w:sz w:val="19"/>
                <w:szCs w:val="19"/>
              </w:rPr>
              <w:t xml:space="preserve">did not promote resilience in </w:t>
            </w:r>
            <w:r w:rsidRPr="00A132FD">
              <w:rPr>
                <w:b w:val="0"/>
                <w:sz w:val="19"/>
                <w:szCs w:val="19"/>
              </w:rPr>
              <w:t>golden perch</w:t>
            </w:r>
            <w:r>
              <w:rPr>
                <w:b w:val="0"/>
                <w:sz w:val="19"/>
                <w:szCs w:val="19"/>
              </w:rPr>
              <w:t xml:space="preserve"> or silver perch populations</w:t>
            </w:r>
            <w:r w:rsidRPr="00A132FD">
              <w:rPr>
                <w:b w:val="0"/>
                <w:sz w:val="19"/>
                <w:szCs w:val="19"/>
              </w:rPr>
              <w:t>.</w:t>
            </w:r>
          </w:p>
        </w:tc>
      </w:tr>
    </w:tbl>
    <w:p w14:paraId="1D5C5E84" w14:textId="77777777" w:rsidR="008B4383" w:rsidRDefault="008B4383" w:rsidP="008B4383">
      <w:pPr>
        <w:pStyle w:val="NoSpacing"/>
        <w:rPr>
          <w:rFonts w:ascii="Century Gothic" w:hAnsi="Century Gothic"/>
          <w:sz w:val="19"/>
          <w:szCs w:val="19"/>
        </w:rPr>
      </w:pPr>
    </w:p>
    <w:p w14:paraId="7BA2AAB7" w14:textId="77777777" w:rsidR="008B4383" w:rsidRPr="0033194D" w:rsidRDefault="008B4383" w:rsidP="008B4383">
      <w:pPr>
        <w:spacing w:before="0" w:after="0" w:line="240" w:lineRule="auto"/>
        <w:jc w:val="left"/>
        <w:rPr>
          <w:color w:val="auto"/>
          <w:kern w:val="0"/>
          <w:sz w:val="19"/>
          <w:szCs w:val="19"/>
          <w:lang w:val="en-US" w:bidi="en-US"/>
        </w:rPr>
      </w:pPr>
      <w:r w:rsidRPr="0033194D">
        <w:rPr>
          <w:color w:val="auto"/>
          <w:kern w:val="0"/>
          <w:sz w:val="19"/>
          <w:szCs w:val="19"/>
          <w:lang w:val="en-US" w:bidi="en-US"/>
        </w:rPr>
        <w:t>Contribution (to what extent CEW contributed towards the outcome, with the significance of the outcome considered):</w:t>
      </w:r>
    </w:p>
    <w:tbl>
      <w:tblPr>
        <w:tblW w:w="7278" w:type="dxa"/>
        <w:tblLook w:val="04A0" w:firstRow="1" w:lastRow="0" w:firstColumn="1" w:lastColumn="0" w:noHBand="0" w:noVBand="1"/>
      </w:tblPr>
      <w:tblGrid>
        <w:gridCol w:w="222"/>
        <w:gridCol w:w="1066"/>
        <w:gridCol w:w="222"/>
        <w:gridCol w:w="1069"/>
        <w:gridCol w:w="222"/>
        <w:gridCol w:w="1704"/>
        <w:gridCol w:w="222"/>
        <w:gridCol w:w="727"/>
        <w:gridCol w:w="222"/>
        <w:gridCol w:w="1144"/>
        <w:gridCol w:w="222"/>
        <w:gridCol w:w="1210"/>
      </w:tblGrid>
      <w:tr w:rsidR="008B4383" w:rsidRPr="0033194D" w14:paraId="4341C504" w14:textId="77777777" w:rsidTr="00210EBF">
        <w:tc>
          <w:tcPr>
            <w:tcW w:w="222" w:type="dxa"/>
            <w:shd w:val="clear" w:color="auto" w:fill="D9D9D9" w:themeFill="background1" w:themeFillShade="D9"/>
          </w:tcPr>
          <w:p w14:paraId="2A7C3A99" w14:textId="77777777" w:rsidR="008B4383" w:rsidRPr="0033194D" w:rsidRDefault="008B4383" w:rsidP="00210EBF">
            <w:pPr>
              <w:contextualSpacing/>
              <w:rPr>
                <w:sz w:val="19"/>
                <w:szCs w:val="19"/>
              </w:rPr>
            </w:pPr>
          </w:p>
        </w:tc>
        <w:tc>
          <w:tcPr>
            <w:tcW w:w="1066" w:type="dxa"/>
            <w:vAlign w:val="center"/>
          </w:tcPr>
          <w:p w14:paraId="7AE0CCD4" w14:textId="77777777" w:rsidR="008B4383" w:rsidRPr="0033194D" w:rsidRDefault="008B4383" w:rsidP="00210EBF">
            <w:pPr>
              <w:contextualSpacing/>
              <w:rPr>
                <w:sz w:val="19"/>
                <w:szCs w:val="19"/>
              </w:rPr>
            </w:pPr>
            <w:r w:rsidRPr="0033194D">
              <w:rPr>
                <w:sz w:val="19"/>
                <w:szCs w:val="19"/>
              </w:rPr>
              <w:t>Unknown</w:t>
            </w:r>
          </w:p>
        </w:tc>
        <w:tc>
          <w:tcPr>
            <w:tcW w:w="222" w:type="dxa"/>
            <w:shd w:val="clear" w:color="auto" w:fill="FF0000"/>
            <w:vAlign w:val="center"/>
          </w:tcPr>
          <w:p w14:paraId="1D1EEBA3" w14:textId="77777777" w:rsidR="008B4383" w:rsidRPr="0033194D" w:rsidRDefault="008B4383" w:rsidP="00210EBF">
            <w:pPr>
              <w:contextualSpacing/>
              <w:rPr>
                <w:sz w:val="19"/>
                <w:szCs w:val="19"/>
              </w:rPr>
            </w:pPr>
          </w:p>
        </w:tc>
        <w:tc>
          <w:tcPr>
            <w:tcW w:w="1069" w:type="dxa"/>
            <w:vAlign w:val="center"/>
          </w:tcPr>
          <w:p w14:paraId="46428130" w14:textId="77777777" w:rsidR="008B4383" w:rsidRPr="0033194D" w:rsidRDefault="008B4383" w:rsidP="00210EBF">
            <w:pPr>
              <w:contextualSpacing/>
              <w:rPr>
                <w:sz w:val="19"/>
                <w:szCs w:val="19"/>
              </w:rPr>
            </w:pPr>
            <w:r w:rsidRPr="0033194D">
              <w:rPr>
                <w:sz w:val="19"/>
                <w:szCs w:val="19"/>
              </w:rPr>
              <w:t>Negative</w:t>
            </w:r>
          </w:p>
        </w:tc>
        <w:tc>
          <w:tcPr>
            <w:tcW w:w="222" w:type="dxa"/>
            <w:shd w:val="clear" w:color="auto" w:fill="E2EFD9" w:themeFill="accent6" w:themeFillTint="33"/>
            <w:vAlign w:val="center"/>
          </w:tcPr>
          <w:p w14:paraId="0062F864" w14:textId="77777777" w:rsidR="008B4383" w:rsidRPr="0033194D" w:rsidRDefault="008B4383" w:rsidP="00210EBF">
            <w:pPr>
              <w:contextualSpacing/>
              <w:rPr>
                <w:sz w:val="19"/>
                <w:szCs w:val="19"/>
              </w:rPr>
            </w:pPr>
          </w:p>
        </w:tc>
        <w:tc>
          <w:tcPr>
            <w:tcW w:w="1704" w:type="dxa"/>
            <w:vAlign w:val="center"/>
          </w:tcPr>
          <w:p w14:paraId="6FDFC1A8" w14:textId="77777777" w:rsidR="008B4383" w:rsidRPr="0033194D" w:rsidRDefault="008B4383" w:rsidP="00210EBF">
            <w:pPr>
              <w:contextualSpacing/>
              <w:rPr>
                <w:sz w:val="19"/>
                <w:szCs w:val="19"/>
              </w:rPr>
            </w:pPr>
            <w:r w:rsidRPr="0033194D">
              <w:rPr>
                <w:sz w:val="19"/>
                <w:szCs w:val="19"/>
              </w:rPr>
              <w:t>None/negligible</w:t>
            </w:r>
          </w:p>
        </w:tc>
        <w:tc>
          <w:tcPr>
            <w:tcW w:w="222" w:type="dxa"/>
            <w:shd w:val="clear" w:color="auto" w:fill="A8D08D" w:themeFill="accent6" w:themeFillTint="99"/>
            <w:vAlign w:val="center"/>
          </w:tcPr>
          <w:p w14:paraId="7615461C" w14:textId="77777777" w:rsidR="008B4383" w:rsidRPr="0033194D" w:rsidRDefault="008B4383" w:rsidP="00210EBF">
            <w:pPr>
              <w:contextualSpacing/>
              <w:rPr>
                <w:sz w:val="19"/>
                <w:szCs w:val="19"/>
              </w:rPr>
            </w:pPr>
          </w:p>
        </w:tc>
        <w:tc>
          <w:tcPr>
            <w:tcW w:w="727" w:type="dxa"/>
            <w:vAlign w:val="center"/>
          </w:tcPr>
          <w:p w14:paraId="292FA6F8" w14:textId="77777777" w:rsidR="008B4383" w:rsidRPr="0033194D" w:rsidRDefault="008B4383" w:rsidP="00210EBF">
            <w:pPr>
              <w:contextualSpacing/>
              <w:rPr>
                <w:sz w:val="19"/>
                <w:szCs w:val="19"/>
              </w:rPr>
            </w:pPr>
            <w:r w:rsidRPr="0033194D">
              <w:rPr>
                <w:sz w:val="19"/>
                <w:szCs w:val="19"/>
              </w:rPr>
              <w:t>Minor</w:t>
            </w:r>
          </w:p>
        </w:tc>
        <w:tc>
          <w:tcPr>
            <w:tcW w:w="222" w:type="dxa"/>
            <w:shd w:val="clear" w:color="auto" w:fill="70AD47" w:themeFill="accent6"/>
            <w:vAlign w:val="center"/>
          </w:tcPr>
          <w:p w14:paraId="2425493E" w14:textId="77777777" w:rsidR="008B4383" w:rsidRPr="0033194D" w:rsidRDefault="008B4383" w:rsidP="00210EBF">
            <w:pPr>
              <w:contextualSpacing/>
              <w:rPr>
                <w:sz w:val="19"/>
                <w:szCs w:val="19"/>
              </w:rPr>
            </w:pPr>
          </w:p>
        </w:tc>
        <w:tc>
          <w:tcPr>
            <w:tcW w:w="1144" w:type="dxa"/>
            <w:vAlign w:val="center"/>
          </w:tcPr>
          <w:p w14:paraId="45779E7F" w14:textId="77777777" w:rsidR="008B4383" w:rsidRPr="0033194D" w:rsidRDefault="008B4383" w:rsidP="00210EBF">
            <w:pPr>
              <w:contextualSpacing/>
              <w:rPr>
                <w:sz w:val="19"/>
                <w:szCs w:val="19"/>
              </w:rPr>
            </w:pPr>
            <w:r w:rsidRPr="0033194D">
              <w:rPr>
                <w:sz w:val="19"/>
                <w:szCs w:val="19"/>
              </w:rPr>
              <w:t>Moderate</w:t>
            </w:r>
          </w:p>
        </w:tc>
        <w:tc>
          <w:tcPr>
            <w:tcW w:w="222" w:type="dxa"/>
            <w:shd w:val="clear" w:color="auto" w:fill="5B9BD5" w:themeFill="accent1"/>
          </w:tcPr>
          <w:p w14:paraId="19085936" w14:textId="77777777" w:rsidR="008B4383" w:rsidRPr="0033194D" w:rsidRDefault="008B4383" w:rsidP="00210EBF">
            <w:pPr>
              <w:contextualSpacing/>
              <w:rPr>
                <w:sz w:val="19"/>
                <w:szCs w:val="19"/>
              </w:rPr>
            </w:pPr>
          </w:p>
        </w:tc>
        <w:tc>
          <w:tcPr>
            <w:tcW w:w="236" w:type="dxa"/>
            <w:vAlign w:val="center"/>
          </w:tcPr>
          <w:p w14:paraId="705335BF" w14:textId="77777777" w:rsidR="008B4383" w:rsidRPr="0033194D" w:rsidRDefault="008B4383" w:rsidP="00210EBF">
            <w:pPr>
              <w:contextualSpacing/>
              <w:jc w:val="left"/>
              <w:rPr>
                <w:sz w:val="19"/>
                <w:szCs w:val="19"/>
              </w:rPr>
            </w:pPr>
            <w:r w:rsidRPr="0033194D">
              <w:rPr>
                <w:sz w:val="19"/>
                <w:szCs w:val="19"/>
              </w:rPr>
              <w:t>Substantial</w:t>
            </w:r>
          </w:p>
        </w:tc>
      </w:tr>
    </w:tbl>
    <w:p w14:paraId="4D300232" w14:textId="77777777" w:rsidR="008B4383" w:rsidRDefault="008B4383" w:rsidP="008B4383">
      <w:pPr>
        <w:spacing w:before="0" w:after="160" w:line="259" w:lineRule="auto"/>
        <w:jc w:val="left"/>
      </w:pPr>
    </w:p>
    <w:p w14:paraId="45D1068A" w14:textId="77777777" w:rsidR="008B4383" w:rsidRDefault="008B4383" w:rsidP="008B4383">
      <w:pPr>
        <w:pStyle w:val="Heading3"/>
      </w:pPr>
      <w:r>
        <w:t>Discussion</w:t>
      </w:r>
    </w:p>
    <w:p w14:paraId="738A6E98" w14:textId="3FC35BFB" w:rsidR="008B4383" w:rsidRPr="00A70AD5" w:rsidRDefault="008B4383" w:rsidP="008B4383">
      <w:r w:rsidRPr="00A70AD5">
        <w:rPr>
          <w:bCs/>
        </w:rPr>
        <w:t xml:space="preserve">Over the </w:t>
      </w:r>
      <w:r w:rsidR="009A6BBA">
        <w:rPr>
          <w:bCs/>
        </w:rPr>
        <w:t>LTIM and MER</w:t>
      </w:r>
      <w:r w:rsidRPr="00A70AD5">
        <w:rPr>
          <w:bCs/>
        </w:rPr>
        <w:t xml:space="preserve"> </w:t>
      </w:r>
      <w:r w:rsidR="009A6BBA">
        <w:rPr>
          <w:bCs/>
        </w:rPr>
        <w:t>p</w:t>
      </w:r>
      <w:r w:rsidRPr="00A70AD5">
        <w:rPr>
          <w:bCs/>
        </w:rPr>
        <w:t>roject</w:t>
      </w:r>
      <w:r w:rsidR="009A6BBA">
        <w:rPr>
          <w:bCs/>
        </w:rPr>
        <w:t>s</w:t>
      </w:r>
      <w:r w:rsidRPr="00A70AD5">
        <w:rPr>
          <w:bCs/>
        </w:rPr>
        <w:t>, we aim</w:t>
      </w:r>
      <w:r w:rsidR="00B90076">
        <w:rPr>
          <w:bCs/>
        </w:rPr>
        <w:t>ed</w:t>
      </w:r>
      <w:r w:rsidRPr="00A70AD5">
        <w:rPr>
          <w:bCs/>
        </w:rPr>
        <w:t xml:space="preserve"> to identify potential associations between recruitment of golden perch and silver perch and environmental water delivery. We hypothesise</w:t>
      </w:r>
      <w:r w:rsidR="00B90076">
        <w:rPr>
          <w:bCs/>
        </w:rPr>
        <w:t>d</w:t>
      </w:r>
      <w:r w:rsidRPr="00A70AD5">
        <w:rPr>
          <w:bCs/>
        </w:rPr>
        <w:t xml:space="preserve"> that (1) increased </w:t>
      </w:r>
      <w:r w:rsidR="00DD344A" w:rsidRPr="00A70AD5">
        <w:rPr>
          <w:bCs/>
        </w:rPr>
        <w:t>flow (nominally &gt;</w:t>
      </w:r>
      <w:r w:rsidR="007B5CF9">
        <w:rPr>
          <w:bCs/>
        </w:rPr>
        <w:t>20</w:t>
      </w:r>
      <w:r w:rsidR="00DD344A" w:rsidRPr="00A70AD5">
        <w:rPr>
          <w:bCs/>
        </w:rPr>
        <w:t xml:space="preserve">,000 ML/d) in </w:t>
      </w:r>
      <w:r w:rsidRPr="00A70AD5">
        <w:rPr>
          <w:bCs/>
        </w:rPr>
        <w:t>spring–summer would promote the spawning and recruitment to YOY, and (2) multiple years of enhanced spring–summer flow would increase the resilience of golden perch</w:t>
      </w:r>
      <w:r w:rsidR="00B90076">
        <w:rPr>
          <w:bCs/>
        </w:rPr>
        <w:t xml:space="preserve"> and silver perch</w:t>
      </w:r>
      <w:r w:rsidRPr="00A70AD5">
        <w:rPr>
          <w:bCs/>
        </w:rPr>
        <w:t xml:space="preserve"> populations in the LMR by promoting a diverse age structure.</w:t>
      </w:r>
    </w:p>
    <w:p w14:paraId="7EFA7B3E" w14:textId="0284E016" w:rsidR="00F47059" w:rsidRPr="00A70AD5" w:rsidRDefault="00F47059" w:rsidP="00F47059">
      <w:pPr>
        <w:rPr>
          <w:bCs/>
        </w:rPr>
      </w:pPr>
      <w:r w:rsidRPr="00A70AD5">
        <w:rPr>
          <w:bCs/>
        </w:rPr>
        <w:t xml:space="preserve">From 2015–2020, golden perch recruitment in the </w:t>
      </w:r>
      <w:r w:rsidR="00D26B87">
        <w:rPr>
          <w:bCs/>
        </w:rPr>
        <w:t>LMR</w:t>
      </w:r>
      <w:r w:rsidRPr="00A70AD5">
        <w:rPr>
          <w:bCs/>
        </w:rPr>
        <w:t xml:space="preserve"> was poor, with no </w:t>
      </w:r>
      <w:r w:rsidR="003714B0">
        <w:rPr>
          <w:bCs/>
        </w:rPr>
        <w:t>strong</w:t>
      </w:r>
      <w:r w:rsidRPr="00A70AD5">
        <w:rPr>
          <w:bCs/>
        </w:rPr>
        <w:t xml:space="preserve"> age classes added to the population. </w:t>
      </w:r>
      <w:r w:rsidRPr="00A70AD5">
        <w:t>In 2015, the sampled population of golden perch ranged in age from 2+ to 18+ years, with dominant year classes from 2010-11, 2009</w:t>
      </w:r>
      <w:r w:rsidRPr="00A70AD5">
        <w:rPr>
          <w:rFonts w:cstheme="minorHAnsi"/>
        </w:rPr>
        <w:t>-</w:t>
      </w:r>
      <w:r w:rsidRPr="00A70AD5">
        <w:t>10, 2000-01 and 1996-97. These cohorts persisted in the population to 20</w:t>
      </w:r>
      <w:r>
        <w:t>20</w:t>
      </w:r>
      <w:r w:rsidRPr="00A70AD5">
        <w:t xml:space="preserve">, but the </w:t>
      </w:r>
      <w:r w:rsidRPr="00A70AD5">
        <w:rPr>
          <w:bCs/>
        </w:rPr>
        <w:t xml:space="preserve">relative proportions of older age cohorts (e.g. 2009-10, 2000-01 and 1996-97) declined. In association with an ageing population, abundance of golden perch in the LMR steadily </w:t>
      </w:r>
      <w:r w:rsidR="00096208" w:rsidRPr="00A70AD5">
        <w:rPr>
          <w:bCs/>
        </w:rPr>
        <w:t>declined</w:t>
      </w:r>
      <w:r w:rsidR="00096208">
        <w:rPr>
          <w:bCs/>
        </w:rPr>
        <w:t xml:space="preserve"> by almost </w:t>
      </w:r>
      <w:r>
        <w:rPr>
          <w:bCs/>
        </w:rPr>
        <w:t>half from 2015 to 2020</w:t>
      </w:r>
      <w:r w:rsidRPr="00A70AD5">
        <w:rPr>
          <w:bCs/>
        </w:rPr>
        <w:t xml:space="preserve">. Over the same period, declines in golden perch abundance were also observed in other monitoring programs in the region, for example, in </w:t>
      </w:r>
      <w:r>
        <w:rPr>
          <w:bCs/>
        </w:rPr>
        <w:t xml:space="preserve">TLM </w:t>
      </w:r>
      <w:r w:rsidRPr="00A70AD5">
        <w:rPr>
          <w:bCs/>
          <w:i/>
        </w:rPr>
        <w:t>condition</w:t>
      </w:r>
      <w:r w:rsidRPr="00A70AD5">
        <w:rPr>
          <w:bCs/>
        </w:rPr>
        <w:t xml:space="preserve"> </w:t>
      </w:r>
      <w:r w:rsidRPr="007E3AE5">
        <w:rPr>
          <w:bCs/>
          <w:i/>
          <w:iCs/>
        </w:rPr>
        <w:t>monitoring</w:t>
      </w:r>
      <w:r w:rsidRPr="00A70AD5">
        <w:rPr>
          <w:bCs/>
        </w:rPr>
        <w:t xml:space="preserve"> at the Chowilla icon site (Fredberg </w:t>
      </w:r>
      <w:r w:rsidRPr="00A70AD5">
        <w:rPr>
          <w:bCs/>
          <w:i/>
        </w:rPr>
        <w:t>et al</w:t>
      </w:r>
      <w:r w:rsidRPr="00A70AD5">
        <w:rPr>
          <w:bCs/>
        </w:rPr>
        <w:t xml:space="preserve">. 2019). Potential factors contributing to decline are a lack of recruitment, mortality (fishing </w:t>
      </w:r>
      <w:r>
        <w:rPr>
          <w:bCs/>
        </w:rPr>
        <w:t>and</w:t>
      </w:r>
      <w:r w:rsidRPr="00A70AD5">
        <w:rPr>
          <w:bCs/>
        </w:rPr>
        <w:t xml:space="preserve"> natural) and upstream emigration of adults (Zampatti </w:t>
      </w:r>
      <w:r w:rsidRPr="00A70AD5">
        <w:rPr>
          <w:bCs/>
          <w:i/>
        </w:rPr>
        <w:t>et al</w:t>
      </w:r>
      <w:r w:rsidRPr="00A70AD5">
        <w:rPr>
          <w:bCs/>
        </w:rPr>
        <w:t>. 2018). Ultimately, a lack of younger cohorts</w:t>
      </w:r>
      <w:r>
        <w:rPr>
          <w:bCs/>
        </w:rPr>
        <w:t>, reduced abundance</w:t>
      </w:r>
      <w:r w:rsidRPr="00A70AD5">
        <w:rPr>
          <w:bCs/>
        </w:rPr>
        <w:t xml:space="preserve"> </w:t>
      </w:r>
      <w:r w:rsidR="00096208" w:rsidRPr="00A70AD5">
        <w:rPr>
          <w:bCs/>
        </w:rPr>
        <w:t xml:space="preserve">and </w:t>
      </w:r>
      <w:r w:rsidR="00096208">
        <w:rPr>
          <w:bCs/>
        </w:rPr>
        <w:t>diminished</w:t>
      </w:r>
      <w:r w:rsidR="00096208" w:rsidRPr="00A70AD5">
        <w:rPr>
          <w:bCs/>
        </w:rPr>
        <w:t xml:space="preserve"> age </w:t>
      </w:r>
      <w:r w:rsidRPr="00A70AD5">
        <w:rPr>
          <w:bCs/>
        </w:rPr>
        <w:t>structure diversity</w:t>
      </w:r>
      <w:r>
        <w:rPr>
          <w:bCs/>
        </w:rPr>
        <w:t xml:space="preserve"> (</w:t>
      </w:r>
      <w:proofErr w:type="gramStart"/>
      <w:r>
        <w:rPr>
          <w:bCs/>
        </w:rPr>
        <w:t>e.g.</w:t>
      </w:r>
      <w:proofErr w:type="gramEnd"/>
      <w:r>
        <w:rPr>
          <w:bCs/>
        </w:rPr>
        <w:t xml:space="preserve"> population dominated by few cohorts)</w:t>
      </w:r>
      <w:r w:rsidRPr="00A70AD5">
        <w:rPr>
          <w:bCs/>
        </w:rPr>
        <w:t xml:space="preserve"> lead to a population that lacks resilience to environmental perturbations</w:t>
      </w:r>
      <w:r>
        <w:rPr>
          <w:bCs/>
        </w:rPr>
        <w:t xml:space="preserve"> and other impacts (e.g. fishing)</w:t>
      </w:r>
      <w:r w:rsidRPr="00A70AD5">
        <w:rPr>
          <w:bCs/>
        </w:rPr>
        <w:t>.</w:t>
      </w:r>
    </w:p>
    <w:p w14:paraId="42537109" w14:textId="77777777" w:rsidR="008B4383" w:rsidRPr="00A70AD5" w:rsidRDefault="008B4383" w:rsidP="008B4383">
      <w:pPr>
        <w:pStyle w:val="Heading3"/>
      </w:pPr>
      <w:r w:rsidRPr="00A70AD5">
        <w:t>Management implications</w:t>
      </w:r>
    </w:p>
    <w:p w14:paraId="483787BC" w14:textId="25F13826" w:rsidR="00F47059" w:rsidRPr="00A70AD5" w:rsidRDefault="00F47059" w:rsidP="00F47059">
      <w:pPr>
        <w:rPr>
          <w:bCs/>
        </w:rPr>
      </w:pPr>
      <w:r w:rsidRPr="00A70AD5">
        <w:rPr>
          <w:bCs/>
        </w:rPr>
        <w:t>From 2014</w:t>
      </w:r>
      <w:r>
        <w:rPr>
          <w:bCs/>
        </w:rPr>
        <w:t>-15–</w:t>
      </w:r>
      <w:r w:rsidRPr="00A70AD5">
        <w:rPr>
          <w:bCs/>
        </w:rPr>
        <w:t>2</w:t>
      </w:r>
      <w:r>
        <w:rPr>
          <w:bCs/>
        </w:rPr>
        <w:t>019-2</w:t>
      </w:r>
      <w:r w:rsidRPr="00A70AD5">
        <w:rPr>
          <w:bCs/>
        </w:rPr>
        <w:t>0, &gt;500 GL/year of Commonwealth environmental water was delivered to the LMR for a range of ecological objectives, including increas</w:t>
      </w:r>
      <w:r>
        <w:rPr>
          <w:bCs/>
        </w:rPr>
        <w:t>ing</w:t>
      </w:r>
      <w:r w:rsidRPr="00A70AD5">
        <w:rPr>
          <w:bCs/>
        </w:rPr>
        <w:t xml:space="preserve"> spawning and recruitment of flow-dependent species. These </w:t>
      </w:r>
      <w:r>
        <w:rPr>
          <w:bCs/>
        </w:rPr>
        <w:t>deliveries</w:t>
      </w:r>
      <w:r w:rsidRPr="00A70AD5">
        <w:rPr>
          <w:bCs/>
        </w:rPr>
        <w:t xml:space="preserve"> generally increased discharge at the South Australian border from base (entitlement) flows (~3,000–7,000</w:t>
      </w:r>
      <w:r w:rsidR="0011025F">
        <w:rPr>
          <w:bCs/>
        </w:rPr>
        <w:t> </w:t>
      </w:r>
      <w:r w:rsidRPr="00A70AD5">
        <w:rPr>
          <w:bCs/>
        </w:rPr>
        <w:t xml:space="preserve">ML/d) to small freshes (~12,000–17,800 ML/d) during spring/summer. </w:t>
      </w:r>
      <w:r w:rsidR="007E3AE5">
        <w:rPr>
          <w:bCs/>
        </w:rPr>
        <w:t>N</w:t>
      </w:r>
      <w:r w:rsidR="007E3AE5">
        <w:t>onetheless, the delivery of these flow pulses commonly involved re-regulation by Lake Victoria, which may have impacted the longitudinal integrity of flow.</w:t>
      </w:r>
      <w:r w:rsidR="007E3AE5" w:rsidRPr="00A70AD5">
        <w:rPr>
          <w:bCs/>
        </w:rPr>
        <w:t xml:space="preserve"> </w:t>
      </w:r>
      <w:r w:rsidRPr="00A70AD5">
        <w:rPr>
          <w:bCs/>
        </w:rPr>
        <w:t xml:space="preserve">Over the past six years golden perch recruitment was negligible. Evidence from the current investigation and allied studies suggest that </w:t>
      </w:r>
      <w:r w:rsidR="00096208" w:rsidRPr="00A70AD5">
        <w:rPr>
          <w:bCs/>
        </w:rPr>
        <w:t xml:space="preserve">greater flow (&gt;20,000 ML/d) </w:t>
      </w:r>
      <w:r w:rsidR="00096208">
        <w:rPr>
          <w:bCs/>
        </w:rPr>
        <w:t>is</w:t>
      </w:r>
      <w:r w:rsidR="00096208" w:rsidRPr="00A70AD5">
        <w:rPr>
          <w:bCs/>
        </w:rPr>
        <w:t xml:space="preserve"> likely required to significantly influence </w:t>
      </w:r>
      <w:r w:rsidR="009037C5">
        <w:rPr>
          <w:bCs/>
        </w:rPr>
        <w:t xml:space="preserve">local </w:t>
      </w:r>
      <w:r w:rsidR="00096208" w:rsidRPr="00A70AD5">
        <w:rPr>
          <w:bCs/>
        </w:rPr>
        <w:t>golden perch spawning</w:t>
      </w:r>
      <w:r w:rsidRPr="00A70AD5">
        <w:rPr>
          <w:bCs/>
        </w:rPr>
        <w:t xml:space="preserve"> and recruitment in the LMR. Annual spring–summer in-channel flow pulses of this magnitude were a key feature of the hydrograph of the LMR prior to regulation (</w:t>
      </w:r>
      <w:proofErr w:type="spellStart"/>
      <w:r w:rsidRPr="00A70AD5">
        <w:rPr>
          <w:bCs/>
        </w:rPr>
        <w:t>Mallen</w:t>
      </w:r>
      <w:proofErr w:type="spellEnd"/>
      <w:r w:rsidRPr="00A70AD5">
        <w:rPr>
          <w:bCs/>
        </w:rPr>
        <w:t xml:space="preserve">-Cooper and </w:t>
      </w:r>
      <w:proofErr w:type="spellStart"/>
      <w:r w:rsidRPr="00A70AD5">
        <w:rPr>
          <w:bCs/>
        </w:rPr>
        <w:t>Zampatti</w:t>
      </w:r>
      <w:proofErr w:type="spellEnd"/>
      <w:r w:rsidRPr="00A70AD5">
        <w:rPr>
          <w:bCs/>
        </w:rPr>
        <w:t xml:space="preserve"> 2018), and would have occurred in recent years under natural, unregulated conditions.</w:t>
      </w:r>
    </w:p>
    <w:p w14:paraId="0697110A" w14:textId="08947192" w:rsidR="008B4383" w:rsidRPr="00A70AD5" w:rsidRDefault="008B4383" w:rsidP="008B4383">
      <w:pPr>
        <w:rPr>
          <w:bCs/>
        </w:rPr>
      </w:pPr>
      <w:r w:rsidRPr="00A70AD5">
        <w:rPr>
          <w:bCs/>
        </w:rPr>
        <w:t xml:space="preserve">Ultimately, fish behaviour and life history processes are influenced by the hydraulic characteristics of flow (i.e. hydrodynamics), rather than volumes of water and rates of </w:t>
      </w:r>
      <w:r w:rsidR="00DE04E0">
        <w:rPr>
          <w:bCs/>
        </w:rPr>
        <w:t xml:space="preserve">discharge </w:t>
      </w:r>
      <w:r w:rsidRPr="00A70AD5">
        <w:rPr>
          <w:bCs/>
        </w:rPr>
        <w:t xml:space="preserve">(hydrology). Riverine hydrodynamics likely provide cues for movement and spawning and facilitate the downstream dispersal of early life stages. Contemporary flow management in the MDB mainly focuses on volume and discharge, whereas a hydraulic perspective is more relevant to understanding ecological processes and eliciting ecological outcomes (Bice </w:t>
      </w:r>
      <w:r w:rsidRPr="00A70AD5">
        <w:rPr>
          <w:bCs/>
          <w:i/>
        </w:rPr>
        <w:t>et al</w:t>
      </w:r>
      <w:r w:rsidRPr="00A70AD5">
        <w:rPr>
          <w:bCs/>
        </w:rPr>
        <w:t xml:space="preserve">. 2017; </w:t>
      </w:r>
      <w:proofErr w:type="spellStart"/>
      <w:r w:rsidRPr="00A70AD5">
        <w:rPr>
          <w:bCs/>
        </w:rPr>
        <w:t>Mallen</w:t>
      </w:r>
      <w:proofErr w:type="spellEnd"/>
      <w:r w:rsidRPr="00A70AD5">
        <w:rPr>
          <w:bCs/>
        </w:rPr>
        <w:t xml:space="preserve">-Cooper and </w:t>
      </w:r>
      <w:proofErr w:type="spellStart"/>
      <w:r w:rsidRPr="00A70AD5">
        <w:rPr>
          <w:bCs/>
        </w:rPr>
        <w:t>Zampatti</w:t>
      </w:r>
      <w:proofErr w:type="spellEnd"/>
      <w:r w:rsidRPr="00A70AD5">
        <w:rPr>
          <w:bCs/>
        </w:rPr>
        <w:t xml:space="preserve"> 2018). This is particularly relevant in the LMR, where contiguous weir pools result in a highly modified hydraulic environment. Indeed, the river only begins to substantially regain its lotic character at flows &gt;20,000 ML/d (Bice </w:t>
      </w:r>
      <w:r w:rsidRPr="00A70AD5">
        <w:rPr>
          <w:bCs/>
          <w:i/>
        </w:rPr>
        <w:t>et al</w:t>
      </w:r>
      <w:r w:rsidRPr="00A70AD5">
        <w:rPr>
          <w:bCs/>
        </w:rPr>
        <w:t xml:space="preserve">. 2017). Decreasing weir height reinstates lotic characteristics at lower discharges and, in conjunction with restoration of spring pulses, may improve the recruitment and population structure of riverine fishes such as golden </w:t>
      </w:r>
      <w:r w:rsidR="00074180" w:rsidRPr="00A70AD5">
        <w:rPr>
          <w:bCs/>
        </w:rPr>
        <w:t xml:space="preserve">perch. </w:t>
      </w:r>
      <w:r w:rsidR="00074180">
        <w:rPr>
          <w:bCs/>
        </w:rPr>
        <w:t>However, a</w:t>
      </w:r>
      <w:r w:rsidR="00074180" w:rsidRPr="00A70AD5">
        <w:rPr>
          <w:bCs/>
        </w:rPr>
        <w:t xml:space="preserve"> key knowledge gap remains</w:t>
      </w:r>
      <w:r w:rsidR="00074180">
        <w:rPr>
          <w:bCs/>
        </w:rPr>
        <w:t xml:space="preserve"> –</w:t>
      </w:r>
      <w:r w:rsidR="00074180" w:rsidRPr="00A70AD5">
        <w:rPr>
          <w:bCs/>
        </w:rPr>
        <w:t xml:space="preserve"> the role that water velocity and turbulence plays in the suspension, transport and retention of golden perch eggs and larvae</w:t>
      </w:r>
      <w:r w:rsidR="00074180">
        <w:rPr>
          <w:bCs/>
        </w:rPr>
        <w:t>, which is a critical process during early life history of this species</w:t>
      </w:r>
      <w:r w:rsidR="00074180" w:rsidRPr="00A70AD5">
        <w:rPr>
          <w:bCs/>
        </w:rPr>
        <w:t xml:space="preserve">. </w:t>
      </w:r>
    </w:p>
    <w:p w14:paraId="6C755E02" w14:textId="77777777" w:rsidR="008B4383" w:rsidRPr="00A70AD5" w:rsidRDefault="008B4383" w:rsidP="008B4383">
      <w:pPr>
        <w:pStyle w:val="Heading3"/>
      </w:pPr>
      <w:r w:rsidRPr="00A70AD5">
        <w:t>Conclusion</w:t>
      </w:r>
    </w:p>
    <w:p w14:paraId="23607CB6" w14:textId="4E823A5F" w:rsidR="002573E0" w:rsidRDefault="00F47059" w:rsidP="008B4383">
      <w:pPr>
        <w:rPr>
          <w:rFonts w:eastAsiaTheme="majorEastAsia" w:cstheme="majorBidi"/>
          <w:b/>
          <w:i/>
          <w:color w:val="44546A" w:themeColor="text2"/>
          <w:sz w:val="26"/>
          <w:szCs w:val="24"/>
        </w:rPr>
      </w:pPr>
      <w:r w:rsidRPr="00A70AD5">
        <w:rPr>
          <w:bCs/>
        </w:rPr>
        <w:t>There has been no substantial recruitment of golden perch in the LMR since 201</w:t>
      </w:r>
      <w:r>
        <w:rPr>
          <w:bCs/>
        </w:rPr>
        <w:t>3</w:t>
      </w:r>
      <w:r w:rsidRPr="00A70AD5">
        <w:rPr>
          <w:bCs/>
        </w:rPr>
        <w:t>-1</w:t>
      </w:r>
      <w:r>
        <w:rPr>
          <w:bCs/>
        </w:rPr>
        <w:t>4</w:t>
      </w:r>
      <w:r w:rsidRPr="00A70AD5">
        <w:rPr>
          <w:bCs/>
        </w:rPr>
        <w:t>, leading to a population dominated by a few distinct and ageing cohorts. To improve the resilience of golden perch populations in the LMR, it would be pertinent in the coming years to provide flows that</w:t>
      </w:r>
      <w:r w:rsidRPr="008B4383">
        <w:rPr>
          <w:bCs/>
        </w:rPr>
        <w:t xml:space="preserve"> may facilitate golden perch spawning and recruitment. Specifically, Commonwealth environmental water could contribute to spring/early summer in-channel flow </w:t>
      </w:r>
      <w:r w:rsidRPr="008B4383">
        <w:t>&gt;20,000 ML/d</w:t>
      </w:r>
      <w:r>
        <w:t xml:space="preserve"> in the LMR or spawning, recruitment and subsequent downstream dispersal from upstream reaches (</w:t>
      </w:r>
      <w:proofErr w:type="gramStart"/>
      <w:r>
        <w:t>e.g.</w:t>
      </w:r>
      <w:proofErr w:type="gramEnd"/>
      <w:r>
        <w:t xml:space="preserve"> the lower Darling and mid</w:t>
      </w:r>
      <w:r w:rsidR="007E3AE5">
        <w:t>-</w:t>
      </w:r>
      <w:r>
        <w:t>Murray rivers)</w:t>
      </w:r>
      <w:r w:rsidRPr="008B4383">
        <w:t>.</w:t>
      </w:r>
      <w:r w:rsidR="002573E0">
        <w:br w:type="page"/>
      </w:r>
    </w:p>
    <w:p w14:paraId="0D62E495" w14:textId="7BCEA706" w:rsidR="00846CBB" w:rsidRDefault="00846CBB" w:rsidP="00846CBB">
      <w:pPr>
        <w:pStyle w:val="Heading2"/>
      </w:pPr>
      <w:bookmarkStart w:id="268" w:name="_Ref50027079"/>
      <w:bookmarkStart w:id="269" w:name="_Toc69309244"/>
      <w:bookmarkStart w:id="270" w:name="_Ref876511"/>
      <w:bookmarkStart w:id="271" w:name="_Toc3558341"/>
      <w:bookmarkStart w:id="272" w:name="_Ref25334037"/>
      <w:bookmarkStart w:id="273" w:name="_Ref25334134"/>
      <w:bookmarkStart w:id="274" w:name="_Ref30588645"/>
      <w:r>
        <w:t>Murray Cod Recruitment</w:t>
      </w:r>
      <w:bookmarkEnd w:id="268"/>
      <w:bookmarkEnd w:id="269"/>
    </w:p>
    <w:p w14:paraId="154E19BE" w14:textId="77777777" w:rsidR="007B56CE" w:rsidRDefault="007B56CE" w:rsidP="00FB0CF5">
      <w:pPr>
        <w:pStyle w:val="Heading3"/>
      </w:pPr>
      <w:bookmarkStart w:id="275" w:name="_Hlk58844708"/>
      <w:r w:rsidRPr="00841506">
        <w:t>Background</w:t>
      </w:r>
    </w:p>
    <w:p w14:paraId="703E4C36" w14:textId="421C3538" w:rsidR="007B56CE" w:rsidRDefault="007B56CE" w:rsidP="007B56CE">
      <w:r>
        <w:t>Murray cod has great recreational and cultural significance in the MDB. Nonetheless, populations have declined as a result of human impacts including alteration of flow regimes, barriers to movement, overharvesting and habitat (hydraulic and physical) degradation (</w:t>
      </w:r>
      <w:proofErr w:type="spellStart"/>
      <w:r>
        <w:t>Lintermans</w:t>
      </w:r>
      <w:proofErr w:type="spellEnd"/>
      <w:r>
        <w:t xml:space="preserve"> and Phillips 2005)</w:t>
      </w:r>
      <w:r w:rsidR="00A97D30">
        <w:t>,</w:t>
      </w:r>
      <w:r w:rsidR="008C0FDF">
        <w:t xml:space="preserve"> and the species</w:t>
      </w:r>
      <w:r>
        <w:t xml:space="preserve"> is </w:t>
      </w:r>
      <w:r w:rsidR="008C0FDF">
        <w:t xml:space="preserve">currently </w:t>
      </w:r>
      <w:r>
        <w:t xml:space="preserve">considered vulnerable under the Australian EPBC Act (1999). In the </w:t>
      </w:r>
      <w:r w:rsidR="007E3AE5">
        <w:t xml:space="preserve">Murray </w:t>
      </w:r>
      <w:r w:rsidR="00F47059">
        <w:t xml:space="preserve">River </w:t>
      </w:r>
      <w:r>
        <w:t xml:space="preserve">downstream of the Darling River junction, the fragmentation of the river by sequential weirs, alteration to hydraulics and loss of lotic habitats are considered primary threats to the persistence of Murray cod populations (Zampatti </w:t>
      </w:r>
      <w:r w:rsidRPr="00BE1769">
        <w:rPr>
          <w:i/>
          <w:iCs/>
        </w:rPr>
        <w:t>et al.</w:t>
      </w:r>
      <w:r>
        <w:t xml:space="preserve"> 2014; </w:t>
      </w:r>
      <w:proofErr w:type="spellStart"/>
      <w:r>
        <w:t>Mallen</w:t>
      </w:r>
      <w:proofErr w:type="spellEnd"/>
      <w:r>
        <w:t xml:space="preserve">-Cooper and </w:t>
      </w:r>
      <w:proofErr w:type="spellStart"/>
      <w:r>
        <w:t>Zampatti</w:t>
      </w:r>
      <w:proofErr w:type="spellEnd"/>
      <w:r>
        <w:t xml:space="preserve"> 2018). Indeed, under low flows, lotic environments that provide favourable juvenile and adult habitat, and support key life history processes (spawning and recruitment) </w:t>
      </w:r>
      <w:r w:rsidR="008C0FDF">
        <w:t>are restricted to</w:t>
      </w:r>
      <w:r>
        <w:t xml:space="preserve"> select anabranch systems (e.g. Chowilla) and lock and weir tailwaters. During elevated flows (e.g. &gt;20,000 ML/d), however, lotic conditions are returned to considerable reaches of the Lower Murray</w:t>
      </w:r>
      <w:r w:rsidR="008C0FDF">
        <w:t xml:space="preserve"> (Bice </w:t>
      </w:r>
      <w:r w:rsidR="008C0FDF" w:rsidRPr="00BE1769">
        <w:rPr>
          <w:i/>
          <w:iCs/>
        </w:rPr>
        <w:t>et al.</w:t>
      </w:r>
      <w:r w:rsidR="008C0FDF">
        <w:t xml:space="preserve"> 2017)</w:t>
      </w:r>
      <w:r>
        <w:t xml:space="preserve">.  </w:t>
      </w:r>
    </w:p>
    <w:p w14:paraId="20FEAAAE" w14:textId="1A0DE607" w:rsidR="007B56CE" w:rsidRDefault="007B56CE" w:rsidP="007B56CE">
      <w:r>
        <w:t xml:space="preserve">Murray cod spawn annually over a well-defined period from October–December, irrespective of flow (Davis 1977; Rowland 1998), but recruitment in the </w:t>
      </w:r>
      <w:r w:rsidR="002F719E">
        <w:t>LMR</w:t>
      </w:r>
      <w:r>
        <w:t xml:space="preserve"> main channel is positively associated with flow (Ye and Zampatti 2007; Zampatti </w:t>
      </w:r>
      <w:r w:rsidRPr="00BE1769">
        <w:rPr>
          <w:i/>
          <w:iCs/>
        </w:rPr>
        <w:t>et al.</w:t>
      </w:r>
      <w:r>
        <w:t xml:space="preserve"> 2014). Indeed, from 2003–2010 during the Millennium Drought, </w:t>
      </w:r>
      <w:r w:rsidR="008C0FDF">
        <w:t xml:space="preserve">discharge in </w:t>
      </w:r>
      <w:r w:rsidR="00C06352">
        <w:t>the LMR</w:t>
      </w:r>
      <w:r w:rsidR="008C0FDF">
        <w:t xml:space="preserve"> was predominantly &lt;10,000 ML/d, and </w:t>
      </w:r>
      <w:r>
        <w:t xml:space="preserve">Murray cod recruitment, measured as abundances of YOY in autumn, was limited in the predominantly lentic main channel. Subsequently, recruitment was observed in association with spawning that occurred in high flow years from 2010–2013 (Zampatti </w:t>
      </w:r>
      <w:r w:rsidRPr="00BE1769">
        <w:rPr>
          <w:i/>
          <w:iCs/>
        </w:rPr>
        <w:t>et al.</w:t>
      </w:r>
      <w:r>
        <w:t xml:space="preserve"> 2014). In recent years (2015–2019), </w:t>
      </w:r>
      <w:r w:rsidR="008C0FDF">
        <w:t xml:space="preserve">annual </w:t>
      </w:r>
      <w:r>
        <w:t xml:space="preserve">recruitment of Murray cod </w:t>
      </w:r>
      <w:r w:rsidR="004B3848">
        <w:t xml:space="preserve">occurred </w:t>
      </w:r>
      <w:r>
        <w:t xml:space="preserve">in the </w:t>
      </w:r>
      <w:r w:rsidR="00C06352">
        <w:t>LMR</w:t>
      </w:r>
      <w:r w:rsidR="008C0FDF">
        <w:t xml:space="preserve"> main channel</w:t>
      </w:r>
      <w:r>
        <w:t xml:space="preserve">, following </w:t>
      </w:r>
      <w:r w:rsidR="004B3848">
        <w:t xml:space="preserve">flow conditions including </w:t>
      </w:r>
      <w:r>
        <w:t>an in-channel flow pulse (15,000–18,000 ML/d) and a</w:t>
      </w:r>
      <w:r w:rsidR="008C0FDF">
        <w:t>n</w:t>
      </w:r>
      <w:r>
        <w:t xml:space="preserve"> overbank flow (&gt;90,000 ML/d) (Ye </w:t>
      </w:r>
      <w:r w:rsidRPr="00BE1769">
        <w:rPr>
          <w:i/>
          <w:iCs/>
        </w:rPr>
        <w:t>et al.</w:t>
      </w:r>
      <w:r>
        <w:t xml:space="preserve"> 2016a; 2017; 2018; 2019; </w:t>
      </w:r>
      <w:r w:rsidR="008F7DA0">
        <w:t>2020</w:t>
      </w:r>
      <w:r>
        <w:t xml:space="preserve">), but also during three years of </w:t>
      </w:r>
      <w:r w:rsidR="008C0FDF">
        <w:t>modest</w:t>
      </w:r>
      <w:r>
        <w:t xml:space="preserve"> in-channel flows (&lt;12,000 ML/d). Furthermore, these </w:t>
      </w:r>
      <w:r w:rsidR="008C0FDF">
        <w:t xml:space="preserve">recent </w:t>
      </w:r>
      <w:r>
        <w:t xml:space="preserve">cohorts have generally persisted in the population (Ye </w:t>
      </w:r>
      <w:r w:rsidRPr="00BE1769">
        <w:rPr>
          <w:i/>
          <w:iCs/>
        </w:rPr>
        <w:t>et al.</w:t>
      </w:r>
      <w:r>
        <w:t xml:space="preserve"> 2019).</w:t>
      </w:r>
    </w:p>
    <w:p w14:paraId="64E6A0D0" w14:textId="0793996A" w:rsidR="007B56CE" w:rsidRDefault="007B56CE" w:rsidP="007B56CE">
      <w:r>
        <w:t xml:space="preserve">The mechanisms that facilitate recruitment of Murray cod (to YOY) in the Lower Murray likely relate to enhanced </w:t>
      </w:r>
      <w:r w:rsidR="008C0FDF">
        <w:t xml:space="preserve">spawning habitat and </w:t>
      </w:r>
      <w:r>
        <w:t xml:space="preserve">survival of early life stages associated with </w:t>
      </w:r>
      <w:r w:rsidR="008C0FDF">
        <w:t xml:space="preserve">improved </w:t>
      </w:r>
      <w:r>
        <w:t xml:space="preserve">riverine hydraulics and productivity. Survival is likely mediated by enhanced </w:t>
      </w:r>
      <w:r w:rsidR="008C0FDF">
        <w:t xml:space="preserve">habitat availability, and </w:t>
      </w:r>
      <w:r>
        <w:t>growth rates and condition, and ultimately determine</w:t>
      </w:r>
      <w:r w:rsidR="008C0FDF">
        <w:t>s</w:t>
      </w:r>
      <w:r>
        <w:t xml:space="preserve"> recruitment and population abundance. This indicator will explore these mechanisms, </w:t>
      </w:r>
      <w:r w:rsidR="008C0FDF">
        <w:t>together with a related</w:t>
      </w:r>
      <w:r>
        <w:t xml:space="preserve"> research project</w:t>
      </w:r>
      <w:r w:rsidR="008C0FDF">
        <w:t xml:space="preserve"> (see </w:t>
      </w:r>
      <w:r w:rsidR="00747D6C">
        <w:t xml:space="preserve">SARDI </w:t>
      </w:r>
      <w:r w:rsidR="00747D6C" w:rsidRPr="00BE1769">
        <w:rPr>
          <w:i/>
          <w:iCs/>
        </w:rPr>
        <w:t>et al.</w:t>
      </w:r>
      <w:r w:rsidR="00747D6C">
        <w:t xml:space="preserve"> 201</w:t>
      </w:r>
      <w:r w:rsidR="00B534B7">
        <w:t>9</w:t>
      </w:r>
      <w:r w:rsidR="008C0FDF">
        <w:t>)</w:t>
      </w:r>
      <w:r>
        <w:t xml:space="preserve">, by assessing aspects of Murray cod recruitment (e.g. abundance, growth, condition) in association with flow. Understanding the magnitude of recruitment, and causal links between recruitment and flow, </w:t>
      </w:r>
      <w:r w:rsidR="00F21845">
        <w:t>is</w:t>
      </w:r>
      <w:r>
        <w:t xml:space="preserve"> critical for informing future environmental flow management and will help evaluate ecological outcomes of Commonwealth environmental water.</w:t>
      </w:r>
    </w:p>
    <w:p w14:paraId="7EB42FF7" w14:textId="60A43ECF" w:rsidR="007B56CE" w:rsidRPr="001A0E7A" w:rsidRDefault="0072624D" w:rsidP="007B56CE">
      <w:pPr>
        <w:rPr>
          <w:i/>
          <w:u w:val="single"/>
        </w:rPr>
      </w:pPr>
      <w:r>
        <w:rPr>
          <w:i/>
          <w:u w:val="single"/>
        </w:rPr>
        <w:t>Major h</w:t>
      </w:r>
      <w:r w:rsidR="007B56CE" w:rsidRPr="001A0E7A">
        <w:rPr>
          <w:i/>
          <w:u w:val="single"/>
        </w:rPr>
        <w:t>ypotheses</w:t>
      </w:r>
    </w:p>
    <w:p w14:paraId="61A0FFDA" w14:textId="3E320DF4" w:rsidR="007B56CE" w:rsidRDefault="007B56CE" w:rsidP="007B56CE">
      <w:pPr>
        <w:pStyle w:val="ListParagraph"/>
        <w:numPr>
          <w:ilvl w:val="0"/>
          <w:numId w:val="11"/>
        </w:numPr>
        <w:spacing w:before="0" w:after="160" w:line="259" w:lineRule="auto"/>
      </w:pPr>
      <w:r>
        <w:t xml:space="preserve">Elevated spring–summer flow, either in-channel or overbank, and associated increase in lotic habitat, will enhance recruitment (to YOY) of Murray </w:t>
      </w:r>
      <w:proofErr w:type="gramStart"/>
      <w:r>
        <w:t>cod</w:t>
      </w:r>
      <w:r w:rsidR="008C0FDF">
        <w:t>;</w:t>
      </w:r>
      <w:proofErr w:type="gramEnd"/>
    </w:p>
    <w:p w14:paraId="78844866" w14:textId="3BF09300" w:rsidR="007B56CE" w:rsidRDefault="007B56CE" w:rsidP="007B56CE">
      <w:pPr>
        <w:pStyle w:val="ListParagraph"/>
        <w:numPr>
          <w:ilvl w:val="0"/>
          <w:numId w:val="11"/>
        </w:numPr>
        <w:spacing w:before="0" w:after="160" w:line="259" w:lineRule="auto"/>
      </w:pPr>
      <w:r>
        <w:t>Elevated spring–summer flow, either in-channel or overbank, and associated increase in lotic habitat, will be associated with enhanced growth rates and morphometric condition of Murray cod</w:t>
      </w:r>
      <w:r w:rsidR="008C0FDF">
        <w:t>; and</w:t>
      </w:r>
    </w:p>
    <w:p w14:paraId="05DA7B14" w14:textId="77777777" w:rsidR="007B56CE" w:rsidRPr="00841506" w:rsidRDefault="007B56CE" w:rsidP="007B56CE">
      <w:pPr>
        <w:pStyle w:val="ListParagraph"/>
        <w:numPr>
          <w:ilvl w:val="0"/>
          <w:numId w:val="11"/>
        </w:numPr>
        <w:spacing w:before="0" w:after="160" w:line="259" w:lineRule="auto"/>
      </w:pPr>
      <w:r>
        <w:t>Multiple years of enhanced spring–summer flow will result in broad size/age distributions of Murray cod and increased population resilience in the Lower Murray.</w:t>
      </w:r>
    </w:p>
    <w:bookmarkEnd w:id="275"/>
    <w:p w14:paraId="29B051DC" w14:textId="77777777" w:rsidR="007B56CE" w:rsidRDefault="007B56CE" w:rsidP="00FB0CF5">
      <w:pPr>
        <w:pStyle w:val="Heading3"/>
      </w:pPr>
      <w:r>
        <w:t>Methods</w:t>
      </w:r>
    </w:p>
    <w:p w14:paraId="6C41231C" w14:textId="1FD4778B" w:rsidR="007B56CE" w:rsidRDefault="007B56CE" w:rsidP="007B56CE">
      <w:r w:rsidRPr="007723B6">
        <w:t xml:space="preserve">To evaluate the contribution of </w:t>
      </w:r>
      <w:r>
        <w:t xml:space="preserve">flow, including </w:t>
      </w:r>
      <w:r w:rsidRPr="007723B6">
        <w:t>Commonwealth environmental water</w:t>
      </w:r>
      <w:r>
        <w:t>,</w:t>
      </w:r>
      <w:r w:rsidRPr="007723B6">
        <w:t xml:space="preserve"> to the </w:t>
      </w:r>
      <w:r w:rsidR="003073BC">
        <w:t>morphometric condition,</w:t>
      </w:r>
      <w:r w:rsidR="003073BC" w:rsidRPr="007723B6">
        <w:t xml:space="preserve"> </w:t>
      </w:r>
      <w:r>
        <w:t xml:space="preserve">growth </w:t>
      </w:r>
      <w:r w:rsidRPr="007723B6">
        <w:t xml:space="preserve">and recruitment of </w:t>
      </w:r>
      <w:r>
        <w:t>Murray cod</w:t>
      </w:r>
      <w:r w:rsidRPr="007723B6">
        <w:t xml:space="preserve"> in the LMR </w:t>
      </w:r>
      <w:r>
        <w:t>during 201</w:t>
      </w:r>
      <w:r w:rsidRPr="007723B6">
        <w:t>9</w:t>
      </w:r>
      <w:r>
        <w:t>-20</w:t>
      </w:r>
      <w:r w:rsidRPr="007723B6">
        <w:t>, we</w:t>
      </w:r>
      <w:r>
        <w:t xml:space="preserve"> used: (1) length–weight </w:t>
      </w:r>
      <w:r w:rsidR="008C0FDF">
        <w:t xml:space="preserve">relationships </w:t>
      </w:r>
      <w:r>
        <w:t xml:space="preserve">and </w:t>
      </w:r>
      <w:r w:rsidR="008C0FDF">
        <w:t>associated</w:t>
      </w:r>
      <w:r>
        <w:t xml:space="preserve"> metrics to assess body condition; (2) otolith microstructure analysis (including daily otolith growth increments) to determine the time of spawning</w:t>
      </w:r>
      <w:r w:rsidR="008C0FDF">
        <w:t>,</w:t>
      </w:r>
      <w:r>
        <w:t xml:space="preserve"> </w:t>
      </w:r>
      <w:r w:rsidR="007C2D10">
        <w:t>along with</w:t>
      </w:r>
      <w:r>
        <w:t xml:space="preserve"> </w:t>
      </w:r>
      <w:r w:rsidR="008C0FDF">
        <w:t xml:space="preserve">seasonal and daily </w:t>
      </w:r>
      <w:r>
        <w:t xml:space="preserve">growth rates; and (3) electrofishing </w:t>
      </w:r>
      <w:r w:rsidRPr="006567A5">
        <w:t xml:space="preserve">to </w:t>
      </w:r>
      <w:r>
        <w:t xml:space="preserve">quantify the abundance of YOY to assess recruitment, and to </w:t>
      </w:r>
      <w:r w:rsidR="003073BC">
        <w:t>establish</w:t>
      </w:r>
      <w:r w:rsidRPr="006567A5">
        <w:t xml:space="preserve"> a </w:t>
      </w:r>
      <w:r>
        <w:t>length frequency</w:t>
      </w:r>
      <w:r w:rsidRPr="006567A5">
        <w:t xml:space="preserve"> </w:t>
      </w:r>
      <w:r>
        <w:t>distribution</w:t>
      </w:r>
      <w:r w:rsidRPr="006567A5">
        <w:t xml:space="preserve"> of the </w:t>
      </w:r>
      <w:r>
        <w:t>Murray cod population</w:t>
      </w:r>
      <w:r w:rsidRPr="006567A5">
        <w:t xml:space="preserve"> in the LMR to determine population structure</w:t>
      </w:r>
      <w:r>
        <w:t>.</w:t>
      </w:r>
      <w:r w:rsidR="005F4738">
        <w:t xml:space="preserve"> The data used and presented in this</w:t>
      </w:r>
      <w:r w:rsidR="00293A3A">
        <w:t xml:space="preserve"> indicator</w:t>
      </w:r>
      <w:r w:rsidR="005F4738">
        <w:t xml:space="preserve"> section were collected from a number of </w:t>
      </w:r>
      <w:r w:rsidR="00293A3A">
        <w:t xml:space="preserve">past </w:t>
      </w:r>
      <w:r w:rsidR="005F4738">
        <w:t>projects including: CEWO Short-Term Intervention Monitoring (STIM) and LTIM projects</w:t>
      </w:r>
      <w:r w:rsidR="00293A3A">
        <w:t>;</w:t>
      </w:r>
      <w:r w:rsidR="005F4738">
        <w:t xml:space="preserve"> TLM Chowilla Fish </w:t>
      </w:r>
      <w:r w:rsidR="009037C5">
        <w:t xml:space="preserve">Condition and Intervention Monitoring; Goyder Ecological Connectivity of the River Murray project; and MDB Fish Surveys. </w:t>
      </w:r>
    </w:p>
    <w:p w14:paraId="19ECE03C" w14:textId="77777777" w:rsidR="007B56CE" w:rsidRDefault="007B56CE" w:rsidP="00FB0CF5">
      <w:pPr>
        <w:pStyle w:val="Heading4"/>
      </w:pPr>
      <w:r>
        <w:t>Sampling</w:t>
      </w:r>
    </w:p>
    <w:p w14:paraId="2F632967" w14:textId="6B699FE9" w:rsidR="007B56CE" w:rsidRDefault="00096208" w:rsidP="007B56CE">
      <w:r>
        <w:t>Murray cod</w:t>
      </w:r>
      <w:r w:rsidRPr="00333324">
        <w:t xml:space="preserve"> </w:t>
      </w:r>
      <w:r>
        <w:t xml:space="preserve">were collected from </w:t>
      </w:r>
      <w:r w:rsidR="008C0FDF">
        <w:t>the main channel of the Lower Murray</w:t>
      </w:r>
      <w:r w:rsidR="007B56CE" w:rsidRPr="00333324">
        <w:t xml:space="preserve"> at several stages during early ontogeny, from larvae through to YOY (&gt;120 d of age)</w:t>
      </w:r>
      <w:r w:rsidR="007B56CE">
        <w:t xml:space="preserve"> (</w:t>
      </w:r>
      <w:r w:rsidR="00862675">
        <w:fldChar w:fldCharType="begin"/>
      </w:r>
      <w:r w:rsidR="00862675">
        <w:instrText xml:space="preserve"> REF _Ref57899670 \h </w:instrText>
      </w:r>
      <w:r w:rsidR="00862675">
        <w:fldChar w:fldCharType="separate"/>
      </w:r>
      <w:r w:rsidR="006045CA">
        <w:t xml:space="preserve">Table </w:t>
      </w:r>
      <w:r w:rsidR="006045CA">
        <w:rPr>
          <w:noProof/>
        </w:rPr>
        <w:t>20</w:t>
      </w:r>
      <w:r w:rsidR="00862675">
        <w:fldChar w:fldCharType="end"/>
      </w:r>
      <w:r w:rsidR="007B56CE">
        <w:t xml:space="preserve">). Sampling for larvae (&lt;30 mm) in </w:t>
      </w:r>
      <w:r>
        <w:t>November 2020 comprised</w:t>
      </w:r>
      <w:r w:rsidR="007B56CE">
        <w:t xml:space="preserve"> a combination of passive (light traps and drift nets) and active (bongo net tows) methods. </w:t>
      </w:r>
      <w:r w:rsidR="006313C4">
        <w:t>S</w:t>
      </w:r>
      <w:r w:rsidR="007B56CE">
        <w:t xml:space="preserve">ampling </w:t>
      </w:r>
      <w:r w:rsidR="006313C4">
        <w:t xml:space="preserve">effort varied </w:t>
      </w:r>
      <w:r w:rsidR="007B56CE">
        <w:t xml:space="preserve">across sites, but included setting approximately 20–30 </w:t>
      </w:r>
      <w:r w:rsidR="008C0FDF">
        <w:t xml:space="preserve">quatrefoil </w:t>
      </w:r>
      <w:r w:rsidR="007B56CE">
        <w:t xml:space="preserve">light traps </w:t>
      </w:r>
      <w:r w:rsidR="008C0FDF">
        <w:t xml:space="preserve">(225 x 225 x 255 mm, 5 mm mesh) </w:t>
      </w:r>
      <w:r w:rsidR="007B56CE">
        <w:t xml:space="preserve">and 2–4 drift nets </w:t>
      </w:r>
      <w:r w:rsidR="008C0FDF">
        <w:t>(1.5 m long x 0.5</w:t>
      </w:r>
      <w:r w:rsidR="0093676E">
        <w:t> </w:t>
      </w:r>
      <w:r w:rsidR="008C0FDF">
        <w:t xml:space="preserve">m diameter, 500 µm mesh) </w:t>
      </w:r>
      <w:r w:rsidR="007B56CE">
        <w:t xml:space="preserve">each night over 2–3 nights (set time of </w:t>
      </w:r>
      <w:r w:rsidR="00800A52">
        <w:t>14</w:t>
      </w:r>
      <w:r w:rsidR="007B56CE">
        <w:t>–</w:t>
      </w:r>
      <w:r w:rsidR="00800A52">
        <w:t>18</w:t>
      </w:r>
      <w:r w:rsidR="007B56CE">
        <w:t xml:space="preserve"> hours). Larval tows were performed opportunistically during day and </w:t>
      </w:r>
      <w:r>
        <w:t xml:space="preserve">night with </w:t>
      </w:r>
      <w:r w:rsidR="007B56CE">
        <w:t>a paired bongo net</w:t>
      </w:r>
      <w:r w:rsidR="0093676E">
        <w:t xml:space="preserve"> (</w:t>
      </w:r>
      <w:r w:rsidR="0093676E" w:rsidRPr="0093676E">
        <w:t xml:space="preserve">0.5 x 0.5 </w:t>
      </w:r>
      <w:r w:rsidR="0093676E">
        <w:t xml:space="preserve">m x 3 m long, </w:t>
      </w:r>
      <w:r w:rsidR="0093676E" w:rsidRPr="0093676E">
        <w:t>500 µm mesh</w:t>
      </w:r>
      <w:r w:rsidR="0093676E">
        <w:t>)</w:t>
      </w:r>
      <w:r w:rsidR="007B56CE">
        <w:t xml:space="preserve"> (Ye </w:t>
      </w:r>
      <w:r w:rsidR="007B56CE" w:rsidRPr="00BE1769">
        <w:rPr>
          <w:i/>
          <w:iCs/>
        </w:rPr>
        <w:t>et al.</w:t>
      </w:r>
      <w:r w:rsidR="007B56CE">
        <w:t xml:space="preserve"> 2018). Larvae</w:t>
      </w:r>
      <w:r w:rsidR="007B56CE" w:rsidRPr="001226B6">
        <w:t xml:space="preserve"> were preserved (70</w:t>
      </w:r>
      <w:r w:rsidR="007B56CE">
        <w:t>–</w:t>
      </w:r>
      <w:r w:rsidR="007B56CE" w:rsidRPr="001226B6">
        <w:t>95% ethanol) in the field and returned to the laboratory for processing.</w:t>
      </w:r>
    </w:p>
    <w:p w14:paraId="4108D103" w14:textId="76868171" w:rsidR="00800A52" w:rsidRDefault="007B56CE" w:rsidP="007B56CE">
      <w:pPr>
        <w:rPr>
          <w:b/>
          <w:sz w:val="20"/>
        </w:rPr>
      </w:pPr>
      <w:r>
        <w:t xml:space="preserve">Electrofishing was used </w:t>
      </w:r>
      <w:r w:rsidR="00314E4F">
        <w:t xml:space="preserve">specifically </w:t>
      </w:r>
      <w:r>
        <w:t xml:space="preserve">to </w:t>
      </w:r>
      <w:r w:rsidR="00314E4F">
        <w:t>collect</w:t>
      </w:r>
      <w:r>
        <w:t xml:space="preserve"> juveniles (~30–150 mm) and sample the broader population (</w:t>
      </w:r>
      <w:r w:rsidR="00862675">
        <w:fldChar w:fldCharType="begin"/>
      </w:r>
      <w:r w:rsidR="00862675">
        <w:instrText xml:space="preserve"> REF _Ref57899670 \h </w:instrText>
      </w:r>
      <w:r w:rsidR="00862675">
        <w:fldChar w:fldCharType="separate"/>
      </w:r>
      <w:r w:rsidR="006045CA">
        <w:t xml:space="preserve">Table </w:t>
      </w:r>
      <w:r w:rsidR="006045CA">
        <w:rPr>
          <w:noProof/>
        </w:rPr>
        <w:t>20</w:t>
      </w:r>
      <w:r w:rsidR="00862675">
        <w:fldChar w:fldCharType="end"/>
      </w:r>
      <w:r>
        <w:t xml:space="preserve">). </w:t>
      </w:r>
      <w:r w:rsidR="00314E4F">
        <w:t>All s</w:t>
      </w:r>
      <w:r>
        <w:t>ampl</w:t>
      </w:r>
      <w:r w:rsidR="00314E4F">
        <w:t>ing</w:t>
      </w:r>
      <w:r>
        <w:t xml:space="preserve"> was performed using a 7.5 kW Smith Root (Model GPP 7.5) boat electrofishing unit during daylight hours. Sampling in January and February 2020 was targeted towards preferred habitat of early juveniles (e.g. root complexes of snags and rock crevices). </w:t>
      </w:r>
      <w:r w:rsidR="002701AC">
        <w:t>Two complementary types of s</w:t>
      </w:r>
      <w:r w:rsidRPr="00B40CB1">
        <w:t xml:space="preserve">ampling </w:t>
      </w:r>
      <w:r w:rsidR="002701AC">
        <w:t xml:space="preserve">were used </w:t>
      </w:r>
      <w:r w:rsidRPr="00B40CB1">
        <w:t>to assess YOY abundance and population structure</w:t>
      </w:r>
      <w:r w:rsidR="00202B13">
        <w:t>:</w:t>
      </w:r>
      <w:r>
        <w:t xml:space="preserve"> </w:t>
      </w:r>
      <w:r w:rsidR="00202B13">
        <w:t xml:space="preserve">1) </w:t>
      </w:r>
      <w:r>
        <w:t xml:space="preserve">autumn </w:t>
      </w:r>
      <w:r w:rsidR="00096208">
        <w:t>(March/April)</w:t>
      </w:r>
      <w:r w:rsidR="00096208" w:rsidRPr="00B40CB1">
        <w:t xml:space="preserve"> </w:t>
      </w:r>
      <w:r w:rsidRPr="00B40CB1">
        <w:t xml:space="preserve">non-targeted Fish (Channel) electrofishing (see Section </w:t>
      </w:r>
      <w:r w:rsidR="00800A52">
        <w:rPr>
          <w:highlight w:val="yellow"/>
        </w:rPr>
        <w:fldChar w:fldCharType="begin"/>
      </w:r>
      <w:r w:rsidR="00800A52">
        <w:instrText xml:space="preserve"> REF _Ref56693925 \r \h </w:instrText>
      </w:r>
      <w:r w:rsidR="00800A52">
        <w:rPr>
          <w:highlight w:val="yellow"/>
        </w:rPr>
      </w:r>
      <w:r w:rsidR="00800A52">
        <w:rPr>
          <w:highlight w:val="yellow"/>
        </w:rPr>
        <w:fldChar w:fldCharType="separate"/>
      </w:r>
      <w:r w:rsidR="00241910">
        <w:t>2.8</w:t>
      </w:r>
      <w:r w:rsidR="00800A52">
        <w:rPr>
          <w:highlight w:val="yellow"/>
        </w:rPr>
        <w:fldChar w:fldCharType="end"/>
      </w:r>
      <w:r>
        <w:t xml:space="preserve"> </w:t>
      </w:r>
      <w:r w:rsidRPr="00C15D80">
        <w:t>Fish Assemblage</w:t>
      </w:r>
      <w:r>
        <w:t xml:space="preserve">) and </w:t>
      </w:r>
      <w:r w:rsidR="00202B13">
        <w:t xml:space="preserve">2) autumn (May) </w:t>
      </w:r>
      <w:r>
        <w:t>habitat-specific (targeted) electrofishing. Electrofishing during May was performed in a consistent manner</w:t>
      </w:r>
      <w:r w:rsidR="00202B13">
        <w:t>, and is thus comparable</w:t>
      </w:r>
      <w:r w:rsidR="00886DD7">
        <w:t>,</w:t>
      </w:r>
      <w:r w:rsidR="00202B13">
        <w:t xml:space="preserve"> with</w:t>
      </w:r>
      <w:r>
        <w:t xml:space="preserve"> previous sampling in LTIM (2015–2019) for Category 3 golden perch YOY sampling (see Ye </w:t>
      </w:r>
      <w:r w:rsidRPr="00BE1769">
        <w:rPr>
          <w:i/>
          <w:iCs/>
        </w:rPr>
        <w:t>et al.</w:t>
      </w:r>
      <w:r>
        <w:t xml:space="preserve"> 2020) and was targeted towards a </w:t>
      </w:r>
      <w:r w:rsidRPr="00681EC7">
        <w:t xml:space="preserve">wider range of Murray cod habitats, </w:t>
      </w:r>
      <w:r w:rsidR="00096208" w:rsidRPr="00681EC7">
        <w:t xml:space="preserve">including snags </w:t>
      </w:r>
      <w:r w:rsidRPr="00681EC7">
        <w:t>in flowing</w:t>
      </w:r>
      <w:r w:rsidR="004B4BAB">
        <w:t xml:space="preserve"> habitat extending beyond the river bank</w:t>
      </w:r>
      <w:r w:rsidRPr="00681EC7">
        <w:t xml:space="preserve"> (preferred by sub-adults and adults). At each site, </w:t>
      </w:r>
      <w:r w:rsidR="002701AC">
        <w:t xml:space="preserve">electrofishing </w:t>
      </w:r>
      <w:r w:rsidR="004B4BAB">
        <w:t>‘</w:t>
      </w:r>
      <w:r w:rsidR="002701AC">
        <w:t>on-time</w:t>
      </w:r>
      <w:r w:rsidR="004B4BAB">
        <w:t>’ effort</w:t>
      </w:r>
      <w:r w:rsidR="002701AC">
        <w:t xml:space="preserve"> </w:t>
      </w:r>
      <w:r w:rsidRPr="00681EC7">
        <w:t xml:space="preserve">was variable, and depended on the available habitat. All individuals were measured for TL </w:t>
      </w:r>
      <w:r w:rsidR="002701AC">
        <w:t>(</w:t>
      </w:r>
      <w:r w:rsidRPr="00681EC7">
        <w:t>nearest mm) and weight (to 0.5</w:t>
      </w:r>
      <w:r w:rsidR="00886DD7">
        <w:t> </w:t>
      </w:r>
      <w:r w:rsidRPr="00681EC7">
        <w:t>kg), and a sub</w:t>
      </w:r>
      <w:r w:rsidR="00E330A8">
        <w:t>-</w:t>
      </w:r>
      <w:r w:rsidRPr="00681EC7">
        <w:t xml:space="preserve">sample of juvenile (&lt;160 mm) fish were retained for </w:t>
      </w:r>
      <w:r w:rsidR="00202B13">
        <w:t>morphometric</w:t>
      </w:r>
      <w:r w:rsidR="00202B13" w:rsidRPr="00681EC7">
        <w:t xml:space="preserve"> </w:t>
      </w:r>
      <w:r w:rsidRPr="00681EC7">
        <w:t xml:space="preserve">and </w:t>
      </w:r>
      <w:r w:rsidR="00202B13">
        <w:t>otolith</w:t>
      </w:r>
      <w:r w:rsidRPr="00681EC7">
        <w:t xml:space="preserve"> analyses, </w:t>
      </w:r>
      <w:r w:rsidR="00202B13">
        <w:t>as well as</w:t>
      </w:r>
      <w:r w:rsidRPr="00681EC7">
        <w:t xml:space="preserve"> diet </w:t>
      </w:r>
      <w:r w:rsidR="00202B13">
        <w:t xml:space="preserve">and tissue </w:t>
      </w:r>
      <w:r w:rsidRPr="00681EC7">
        <w:t xml:space="preserve">analyses for </w:t>
      </w:r>
      <w:r w:rsidR="00202B13">
        <w:t>the</w:t>
      </w:r>
      <w:r w:rsidR="00202B13" w:rsidRPr="00681EC7">
        <w:t xml:space="preserve"> </w:t>
      </w:r>
      <w:r w:rsidRPr="00681EC7">
        <w:t xml:space="preserve">allied research project (not presented in this report). </w:t>
      </w:r>
    </w:p>
    <w:p w14:paraId="699A503A" w14:textId="77777777" w:rsidR="00800A52" w:rsidRDefault="00800A52">
      <w:pPr>
        <w:spacing w:before="0" w:after="160" w:line="259" w:lineRule="auto"/>
        <w:jc w:val="left"/>
        <w:rPr>
          <w:b/>
          <w:sz w:val="20"/>
        </w:rPr>
      </w:pPr>
      <w:r>
        <w:rPr>
          <w:b/>
          <w:sz w:val="20"/>
        </w:rPr>
        <w:br w:type="page"/>
      </w:r>
    </w:p>
    <w:p w14:paraId="2428FBA1" w14:textId="1BF9CDEF" w:rsidR="007B56CE" w:rsidRPr="000702B8" w:rsidRDefault="00862675" w:rsidP="00F8184E">
      <w:pPr>
        <w:pStyle w:val="Captions"/>
      </w:pPr>
      <w:bookmarkStart w:id="276" w:name="_Ref57899670"/>
      <w:bookmarkStart w:id="277" w:name="_Toc69387749"/>
      <w:r>
        <w:t xml:space="preserve">Table </w:t>
      </w:r>
      <w:r>
        <w:fldChar w:fldCharType="begin"/>
      </w:r>
      <w:r>
        <w:instrText xml:space="preserve"> SEQ Table \* ARABIC </w:instrText>
      </w:r>
      <w:r>
        <w:fldChar w:fldCharType="separate"/>
      </w:r>
      <w:r w:rsidR="00002263">
        <w:rPr>
          <w:noProof/>
        </w:rPr>
        <w:t>20</w:t>
      </w:r>
      <w:r>
        <w:fldChar w:fldCharType="end"/>
      </w:r>
      <w:bookmarkEnd w:id="276"/>
      <w:r w:rsidR="007B56CE" w:rsidRPr="000702B8">
        <w:t xml:space="preserve">. </w:t>
      </w:r>
      <w:r w:rsidR="007B56CE">
        <w:t xml:space="preserve">Sampling trips targeting Murray cod in the </w:t>
      </w:r>
      <w:r w:rsidR="008C22A9" w:rsidRPr="00607412">
        <w:t>L</w:t>
      </w:r>
      <w:r w:rsidR="008C22A9">
        <w:t xml:space="preserve">ower </w:t>
      </w:r>
      <w:r w:rsidR="008C22A9" w:rsidRPr="00607412">
        <w:t>M</w:t>
      </w:r>
      <w:r w:rsidR="008C22A9">
        <w:t xml:space="preserve">urray </w:t>
      </w:r>
      <w:r w:rsidR="008C22A9" w:rsidRPr="00607412">
        <w:t>R</w:t>
      </w:r>
      <w:r w:rsidR="008C22A9">
        <w:t>iver</w:t>
      </w:r>
      <w:r w:rsidR="007B56CE">
        <w:t xml:space="preserve"> during 2019-20.</w:t>
      </w:r>
      <w:bookmarkEnd w:id="277"/>
    </w:p>
    <w:tbl>
      <w:tblPr>
        <w:tblW w:w="0" w:type="auto"/>
        <w:jc w:val="center"/>
        <w:tblLook w:val="04A0" w:firstRow="1" w:lastRow="0" w:firstColumn="1" w:lastColumn="0" w:noHBand="0" w:noVBand="1"/>
      </w:tblPr>
      <w:tblGrid>
        <w:gridCol w:w="1984"/>
        <w:gridCol w:w="3119"/>
        <w:gridCol w:w="3072"/>
      </w:tblGrid>
      <w:tr w:rsidR="007B5CF9" w:rsidRPr="004509F2" w14:paraId="121CB364" w14:textId="77777777" w:rsidTr="00FB0CF5">
        <w:trPr>
          <w:trHeight w:val="340"/>
          <w:jc w:val="center"/>
        </w:trPr>
        <w:tc>
          <w:tcPr>
            <w:tcW w:w="1984" w:type="dxa"/>
            <w:tcBorders>
              <w:top w:val="single" w:sz="4" w:space="0" w:color="auto"/>
              <w:bottom w:val="single" w:sz="4" w:space="0" w:color="auto"/>
            </w:tcBorders>
            <w:vAlign w:val="bottom"/>
          </w:tcPr>
          <w:p w14:paraId="5E3777A9" w14:textId="77777777" w:rsidR="007B5CF9" w:rsidRPr="009A132E" w:rsidRDefault="007B5CF9" w:rsidP="00FB0CF5">
            <w:pPr>
              <w:contextualSpacing/>
              <w:jc w:val="left"/>
              <w:rPr>
                <w:b/>
                <w:sz w:val="19"/>
                <w:szCs w:val="19"/>
              </w:rPr>
            </w:pPr>
            <w:r w:rsidRPr="009A132E">
              <w:rPr>
                <w:b/>
                <w:sz w:val="19"/>
                <w:szCs w:val="19"/>
              </w:rPr>
              <w:t>Date range</w:t>
            </w:r>
          </w:p>
        </w:tc>
        <w:tc>
          <w:tcPr>
            <w:tcW w:w="3119" w:type="dxa"/>
            <w:tcBorders>
              <w:top w:val="single" w:sz="4" w:space="0" w:color="auto"/>
              <w:bottom w:val="single" w:sz="4" w:space="0" w:color="auto"/>
            </w:tcBorders>
            <w:vAlign w:val="bottom"/>
          </w:tcPr>
          <w:p w14:paraId="10F682B0" w14:textId="77777777" w:rsidR="007B5CF9" w:rsidRPr="009A132E" w:rsidRDefault="007B5CF9" w:rsidP="00FB0CF5">
            <w:pPr>
              <w:contextualSpacing/>
              <w:jc w:val="left"/>
              <w:rPr>
                <w:b/>
                <w:sz w:val="19"/>
                <w:szCs w:val="19"/>
              </w:rPr>
            </w:pPr>
            <w:r>
              <w:rPr>
                <w:b/>
                <w:sz w:val="19"/>
                <w:szCs w:val="19"/>
              </w:rPr>
              <w:t>Methods</w:t>
            </w:r>
          </w:p>
        </w:tc>
        <w:tc>
          <w:tcPr>
            <w:tcW w:w="3072" w:type="dxa"/>
            <w:tcBorders>
              <w:top w:val="single" w:sz="4" w:space="0" w:color="auto"/>
              <w:bottom w:val="single" w:sz="4" w:space="0" w:color="auto"/>
            </w:tcBorders>
            <w:vAlign w:val="bottom"/>
          </w:tcPr>
          <w:p w14:paraId="5C0049D1" w14:textId="77777777" w:rsidR="007B5CF9" w:rsidRDefault="007B5CF9" w:rsidP="00FB0CF5">
            <w:pPr>
              <w:contextualSpacing/>
              <w:jc w:val="left"/>
              <w:rPr>
                <w:b/>
                <w:sz w:val="19"/>
                <w:szCs w:val="19"/>
              </w:rPr>
            </w:pPr>
            <w:r>
              <w:rPr>
                <w:b/>
                <w:sz w:val="19"/>
                <w:szCs w:val="19"/>
              </w:rPr>
              <w:t>Indicator</w:t>
            </w:r>
          </w:p>
        </w:tc>
      </w:tr>
      <w:tr w:rsidR="007B5CF9" w:rsidRPr="004509F2" w14:paraId="02EEB056" w14:textId="77777777" w:rsidTr="00FB0CF5">
        <w:trPr>
          <w:trHeight w:val="340"/>
          <w:jc w:val="center"/>
        </w:trPr>
        <w:tc>
          <w:tcPr>
            <w:tcW w:w="1984" w:type="dxa"/>
            <w:tcBorders>
              <w:top w:val="single" w:sz="4" w:space="0" w:color="auto"/>
            </w:tcBorders>
          </w:tcPr>
          <w:p w14:paraId="06B884F1" w14:textId="7EC164DA" w:rsidR="007B5CF9" w:rsidRPr="004509F2" w:rsidRDefault="007B5CF9" w:rsidP="00FB0CF5">
            <w:pPr>
              <w:contextualSpacing/>
              <w:rPr>
                <w:sz w:val="19"/>
                <w:szCs w:val="19"/>
              </w:rPr>
            </w:pPr>
            <w:r>
              <w:rPr>
                <w:sz w:val="19"/>
                <w:szCs w:val="19"/>
              </w:rPr>
              <w:t>5–18/11/19</w:t>
            </w:r>
          </w:p>
        </w:tc>
        <w:tc>
          <w:tcPr>
            <w:tcW w:w="3119" w:type="dxa"/>
            <w:tcBorders>
              <w:top w:val="single" w:sz="4" w:space="0" w:color="auto"/>
            </w:tcBorders>
          </w:tcPr>
          <w:p w14:paraId="6FD0C686" w14:textId="77777777" w:rsidR="007B5CF9" w:rsidRPr="004509F2" w:rsidRDefault="007B5CF9" w:rsidP="00FB0CF5">
            <w:pPr>
              <w:contextualSpacing/>
              <w:rPr>
                <w:sz w:val="19"/>
                <w:szCs w:val="19"/>
              </w:rPr>
            </w:pPr>
            <w:r>
              <w:rPr>
                <w:sz w:val="19"/>
                <w:szCs w:val="19"/>
              </w:rPr>
              <w:t>Light traps, drift nets, larval tows</w:t>
            </w:r>
          </w:p>
        </w:tc>
        <w:tc>
          <w:tcPr>
            <w:tcW w:w="3072" w:type="dxa"/>
            <w:tcBorders>
              <w:top w:val="single" w:sz="4" w:space="0" w:color="auto"/>
            </w:tcBorders>
          </w:tcPr>
          <w:p w14:paraId="375CECA1" w14:textId="77777777" w:rsidR="007B5CF9" w:rsidRDefault="007B5CF9" w:rsidP="00FB0CF5">
            <w:pPr>
              <w:contextualSpacing/>
              <w:rPr>
                <w:sz w:val="19"/>
                <w:szCs w:val="19"/>
              </w:rPr>
            </w:pPr>
            <w:r>
              <w:rPr>
                <w:sz w:val="19"/>
                <w:szCs w:val="19"/>
              </w:rPr>
              <w:t>Growth, condition</w:t>
            </w:r>
          </w:p>
        </w:tc>
      </w:tr>
      <w:tr w:rsidR="007B5CF9" w:rsidRPr="004509F2" w14:paraId="41D484B0" w14:textId="77777777" w:rsidTr="00FB0CF5">
        <w:trPr>
          <w:trHeight w:val="340"/>
          <w:jc w:val="center"/>
        </w:trPr>
        <w:tc>
          <w:tcPr>
            <w:tcW w:w="1984" w:type="dxa"/>
          </w:tcPr>
          <w:p w14:paraId="1688A194" w14:textId="77777777" w:rsidR="007B5CF9" w:rsidRPr="004509F2" w:rsidRDefault="007B5CF9" w:rsidP="00FB0CF5">
            <w:pPr>
              <w:contextualSpacing/>
              <w:rPr>
                <w:sz w:val="19"/>
                <w:szCs w:val="19"/>
              </w:rPr>
            </w:pPr>
            <w:r w:rsidRPr="004509F2">
              <w:rPr>
                <w:sz w:val="19"/>
                <w:szCs w:val="19"/>
              </w:rPr>
              <w:t>6–</w:t>
            </w:r>
            <w:r>
              <w:rPr>
                <w:sz w:val="19"/>
                <w:szCs w:val="19"/>
              </w:rPr>
              <w:t>9</w:t>
            </w:r>
            <w:r w:rsidRPr="004509F2">
              <w:rPr>
                <w:sz w:val="19"/>
                <w:szCs w:val="19"/>
              </w:rPr>
              <w:t>/1/</w:t>
            </w:r>
            <w:r>
              <w:rPr>
                <w:sz w:val="19"/>
                <w:szCs w:val="19"/>
              </w:rPr>
              <w:t>20</w:t>
            </w:r>
          </w:p>
        </w:tc>
        <w:tc>
          <w:tcPr>
            <w:tcW w:w="3119" w:type="dxa"/>
          </w:tcPr>
          <w:p w14:paraId="12AB7207" w14:textId="2835C49A" w:rsidR="007B5CF9" w:rsidRPr="004509F2" w:rsidRDefault="007B5CF9" w:rsidP="00FB0CF5">
            <w:pPr>
              <w:contextualSpacing/>
              <w:rPr>
                <w:sz w:val="19"/>
                <w:szCs w:val="19"/>
              </w:rPr>
            </w:pPr>
            <w:r>
              <w:rPr>
                <w:sz w:val="19"/>
                <w:szCs w:val="19"/>
              </w:rPr>
              <w:t>Light traps, electrofishing</w:t>
            </w:r>
          </w:p>
        </w:tc>
        <w:tc>
          <w:tcPr>
            <w:tcW w:w="3072" w:type="dxa"/>
          </w:tcPr>
          <w:p w14:paraId="5642200D" w14:textId="77777777" w:rsidR="007B5CF9" w:rsidRPr="004509F2" w:rsidRDefault="007B5CF9" w:rsidP="00FB0CF5">
            <w:pPr>
              <w:contextualSpacing/>
              <w:rPr>
                <w:sz w:val="19"/>
                <w:szCs w:val="19"/>
              </w:rPr>
            </w:pPr>
            <w:r>
              <w:rPr>
                <w:sz w:val="19"/>
                <w:szCs w:val="19"/>
              </w:rPr>
              <w:t>Growth, condition</w:t>
            </w:r>
          </w:p>
        </w:tc>
      </w:tr>
      <w:tr w:rsidR="007B5CF9" w:rsidRPr="004509F2" w14:paraId="393E5E44" w14:textId="77777777" w:rsidTr="00FB0CF5">
        <w:trPr>
          <w:trHeight w:val="340"/>
          <w:jc w:val="center"/>
        </w:trPr>
        <w:tc>
          <w:tcPr>
            <w:tcW w:w="1984" w:type="dxa"/>
          </w:tcPr>
          <w:p w14:paraId="5DC54ABA" w14:textId="77777777" w:rsidR="007B5CF9" w:rsidRPr="004509F2" w:rsidRDefault="007B5CF9" w:rsidP="00FB0CF5">
            <w:pPr>
              <w:contextualSpacing/>
              <w:rPr>
                <w:sz w:val="19"/>
                <w:szCs w:val="19"/>
              </w:rPr>
            </w:pPr>
            <w:r>
              <w:rPr>
                <w:sz w:val="19"/>
                <w:szCs w:val="19"/>
              </w:rPr>
              <w:t>24</w:t>
            </w:r>
            <w:r w:rsidRPr="004509F2">
              <w:rPr>
                <w:sz w:val="19"/>
                <w:szCs w:val="19"/>
              </w:rPr>
              <w:t>–</w:t>
            </w:r>
            <w:r>
              <w:rPr>
                <w:sz w:val="19"/>
                <w:szCs w:val="19"/>
              </w:rPr>
              <w:t>27/2/20</w:t>
            </w:r>
          </w:p>
        </w:tc>
        <w:tc>
          <w:tcPr>
            <w:tcW w:w="3119" w:type="dxa"/>
          </w:tcPr>
          <w:p w14:paraId="74D0BBB3" w14:textId="77777777" w:rsidR="007B5CF9" w:rsidRPr="004509F2" w:rsidRDefault="007B5CF9" w:rsidP="00FB0CF5">
            <w:pPr>
              <w:contextualSpacing/>
              <w:rPr>
                <w:sz w:val="19"/>
                <w:szCs w:val="19"/>
              </w:rPr>
            </w:pPr>
            <w:r>
              <w:rPr>
                <w:sz w:val="19"/>
                <w:szCs w:val="19"/>
              </w:rPr>
              <w:t>Electrofishing</w:t>
            </w:r>
          </w:p>
        </w:tc>
        <w:tc>
          <w:tcPr>
            <w:tcW w:w="3072" w:type="dxa"/>
          </w:tcPr>
          <w:p w14:paraId="06BDC515" w14:textId="77777777" w:rsidR="007B5CF9" w:rsidRDefault="007B5CF9" w:rsidP="00FB0CF5">
            <w:pPr>
              <w:contextualSpacing/>
              <w:rPr>
                <w:sz w:val="19"/>
                <w:szCs w:val="19"/>
              </w:rPr>
            </w:pPr>
            <w:r>
              <w:rPr>
                <w:sz w:val="19"/>
                <w:szCs w:val="19"/>
              </w:rPr>
              <w:t>Growth, condition</w:t>
            </w:r>
          </w:p>
        </w:tc>
      </w:tr>
      <w:tr w:rsidR="007B5CF9" w:rsidRPr="004509F2" w14:paraId="7C527885" w14:textId="77777777" w:rsidTr="00FB0CF5">
        <w:trPr>
          <w:trHeight w:val="340"/>
          <w:jc w:val="center"/>
        </w:trPr>
        <w:tc>
          <w:tcPr>
            <w:tcW w:w="1984" w:type="dxa"/>
          </w:tcPr>
          <w:p w14:paraId="7DDB7058" w14:textId="0F4755F4" w:rsidR="007B5CF9" w:rsidRPr="004509F2" w:rsidRDefault="007B5CF9" w:rsidP="00FB0CF5">
            <w:pPr>
              <w:contextualSpacing/>
              <w:rPr>
                <w:sz w:val="19"/>
                <w:szCs w:val="19"/>
              </w:rPr>
            </w:pPr>
            <w:r>
              <w:rPr>
                <w:sz w:val="19"/>
                <w:szCs w:val="19"/>
              </w:rPr>
              <w:t>30/3–8/4</w:t>
            </w:r>
            <w:r w:rsidRPr="004509F2">
              <w:rPr>
                <w:sz w:val="19"/>
                <w:szCs w:val="19"/>
              </w:rPr>
              <w:t>/</w:t>
            </w:r>
            <w:r>
              <w:rPr>
                <w:sz w:val="19"/>
                <w:szCs w:val="19"/>
              </w:rPr>
              <w:t>20*</w:t>
            </w:r>
          </w:p>
        </w:tc>
        <w:tc>
          <w:tcPr>
            <w:tcW w:w="3119" w:type="dxa"/>
          </w:tcPr>
          <w:p w14:paraId="6671E617" w14:textId="77777777" w:rsidR="007B5CF9" w:rsidRPr="004509F2" w:rsidRDefault="007B5CF9" w:rsidP="00FB0CF5">
            <w:pPr>
              <w:contextualSpacing/>
              <w:rPr>
                <w:sz w:val="19"/>
                <w:szCs w:val="19"/>
              </w:rPr>
            </w:pPr>
            <w:r>
              <w:rPr>
                <w:sz w:val="19"/>
                <w:szCs w:val="19"/>
              </w:rPr>
              <w:t>Electrofishing</w:t>
            </w:r>
          </w:p>
        </w:tc>
        <w:tc>
          <w:tcPr>
            <w:tcW w:w="3072" w:type="dxa"/>
          </w:tcPr>
          <w:p w14:paraId="3A94DF97" w14:textId="77777777" w:rsidR="007B5CF9" w:rsidRDefault="007B5CF9" w:rsidP="00FB0CF5">
            <w:pPr>
              <w:contextualSpacing/>
              <w:rPr>
                <w:sz w:val="19"/>
                <w:szCs w:val="19"/>
              </w:rPr>
            </w:pPr>
            <w:r>
              <w:rPr>
                <w:sz w:val="19"/>
                <w:szCs w:val="19"/>
              </w:rPr>
              <w:t>Condition, YOY abundance, population structure</w:t>
            </w:r>
          </w:p>
        </w:tc>
      </w:tr>
      <w:tr w:rsidR="007B5CF9" w:rsidRPr="004509F2" w14:paraId="2E33CAC0" w14:textId="77777777" w:rsidTr="00FB0CF5">
        <w:trPr>
          <w:trHeight w:val="340"/>
          <w:jc w:val="center"/>
        </w:trPr>
        <w:tc>
          <w:tcPr>
            <w:tcW w:w="1984" w:type="dxa"/>
            <w:tcBorders>
              <w:bottom w:val="single" w:sz="4" w:space="0" w:color="auto"/>
            </w:tcBorders>
          </w:tcPr>
          <w:p w14:paraId="62391D40" w14:textId="77777777" w:rsidR="007B5CF9" w:rsidRPr="004509F2" w:rsidRDefault="007B5CF9" w:rsidP="00FB0CF5">
            <w:pPr>
              <w:contextualSpacing/>
              <w:rPr>
                <w:sz w:val="19"/>
                <w:szCs w:val="19"/>
              </w:rPr>
            </w:pPr>
            <w:r>
              <w:rPr>
                <w:sz w:val="19"/>
                <w:szCs w:val="19"/>
              </w:rPr>
              <w:t>7</w:t>
            </w:r>
            <w:r w:rsidRPr="004509F2">
              <w:rPr>
                <w:sz w:val="19"/>
                <w:szCs w:val="19"/>
              </w:rPr>
              <w:t>–</w:t>
            </w:r>
            <w:r>
              <w:rPr>
                <w:sz w:val="19"/>
                <w:szCs w:val="19"/>
              </w:rPr>
              <w:t>8/5/20</w:t>
            </w:r>
          </w:p>
        </w:tc>
        <w:tc>
          <w:tcPr>
            <w:tcW w:w="3119" w:type="dxa"/>
            <w:tcBorders>
              <w:bottom w:val="single" w:sz="4" w:space="0" w:color="auto"/>
            </w:tcBorders>
          </w:tcPr>
          <w:p w14:paraId="442401F5" w14:textId="77777777" w:rsidR="007B5CF9" w:rsidRPr="004509F2" w:rsidRDefault="007B5CF9" w:rsidP="00FB0CF5">
            <w:pPr>
              <w:contextualSpacing/>
              <w:rPr>
                <w:sz w:val="19"/>
                <w:szCs w:val="19"/>
              </w:rPr>
            </w:pPr>
            <w:r>
              <w:rPr>
                <w:sz w:val="19"/>
                <w:szCs w:val="19"/>
              </w:rPr>
              <w:t>Electrofishing</w:t>
            </w:r>
          </w:p>
        </w:tc>
        <w:tc>
          <w:tcPr>
            <w:tcW w:w="3072" w:type="dxa"/>
            <w:tcBorders>
              <w:bottom w:val="single" w:sz="4" w:space="0" w:color="auto"/>
            </w:tcBorders>
          </w:tcPr>
          <w:p w14:paraId="346BFF74" w14:textId="77777777" w:rsidR="007B5CF9" w:rsidRDefault="007B5CF9" w:rsidP="00FB0CF5">
            <w:pPr>
              <w:contextualSpacing/>
              <w:rPr>
                <w:sz w:val="19"/>
                <w:szCs w:val="19"/>
              </w:rPr>
            </w:pPr>
            <w:r>
              <w:rPr>
                <w:sz w:val="19"/>
                <w:szCs w:val="19"/>
              </w:rPr>
              <w:t>Condition, YOY abundance, population structure</w:t>
            </w:r>
          </w:p>
        </w:tc>
      </w:tr>
    </w:tbl>
    <w:p w14:paraId="13F5F7C7" w14:textId="7E12BBC7" w:rsidR="007B56CE" w:rsidRPr="000702B8" w:rsidRDefault="007B56CE" w:rsidP="007B56CE">
      <w:pPr>
        <w:rPr>
          <w:sz w:val="18"/>
        </w:rPr>
      </w:pPr>
      <w:r w:rsidRPr="000702B8">
        <w:rPr>
          <w:sz w:val="18"/>
        </w:rPr>
        <w:t>* Fish (Channel) sampling in the Gorge zone</w:t>
      </w:r>
      <w:r>
        <w:rPr>
          <w:sz w:val="18"/>
        </w:rPr>
        <w:t xml:space="preserve"> (see Section </w:t>
      </w:r>
      <w:r w:rsidR="00800A52">
        <w:rPr>
          <w:sz w:val="18"/>
          <w:highlight w:val="yellow"/>
        </w:rPr>
        <w:fldChar w:fldCharType="begin"/>
      </w:r>
      <w:r w:rsidR="00800A52">
        <w:rPr>
          <w:sz w:val="18"/>
        </w:rPr>
        <w:instrText xml:space="preserve"> REF _Ref56693948 \r \h </w:instrText>
      </w:r>
      <w:r w:rsidR="00800A52">
        <w:rPr>
          <w:sz w:val="18"/>
          <w:highlight w:val="yellow"/>
        </w:rPr>
      </w:r>
      <w:r w:rsidR="00800A52">
        <w:rPr>
          <w:sz w:val="18"/>
          <w:highlight w:val="yellow"/>
        </w:rPr>
        <w:fldChar w:fldCharType="separate"/>
      </w:r>
      <w:r w:rsidR="00241910">
        <w:rPr>
          <w:sz w:val="18"/>
        </w:rPr>
        <w:t>2.8</w:t>
      </w:r>
      <w:r w:rsidR="00800A52">
        <w:rPr>
          <w:sz w:val="18"/>
          <w:highlight w:val="yellow"/>
        </w:rPr>
        <w:fldChar w:fldCharType="end"/>
      </w:r>
      <w:r>
        <w:rPr>
          <w:sz w:val="18"/>
        </w:rPr>
        <w:t xml:space="preserve"> </w:t>
      </w:r>
      <w:r w:rsidRPr="00AF5AF7">
        <w:rPr>
          <w:sz w:val="18"/>
        </w:rPr>
        <w:t>Fish Assemblage</w:t>
      </w:r>
      <w:r>
        <w:rPr>
          <w:sz w:val="18"/>
        </w:rPr>
        <w:t xml:space="preserve"> for details)</w:t>
      </w:r>
    </w:p>
    <w:p w14:paraId="5E2F4078" w14:textId="3424A272" w:rsidR="007B56CE" w:rsidRDefault="007B56CE" w:rsidP="007B56CE">
      <w:r>
        <w:t>Sampling for larvae (</w:t>
      </w:r>
      <w:r w:rsidR="007B5CF9">
        <w:t>November</w:t>
      </w:r>
      <w:r>
        <w:t>) and early juveniles (</w:t>
      </w:r>
      <w:r w:rsidR="007B5CF9">
        <w:t>January and February</w:t>
      </w:r>
      <w:r>
        <w:t>) was</w:t>
      </w:r>
      <w:r w:rsidRPr="00C30D3A">
        <w:t xml:space="preserve"> conducted in the tailwaters (&lt;15 km downstream) of Lock </w:t>
      </w:r>
      <w:r>
        <w:t xml:space="preserve">3 </w:t>
      </w:r>
      <w:r w:rsidRPr="00C30D3A">
        <w:t>(</w:t>
      </w:r>
      <w:r>
        <w:t>Gorge zone</w:t>
      </w:r>
      <w:r w:rsidRPr="00C30D3A">
        <w:t>)</w:t>
      </w:r>
      <w:r>
        <w:t xml:space="preserve"> and Lock 4 (Floodplain zone</w:t>
      </w:r>
      <w:r w:rsidRPr="00C30D3A">
        <w:t xml:space="preserve">) </w:t>
      </w:r>
      <w:r>
        <w:t>(</w:t>
      </w:r>
      <w:r w:rsidR="00800A52">
        <w:fldChar w:fldCharType="begin"/>
      </w:r>
      <w:r w:rsidR="00800A52">
        <w:instrText xml:space="preserve"> REF _Ref469926522 \h </w:instrText>
      </w:r>
      <w:r w:rsidR="00800A52">
        <w:fldChar w:fldCharType="separate"/>
      </w:r>
      <w:r w:rsidR="00241910">
        <w:t xml:space="preserve">Figure </w:t>
      </w:r>
      <w:r w:rsidR="00241910">
        <w:rPr>
          <w:noProof/>
        </w:rPr>
        <w:t>1</w:t>
      </w:r>
      <w:r w:rsidR="00800A52">
        <w:fldChar w:fldCharType="end"/>
      </w:r>
      <w:r>
        <w:t>)</w:t>
      </w:r>
      <w:r w:rsidRPr="00C30D3A">
        <w:t>.</w:t>
      </w:r>
      <w:r w:rsidRPr="00074768">
        <w:t xml:space="preserve"> </w:t>
      </w:r>
      <w:r>
        <w:t xml:space="preserve">Sampling to assess YOY abundance and population structure </w:t>
      </w:r>
      <w:r w:rsidR="00202B13">
        <w:t xml:space="preserve">in May </w:t>
      </w:r>
      <w:r>
        <w:t xml:space="preserve">occurred at sites in the tailwaters of Locks 3 (Gorge zone), 4, 5 (Floodplain zone), </w:t>
      </w:r>
      <w:r w:rsidR="00202B13">
        <w:t xml:space="preserve">and was </w:t>
      </w:r>
      <w:r>
        <w:t>supplemented by non-targeted sampling in March/April at ten sites between Locks 1 and 3 in the Gorge zone (Fish (Channel) sampling). In addition to the sampling described above, Murray cod larvae and juveniles were opportunistically collected through other field sampling (</w:t>
      </w:r>
      <w:proofErr w:type="gramStart"/>
      <w:r>
        <w:t>e.g.</w:t>
      </w:r>
      <w:proofErr w:type="gramEnd"/>
      <w:r>
        <w:t xml:space="preserve"> Section </w:t>
      </w:r>
      <w:r w:rsidR="00800A52">
        <w:rPr>
          <w:highlight w:val="yellow"/>
        </w:rPr>
        <w:fldChar w:fldCharType="begin"/>
      </w:r>
      <w:r w:rsidR="00800A52">
        <w:instrText xml:space="preserve"> REF _Ref53046930 \r \h </w:instrText>
      </w:r>
      <w:r w:rsidR="00800A52">
        <w:rPr>
          <w:highlight w:val="yellow"/>
        </w:rPr>
      </w:r>
      <w:r w:rsidR="00800A52">
        <w:rPr>
          <w:highlight w:val="yellow"/>
        </w:rPr>
        <w:fldChar w:fldCharType="separate"/>
      </w:r>
      <w:r w:rsidR="00241910">
        <w:t>2.6</w:t>
      </w:r>
      <w:r w:rsidR="00800A52">
        <w:rPr>
          <w:highlight w:val="yellow"/>
        </w:rPr>
        <w:fldChar w:fldCharType="end"/>
      </w:r>
      <w:r>
        <w:t xml:space="preserve"> Flow-cued Spawning Fish Recruitment) </w:t>
      </w:r>
      <w:r w:rsidR="00202B13">
        <w:t>and included in</w:t>
      </w:r>
      <w:r>
        <w:t xml:space="preserve"> growth and condition analyses.</w:t>
      </w:r>
    </w:p>
    <w:p w14:paraId="55C917C1" w14:textId="77777777" w:rsidR="007B56CE" w:rsidRDefault="007B56CE" w:rsidP="00FB0CF5">
      <w:pPr>
        <w:pStyle w:val="Heading4"/>
      </w:pPr>
      <w:r>
        <w:t xml:space="preserve">Otolith </w:t>
      </w:r>
      <w:r w:rsidRPr="00F845A6">
        <w:t>preparation and increment</w:t>
      </w:r>
      <w:r>
        <w:t xml:space="preserve"> counts and measurements</w:t>
      </w:r>
    </w:p>
    <w:p w14:paraId="69B339ED" w14:textId="6FA62521" w:rsidR="00271C78" w:rsidRDefault="00096208" w:rsidP="004E1D31">
      <w:r>
        <w:t>Larval/</w:t>
      </w:r>
      <w:r w:rsidR="00730FEB">
        <w:t>juvenile</w:t>
      </w:r>
      <w:r>
        <w:t xml:space="preserve"> Murray </w:t>
      </w:r>
      <w:r w:rsidR="007B56CE">
        <w:t xml:space="preserve">cod were measured for TL to the nearest millimetre, weighed to 0.001 of a </w:t>
      </w:r>
      <w:proofErr w:type="gramStart"/>
      <w:r w:rsidR="007B56CE">
        <w:t>gram</w:t>
      </w:r>
      <w:proofErr w:type="gramEnd"/>
      <w:r w:rsidR="007B56CE">
        <w:t xml:space="preserve">, and sagittal otoliths were </w:t>
      </w:r>
      <w:r w:rsidR="007B56CE" w:rsidRPr="00405B80">
        <w:t xml:space="preserve">removed. </w:t>
      </w:r>
      <w:proofErr w:type="spellStart"/>
      <w:r w:rsidR="004E1D31">
        <w:t>S</w:t>
      </w:r>
      <w:r w:rsidR="004E1D31" w:rsidRPr="00A338B0">
        <w:t>agittae</w:t>
      </w:r>
      <w:proofErr w:type="spellEnd"/>
      <w:r w:rsidR="004E1D31" w:rsidRPr="00A338B0">
        <w:t xml:space="preserve"> were embedded in crystal bond™, then ground and polished from the anterior </w:t>
      </w:r>
      <w:r w:rsidR="004E1D31">
        <w:t>margin</w:t>
      </w:r>
      <w:r w:rsidR="004E1D31" w:rsidRPr="00A338B0">
        <w:t xml:space="preserve"> towards the core</w:t>
      </w:r>
      <w:r w:rsidR="004E1D31">
        <w:t>. For larv</w:t>
      </w:r>
      <w:r w:rsidR="00271C78">
        <w:t>a</w:t>
      </w:r>
      <w:r w:rsidR="004E1D31">
        <w:t>e and early juveniles (</w:t>
      </w:r>
      <w:r w:rsidR="007B5CF9">
        <w:t>from January</w:t>
      </w:r>
      <w:r w:rsidR="004E1D31">
        <w:t>)</w:t>
      </w:r>
      <w:r w:rsidR="00FD7E33">
        <w:t>,</w:t>
      </w:r>
      <w:r w:rsidR="004E1D31">
        <w:t xml:space="preserve"> we used</w:t>
      </w:r>
      <w:r w:rsidR="004E1D31" w:rsidRPr="00A338B0">
        <w:t xml:space="preserve"> 9 </w:t>
      </w:r>
      <w:r w:rsidR="004E1D31">
        <w:t xml:space="preserve">and 3 </w:t>
      </w:r>
      <w:proofErr w:type="spellStart"/>
      <w:r w:rsidR="004E1D31" w:rsidRPr="00A338B0">
        <w:t>μm</w:t>
      </w:r>
      <w:proofErr w:type="spellEnd"/>
      <w:r w:rsidR="004E1D31" w:rsidRPr="00A338B0">
        <w:t xml:space="preserve"> lapping film</w:t>
      </w:r>
      <w:r w:rsidR="00271C78">
        <w:t xml:space="preserve">, while for otoliths of larger juveniles </w:t>
      </w:r>
      <w:r w:rsidR="007B5CF9">
        <w:t>from February</w:t>
      </w:r>
      <w:r w:rsidR="00FD7E33">
        <w:t>,</w:t>
      </w:r>
      <w:r w:rsidR="00271C78">
        <w:t xml:space="preserve"> </w:t>
      </w:r>
      <w:r w:rsidR="007C2D10">
        <w:t xml:space="preserve">used 240-grit sandpaper and 15, 9 and 3 </w:t>
      </w:r>
      <w:proofErr w:type="spellStart"/>
      <w:r w:rsidR="007C2D10" w:rsidRPr="00A338B0">
        <w:t>μm</w:t>
      </w:r>
      <w:proofErr w:type="spellEnd"/>
      <w:r w:rsidR="007C2D10">
        <w:t xml:space="preserve"> lapping film sequentially.</w:t>
      </w:r>
      <w:r w:rsidR="004E1D31" w:rsidRPr="00A338B0">
        <w:t xml:space="preserve"> The ground surface was </w:t>
      </w:r>
      <w:r w:rsidR="00271C78">
        <w:t>adhered</w:t>
      </w:r>
      <w:r w:rsidR="004E1D31" w:rsidRPr="00A338B0">
        <w:t xml:space="preserve"> to the centre of a microscope slide </w:t>
      </w:r>
      <w:r w:rsidR="00271C78">
        <w:t xml:space="preserve">with </w:t>
      </w:r>
      <w:r w:rsidR="00271C78" w:rsidRPr="00A338B0">
        <w:t>crystal bond™</w:t>
      </w:r>
      <w:r w:rsidR="00271C78">
        <w:t xml:space="preserve"> </w:t>
      </w:r>
      <w:r w:rsidR="004E1D31" w:rsidRPr="00A338B0">
        <w:t xml:space="preserve">and then further ground and polished from the posterior side, to produce sections of </w:t>
      </w:r>
      <w:r w:rsidR="00271C78">
        <w:t xml:space="preserve">approximately </w:t>
      </w:r>
      <w:r w:rsidR="004E1D31" w:rsidRPr="00A338B0">
        <w:t xml:space="preserve">50 </w:t>
      </w:r>
      <w:proofErr w:type="spellStart"/>
      <w:r w:rsidR="004E1D31" w:rsidRPr="00A338B0">
        <w:t>μm</w:t>
      </w:r>
      <w:proofErr w:type="spellEnd"/>
      <w:r w:rsidR="004E1D31" w:rsidRPr="00A338B0">
        <w:t xml:space="preserve"> thickness. </w:t>
      </w:r>
    </w:p>
    <w:p w14:paraId="2BED6F81" w14:textId="65659AF7" w:rsidR="004E1D31" w:rsidRPr="00A338B0" w:rsidRDefault="00271C78" w:rsidP="004E1D31">
      <w:r>
        <w:t xml:space="preserve">Prominent hatch marks </w:t>
      </w:r>
      <w:r w:rsidRPr="00A338B0">
        <w:t>w</w:t>
      </w:r>
      <w:r>
        <w:t>ere</w:t>
      </w:r>
      <w:r w:rsidRPr="00A338B0">
        <w:t xml:space="preserve"> evident on </w:t>
      </w:r>
      <w:r>
        <w:t>most</w:t>
      </w:r>
      <w:r w:rsidRPr="00A338B0">
        <w:t xml:space="preserve"> sectioned otoliths, providing a reliable reference point to begin increment counts. </w:t>
      </w:r>
      <w:r>
        <w:t>As such</w:t>
      </w:r>
      <w:r w:rsidRPr="00A338B0">
        <w:t xml:space="preserve">, daily increment counts were made from the hatch mark along the maximum growth axis towards the ventral apex. </w:t>
      </w:r>
      <w:r w:rsidR="004E1D31" w:rsidRPr="00A338B0">
        <w:t xml:space="preserve">Two readers examined each otolith on separate occasions and each reader performed two counts of the increments. Counts from each reader were compared and if they differed by more than </w:t>
      </w:r>
      <w:r>
        <w:t>10</w:t>
      </w:r>
      <w:r w:rsidR="004E1D31" w:rsidRPr="00A338B0">
        <w:t>%</w:t>
      </w:r>
      <w:r w:rsidR="00D220D3">
        <w:t>,</w:t>
      </w:r>
      <w:r w:rsidR="004E1D31" w:rsidRPr="00A338B0">
        <w:t xml:space="preserve"> the otolith was rejected</w:t>
      </w:r>
      <w:r w:rsidR="00D220D3">
        <w:t>;</w:t>
      </w:r>
      <w:r w:rsidR="004E1D31" w:rsidRPr="00A338B0">
        <w:t xml:space="preserve"> but if count variation was within </w:t>
      </w:r>
      <w:r>
        <w:t>10</w:t>
      </w:r>
      <w:r w:rsidR="004E1D31" w:rsidRPr="00A338B0">
        <w:t xml:space="preserve">%, the mean of all counts was accepted as the best estimate of daily increment number. </w:t>
      </w:r>
      <w:r>
        <w:t>Hatch</w:t>
      </w:r>
      <w:r w:rsidRPr="00405B80">
        <w:t xml:space="preserve"> dates were determined by subtracting estimated age from capture dates.</w:t>
      </w:r>
      <w:r>
        <w:t xml:space="preserve"> Prior to increment counts, otolith readers were calibrated by reading a reference collection of otoliths from known-age Murray cod larvae and achieving 90% agreement. Otolith se</w:t>
      </w:r>
      <w:r w:rsidRPr="00405B80">
        <w:t xml:space="preserve">ctions were examined using a compound microscope (x 600) fitted with a digital camera and </w:t>
      </w:r>
      <w:proofErr w:type="spellStart"/>
      <w:r w:rsidRPr="00405B80">
        <w:t>Optimas</w:t>
      </w:r>
      <w:proofErr w:type="spellEnd"/>
      <w:r w:rsidRPr="00405B80">
        <w:t xml:space="preserve"> image analysis software (version 6.5, Media Cybernetics, Maryland, USA).</w:t>
      </w:r>
    </w:p>
    <w:p w14:paraId="3627B23C" w14:textId="4EDB7B2F" w:rsidR="004E1D31" w:rsidRDefault="004E1D31" w:rsidP="007B56CE"/>
    <w:p w14:paraId="28E126A3" w14:textId="0CE49C97" w:rsidR="007B56CE" w:rsidRDefault="00F845A6" w:rsidP="007B56CE">
      <w:r>
        <w:t xml:space="preserve">The </w:t>
      </w:r>
      <w:r w:rsidR="007B56CE">
        <w:t xml:space="preserve">Individual widths (µm) of the </w:t>
      </w:r>
      <w:r>
        <w:t>otolith</w:t>
      </w:r>
      <w:r w:rsidR="007B56CE">
        <w:t xml:space="preserve"> increments</w:t>
      </w:r>
      <w:r w:rsidR="00E10624">
        <w:t xml:space="preserve"> (10–60 increments)</w:t>
      </w:r>
      <w:r w:rsidR="007B56CE">
        <w:t xml:space="preserve"> in a single-plane focus were measured along the widest radius on the </w:t>
      </w:r>
      <w:r w:rsidR="00E10624">
        <w:t>distal</w:t>
      </w:r>
      <w:r w:rsidR="007B56CE">
        <w:t xml:space="preserve"> section of the otolith using the image analysis software Stream (Olympus) (see Bice </w:t>
      </w:r>
      <w:r w:rsidR="007B56CE" w:rsidRPr="00BE1769">
        <w:rPr>
          <w:i/>
          <w:iCs/>
        </w:rPr>
        <w:t>et al.</w:t>
      </w:r>
      <w:r w:rsidR="007B56CE">
        <w:t xml:space="preserve"> 2016). YOY Murray cod collected in May were omitted from age analyses due to unreliability in daily increment estimates.</w:t>
      </w:r>
    </w:p>
    <w:p w14:paraId="6094150D" w14:textId="77777777" w:rsidR="007B56CE" w:rsidRPr="00342719" w:rsidRDefault="007B56CE" w:rsidP="00FB0CF5">
      <w:pPr>
        <w:pStyle w:val="Heading4"/>
      </w:pPr>
      <w:r w:rsidRPr="00342719">
        <w:t>Data analyses</w:t>
      </w:r>
    </w:p>
    <w:p w14:paraId="2BF88BC2" w14:textId="77777777" w:rsidR="007B56CE" w:rsidRDefault="007B56CE" w:rsidP="007B56CE">
      <w:r>
        <w:t>Morphometric condition</w:t>
      </w:r>
    </w:p>
    <w:p w14:paraId="6C0E94DF" w14:textId="5DD0278C" w:rsidR="007B56CE" w:rsidRPr="0038253D" w:rsidRDefault="007B56CE" w:rsidP="00C90A96">
      <w:r>
        <w:t xml:space="preserve">The length–weight </w:t>
      </w:r>
      <w:r w:rsidR="00096208">
        <w:t xml:space="preserve">relationships for </w:t>
      </w:r>
      <w:r w:rsidR="00CD0488">
        <w:t>juvenile (</w:t>
      </w:r>
      <w:r w:rsidR="00096208">
        <w:t>0+ year old</w:t>
      </w:r>
      <w:r w:rsidR="00CD0488">
        <w:t>,</w:t>
      </w:r>
      <w:r w:rsidR="00096208">
        <w:t xml:space="preserve"> &lt;160 </w:t>
      </w:r>
      <w:r w:rsidR="00096208" w:rsidRPr="00C21DC3">
        <w:t xml:space="preserve">mm) </w:t>
      </w:r>
      <w:r w:rsidRPr="00C21DC3">
        <w:t xml:space="preserve">Murray cod </w:t>
      </w:r>
      <w:r>
        <w:t xml:space="preserve">were described </w:t>
      </w:r>
      <w:r w:rsidRPr="00C21DC3">
        <w:t xml:space="preserve">using </w:t>
      </w:r>
      <w:r>
        <w:t>linear regression, f</w:t>
      </w:r>
      <w:r w:rsidRPr="001B7433">
        <w:t xml:space="preserve">ollowing the methods outlined in Tonkin </w:t>
      </w:r>
      <w:r w:rsidRPr="00BE1769">
        <w:rPr>
          <w:i/>
          <w:iCs/>
        </w:rPr>
        <w:t>et al.</w:t>
      </w:r>
      <w:r w:rsidRPr="001B7433">
        <w:t xml:space="preserve"> (2008)</w:t>
      </w:r>
      <w:r>
        <w:t>. Linear and non-linear relationships were examined with non-linearity modelled by fitting polynomial terms of increasing order (up to 4) to length. T</w:t>
      </w:r>
      <w:r w:rsidRPr="001B7433">
        <w:t xml:space="preserve">he relative support for each of the models </w:t>
      </w:r>
      <w:r>
        <w:t xml:space="preserve">was </w:t>
      </w:r>
      <w:r w:rsidRPr="001B7433">
        <w:t>assessed using Akaike’s Information Criterion, corrected for small sample size (</w:t>
      </w:r>
      <w:proofErr w:type="spellStart"/>
      <w:r w:rsidRPr="001B7433">
        <w:t>AICc</w:t>
      </w:r>
      <w:proofErr w:type="spellEnd"/>
      <w:r w:rsidRPr="001B7433">
        <w:t>) (Burnham and Anderson 200</w:t>
      </w:r>
      <w:r w:rsidR="00F8184E">
        <w:t>2</w:t>
      </w:r>
      <w:r w:rsidRPr="001B7433">
        <w:t xml:space="preserve">). </w:t>
      </w:r>
      <w:proofErr w:type="spellStart"/>
      <w:r w:rsidRPr="001B7433">
        <w:t>AICc</w:t>
      </w:r>
      <w:proofErr w:type="spellEnd"/>
      <w:r w:rsidRPr="001B7433">
        <w:t xml:space="preserve"> values were rescaled as differences between the model and the model with the lowest </w:t>
      </w:r>
      <w:proofErr w:type="spellStart"/>
      <w:r w:rsidRPr="001B7433">
        <w:t>AICc</w:t>
      </w:r>
      <w:proofErr w:type="spellEnd"/>
      <w:r w:rsidRPr="001B7433">
        <w:t xml:space="preserve"> value, with the likelihood of the model calculated (see Tonkin </w:t>
      </w:r>
      <w:r w:rsidRPr="00BE1769">
        <w:rPr>
          <w:i/>
          <w:iCs/>
        </w:rPr>
        <w:t>et al.</w:t>
      </w:r>
      <w:r w:rsidRPr="001B7433">
        <w:t xml:space="preserve"> 2008 for equation).</w:t>
      </w:r>
      <w:r>
        <w:t xml:space="preserve"> Morphometric condition was estimated by calculating the relative condition factor (</w:t>
      </w:r>
      <w:proofErr w:type="spellStart"/>
      <w:r>
        <w:t>K</w:t>
      </w:r>
      <w:r w:rsidRPr="005B5D35">
        <w:rPr>
          <w:i/>
        </w:rPr>
        <w:t>rel</w:t>
      </w:r>
      <w:proofErr w:type="spellEnd"/>
      <w:r>
        <w:t>) of an individual fish, using the</w:t>
      </w:r>
      <w:r w:rsidR="00181BBF">
        <w:t xml:space="preserve"> </w:t>
      </w:r>
      <w:r w:rsidR="00C14FEB">
        <w:t xml:space="preserve">estimated weight calculated from the </w:t>
      </w:r>
      <w:r w:rsidR="00181BBF">
        <w:t>selected model</w:t>
      </w:r>
      <w:r w:rsidR="00C14FEB">
        <w:t xml:space="preserve"> equation</w:t>
      </w:r>
      <w:r>
        <w:t xml:space="preserve">: </w:t>
      </w:r>
      <w:proofErr w:type="spellStart"/>
      <w:r>
        <w:t>K</w:t>
      </w:r>
      <w:r w:rsidRPr="005B5D35">
        <w:rPr>
          <w:i/>
        </w:rPr>
        <w:t>rel</w:t>
      </w:r>
      <w:proofErr w:type="spellEnd"/>
      <w:r>
        <w:t xml:space="preserve"> = </w:t>
      </w:r>
      <w:proofErr w:type="spellStart"/>
      <w:r>
        <w:t>W</w:t>
      </w:r>
      <w:r w:rsidR="00181BBF">
        <w:t>t</w:t>
      </w:r>
      <w:r w:rsidR="00181BBF" w:rsidRPr="00181BBF">
        <w:rPr>
          <w:vertAlign w:val="subscript"/>
        </w:rPr>
        <w:t>actual</w:t>
      </w:r>
      <w:proofErr w:type="spellEnd"/>
      <w:r>
        <w:t>/</w:t>
      </w:r>
      <w:proofErr w:type="spellStart"/>
      <w:r w:rsidR="00181BBF">
        <w:t>Wt</w:t>
      </w:r>
      <w:r w:rsidR="00181BBF" w:rsidRPr="00181BBF">
        <w:rPr>
          <w:vertAlign w:val="subscript"/>
        </w:rPr>
        <w:t>estimated</w:t>
      </w:r>
      <w:proofErr w:type="spellEnd"/>
      <w:r>
        <w:t xml:space="preserve">. To determine if the condition of Murray cod differed among different weir pools and years </w:t>
      </w:r>
      <w:r w:rsidR="00202B13">
        <w:t xml:space="preserve">(i.e. 2015–2020) </w:t>
      </w:r>
      <w:r>
        <w:t xml:space="preserve">of different flow regimes, differences in </w:t>
      </w:r>
      <w:proofErr w:type="spellStart"/>
      <w:r>
        <w:t>K</w:t>
      </w:r>
      <w:r w:rsidRPr="009B20C2">
        <w:rPr>
          <w:i/>
        </w:rPr>
        <w:t>rel</w:t>
      </w:r>
      <w:proofErr w:type="spellEnd"/>
      <w:r>
        <w:t xml:space="preserve"> of individuals sampled </w:t>
      </w:r>
      <w:r w:rsidR="00C90A96">
        <w:t>between March and August</w:t>
      </w:r>
      <w:r>
        <w:t xml:space="preserve"> were assessed using a two-factor univariate </w:t>
      </w:r>
      <w:r w:rsidRPr="00681EC7">
        <w:t xml:space="preserve">PERMANOVA. </w:t>
      </w:r>
      <w:r w:rsidR="00475BBA" w:rsidRPr="00681EC7">
        <w:t xml:space="preserve">A significance value of </w:t>
      </w:r>
      <w:r w:rsidR="00475BBA" w:rsidRPr="007C2D10">
        <w:rPr>
          <w:i/>
          <w:iCs/>
        </w:rPr>
        <w:t>α</w:t>
      </w:r>
      <w:r w:rsidR="00475BBA" w:rsidRPr="00681EC7">
        <w:t xml:space="preserve"> = 0.05</w:t>
      </w:r>
      <w:r w:rsidRPr="00681EC7">
        <w:t xml:space="preserve"> was </w:t>
      </w:r>
      <w:r w:rsidR="00475BBA" w:rsidRPr="00681EC7">
        <w:t>adopted for all statistical comparisons</w:t>
      </w:r>
      <w:r w:rsidR="007C2D10" w:rsidRPr="00681EC7">
        <w:t xml:space="preserve">, acknowledging an increased likelihood of </w:t>
      </w:r>
      <w:r w:rsidR="007C2D10">
        <w:t>type 1 errors</w:t>
      </w:r>
      <w:r w:rsidR="007C2D10" w:rsidRPr="00681EC7">
        <w:t xml:space="preserve"> for multiple comparisons.</w:t>
      </w:r>
    </w:p>
    <w:p w14:paraId="06722122" w14:textId="77777777" w:rsidR="007B56CE" w:rsidRDefault="007B56CE" w:rsidP="007B56CE">
      <w:r>
        <w:t>Growth rate</w:t>
      </w:r>
    </w:p>
    <w:p w14:paraId="7E51368B" w14:textId="3326EFA0" w:rsidR="007C2D10" w:rsidRPr="00ED3EA2" w:rsidRDefault="00F47059" w:rsidP="007C2D10">
      <w:r>
        <w:t xml:space="preserve">Mean seasonal growth was described by fitting linear and nonlinear models to length-at-age data. Three models were considered to model the fish growth rate: linear, </w:t>
      </w:r>
      <w:proofErr w:type="spellStart"/>
      <w:r>
        <w:t>Gompertz</w:t>
      </w:r>
      <w:proofErr w:type="spellEnd"/>
      <w:r>
        <w:t xml:space="preserve"> and Von </w:t>
      </w:r>
      <w:proofErr w:type="spellStart"/>
      <w:r>
        <w:t>Bertalanffy</w:t>
      </w:r>
      <w:proofErr w:type="spellEnd"/>
      <w:r>
        <w:t xml:space="preserve">. Model selection procedures using </w:t>
      </w:r>
      <w:proofErr w:type="spellStart"/>
      <w:r>
        <w:t>AICc</w:t>
      </w:r>
      <w:proofErr w:type="spellEnd"/>
      <w:r>
        <w:t xml:space="preserve">, described above, were used to select the model with most support. Mean seasonal growth rate was </w:t>
      </w:r>
      <w:r w:rsidRPr="00ED3EA2">
        <w:t xml:space="preserve">calculated as the function of TL and age (days) at capture. To determine if the seasonal growth rates of Murray cod differed among different weir pools, differences in mean seasonal growth </w:t>
      </w:r>
      <w:r w:rsidR="007C2D10" w:rsidRPr="00ED3EA2">
        <w:t xml:space="preserve">rate were assessed using a </w:t>
      </w:r>
      <w:r w:rsidR="007C2D10">
        <w:t>single</w:t>
      </w:r>
      <w:r w:rsidR="007C2D10" w:rsidRPr="00ED3EA2">
        <w:t>-factor univariate PERMANOVA.</w:t>
      </w:r>
    </w:p>
    <w:p w14:paraId="0CA662E4" w14:textId="0967B6AB" w:rsidR="007C2D10" w:rsidRDefault="007C2D10" w:rsidP="007C2D10">
      <w:r w:rsidRPr="00ED3EA2">
        <w:t xml:space="preserve">Measurements of daily increment widths were undertaken to assess daily growth of larval and juvenile Murray cod, following methods described in Bice </w:t>
      </w:r>
      <w:r w:rsidRPr="00ED3EA2">
        <w:rPr>
          <w:i/>
          <w:iCs/>
        </w:rPr>
        <w:t xml:space="preserve">et al. </w:t>
      </w:r>
      <w:r w:rsidRPr="00ED3EA2">
        <w:t xml:space="preserve">(2016). For </w:t>
      </w:r>
      <w:proofErr w:type="gramStart"/>
      <w:r w:rsidRPr="00ED3EA2">
        <w:t>each individual</w:t>
      </w:r>
      <w:proofErr w:type="gramEnd"/>
      <w:r w:rsidRPr="00ED3EA2">
        <w:t xml:space="preserve">, each increment was assigned to a ‘growth day’ (Julian day), using </w:t>
      </w:r>
      <w:r>
        <w:t xml:space="preserve">a back calculated </w:t>
      </w:r>
      <w:r w:rsidRPr="00ED3EA2">
        <w:t>hatch</w:t>
      </w:r>
      <w:r>
        <w:t>ing</w:t>
      </w:r>
      <w:r w:rsidRPr="00ED3EA2">
        <w:t xml:space="preserve"> date. </w:t>
      </w:r>
    </w:p>
    <w:p w14:paraId="2BDBA372" w14:textId="662C89FC" w:rsidR="007B56CE" w:rsidRPr="00B37176" w:rsidRDefault="007B56CE" w:rsidP="007C2D10">
      <w:r>
        <w:t>Recruitment</w:t>
      </w:r>
    </w:p>
    <w:p w14:paraId="241A226F" w14:textId="3EF9095E" w:rsidR="007B56CE" w:rsidRDefault="007B56CE" w:rsidP="007B56CE">
      <w:r>
        <w:t>To compare recruitment of Murray cod across years, t</w:t>
      </w:r>
      <w:r w:rsidRPr="00C15D80">
        <w:t xml:space="preserve">emporal variability in the relative abundance of </w:t>
      </w:r>
      <w:r>
        <w:t>YOY Murray cod (</w:t>
      </w:r>
      <w:proofErr w:type="gramStart"/>
      <w:r>
        <w:t>i.e.</w:t>
      </w:r>
      <w:proofErr w:type="gramEnd"/>
      <w:r>
        <w:t xml:space="preserve"> &lt;160 mm TL)</w:t>
      </w:r>
      <w:r w:rsidRPr="00C15D80">
        <w:t xml:space="preserve"> was </w:t>
      </w:r>
      <w:r w:rsidR="005E4B28">
        <w:t xml:space="preserve">assessed </w:t>
      </w:r>
      <w:r w:rsidR="00F843B8">
        <w:t>using</w:t>
      </w:r>
      <w:r w:rsidR="005E4B28">
        <w:t xml:space="preserve"> two datasets: 1)</w:t>
      </w:r>
      <w:r w:rsidRPr="00C15D80">
        <w:t xml:space="preserve"> </w:t>
      </w:r>
      <w:r>
        <w:t xml:space="preserve">March/April non-targeted </w:t>
      </w:r>
      <w:r w:rsidRPr="00C15D80">
        <w:t>Category 1 electrofi</w:t>
      </w:r>
      <w:r>
        <w:t xml:space="preserve">shing CPUE data (see Section </w:t>
      </w:r>
      <w:r w:rsidR="00800A52">
        <w:rPr>
          <w:highlight w:val="yellow"/>
        </w:rPr>
        <w:fldChar w:fldCharType="begin"/>
      </w:r>
      <w:r w:rsidR="00800A52">
        <w:instrText xml:space="preserve"> REF _Ref56694021 \r \h </w:instrText>
      </w:r>
      <w:r w:rsidR="00800A52">
        <w:rPr>
          <w:highlight w:val="yellow"/>
        </w:rPr>
      </w:r>
      <w:r w:rsidR="00800A52">
        <w:rPr>
          <w:highlight w:val="yellow"/>
        </w:rPr>
        <w:fldChar w:fldCharType="separate"/>
      </w:r>
      <w:r w:rsidR="00241910">
        <w:t>2.8</w:t>
      </w:r>
      <w:r w:rsidR="00800A52">
        <w:rPr>
          <w:highlight w:val="yellow"/>
        </w:rPr>
        <w:fldChar w:fldCharType="end"/>
      </w:r>
      <w:r w:rsidRPr="00C15D80">
        <w:t xml:space="preserve"> Fish Assemblage)</w:t>
      </w:r>
      <w:r w:rsidR="005E4B28">
        <w:t>;</w:t>
      </w:r>
      <w:r>
        <w:t xml:space="preserve"> and </w:t>
      </w:r>
      <w:r w:rsidR="005E4B28">
        <w:t xml:space="preserve">2) </w:t>
      </w:r>
      <w:r>
        <w:t>May targeted electrofishing CPUE data</w:t>
      </w:r>
      <w:r w:rsidRPr="00C15D80">
        <w:t xml:space="preserve">. </w:t>
      </w:r>
      <w:r w:rsidR="005E4B28">
        <w:t xml:space="preserve">For the first dataset, sites were grouped and represented as two reaches, namely downstream of Lock 3 and downstream of Lock 2. </w:t>
      </w:r>
      <w:r w:rsidRPr="00C15D80">
        <w:t xml:space="preserve">Differences in relative abundance (individuals per </w:t>
      </w:r>
      <w:r>
        <w:t>minute</w:t>
      </w:r>
      <w:r w:rsidRPr="00C15D80">
        <w:t xml:space="preserve"> of electrofishing on-time effort) </w:t>
      </w:r>
      <w:r w:rsidR="005E4B28">
        <w:t xml:space="preserve">among </w:t>
      </w:r>
      <w:r w:rsidRPr="00C15D80">
        <w:t xml:space="preserve">years at each </w:t>
      </w:r>
      <w:r w:rsidR="005E4B28">
        <w:t>reach</w:t>
      </w:r>
      <w:r w:rsidR="005E4B28" w:rsidRPr="00C15D80">
        <w:t xml:space="preserve"> </w:t>
      </w:r>
      <w:r w:rsidRPr="00C15D80">
        <w:t xml:space="preserve">were analysed using univariate single-factor PERMANOVA (permutational ANOVA and MANOVA) in the software package PRIMER v. 6.1.12 and PERMANOVA+ (Anderson </w:t>
      </w:r>
      <w:r w:rsidRPr="00BE1769">
        <w:rPr>
          <w:i/>
          <w:iCs/>
        </w:rPr>
        <w:t>et al.</w:t>
      </w:r>
      <w:r w:rsidRPr="00C15D80">
        <w:t xml:space="preserve"> 2008). </w:t>
      </w:r>
      <w:r w:rsidRPr="00681EC7">
        <w:t>These analyses were performed on untransformed, standardised relative abundance data.</w:t>
      </w:r>
      <w:r w:rsidR="00BE3682" w:rsidRPr="00681EC7">
        <w:t xml:space="preserve"> Comparisons of C</w:t>
      </w:r>
      <w:r w:rsidR="001E5168" w:rsidRPr="00681EC7">
        <w:t>P</w:t>
      </w:r>
      <w:r w:rsidR="00BE3682" w:rsidRPr="00681EC7">
        <w:t>UE between weir pools were not explored as they were not of interest</w:t>
      </w:r>
      <w:r w:rsidR="00311F99" w:rsidRPr="00681EC7">
        <w:t xml:space="preserve"> in this study</w:t>
      </w:r>
      <w:r w:rsidR="00BE3682" w:rsidRPr="00681EC7">
        <w:t>.</w:t>
      </w:r>
    </w:p>
    <w:p w14:paraId="54127A7C" w14:textId="75D7B105" w:rsidR="007B56CE" w:rsidRDefault="007B56CE" w:rsidP="007B56CE">
      <w:pPr>
        <w:jc w:val="left"/>
        <w:rPr>
          <w:rFonts w:eastAsiaTheme="majorEastAsia" w:cstheme="majorBidi"/>
          <w:b/>
          <w:i/>
          <w:color w:val="44546A" w:themeColor="text2"/>
          <w:sz w:val="24"/>
          <w:szCs w:val="26"/>
        </w:rPr>
      </w:pPr>
    </w:p>
    <w:p w14:paraId="63F1C887" w14:textId="77777777" w:rsidR="007B56CE" w:rsidRDefault="007B56CE" w:rsidP="00FB0CF5">
      <w:pPr>
        <w:pStyle w:val="Heading3"/>
      </w:pPr>
      <w:r>
        <w:t>Results</w:t>
      </w:r>
    </w:p>
    <w:p w14:paraId="4DA6C8F2" w14:textId="77777777" w:rsidR="007B56CE" w:rsidRDefault="007B56CE" w:rsidP="00FB0CF5">
      <w:pPr>
        <w:pStyle w:val="Heading4"/>
      </w:pPr>
      <w:r w:rsidRPr="000600BA">
        <w:t>Catch summary</w:t>
      </w:r>
    </w:p>
    <w:p w14:paraId="1277C6F4" w14:textId="1FA21EF9" w:rsidR="007B56CE" w:rsidRDefault="007B56CE" w:rsidP="007B56CE">
      <w:r>
        <w:t xml:space="preserve">During sampling </w:t>
      </w:r>
      <w:r w:rsidR="005E4B28">
        <w:t xml:space="preserve">in the LMR </w:t>
      </w:r>
      <w:r w:rsidR="00803972">
        <w:t>from</w:t>
      </w:r>
      <w:r>
        <w:t xml:space="preserve"> 5 November 2019 </w:t>
      </w:r>
      <w:r w:rsidR="00AC3062">
        <w:t xml:space="preserve">to </w:t>
      </w:r>
      <w:r>
        <w:t>8 May 2020, a total of 1</w:t>
      </w:r>
      <w:r w:rsidR="00DE7D67">
        <w:t>73</w:t>
      </w:r>
      <w:r>
        <w:t xml:space="preserve"> Murray cod were collected. Catch details in tailwater sites that were consistently sampled throughout the spring–autumn period </w:t>
      </w:r>
      <w:proofErr w:type="gramStart"/>
      <w:r>
        <w:t>are</w:t>
      </w:r>
      <w:proofErr w:type="gramEnd"/>
      <w:r>
        <w:t xml:space="preserve"> provided in </w:t>
      </w:r>
      <w:r w:rsidR="00862675">
        <w:fldChar w:fldCharType="begin"/>
      </w:r>
      <w:r w:rsidR="00862675">
        <w:instrText xml:space="preserve"> REF _Ref57899686 \h </w:instrText>
      </w:r>
      <w:r w:rsidR="00862675">
        <w:fldChar w:fldCharType="separate"/>
      </w:r>
      <w:r w:rsidR="006045CA">
        <w:t xml:space="preserve">Table </w:t>
      </w:r>
      <w:r w:rsidR="006045CA">
        <w:rPr>
          <w:noProof/>
        </w:rPr>
        <w:t>21</w:t>
      </w:r>
      <w:r w:rsidR="00862675">
        <w:fldChar w:fldCharType="end"/>
      </w:r>
      <w:r>
        <w:t>.</w:t>
      </w:r>
      <w:r w:rsidRPr="00326629">
        <w:t xml:space="preserve"> </w:t>
      </w:r>
      <w:r>
        <w:t xml:space="preserve">The majority </w:t>
      </w:r>
      <w:r w:rsidR="005E4B28">
        <w:t xml:space="preserve">of </w:t>
      </w:r>
      <w:r w:rsidR="00096208">
        <w:t>likely</w:t>
      </w:r>
      <w:r w:rsidR="0007255A">
        <w:t xml:space="preserve"> age</w:t>
      </w:r>
      <w:r w:rsidR="00096208">
        <w:t xml:space="preserve"> 0+ </w:t>
      </w:r>
      <w:r w:rsidR="0007255A">
        <w:t xml:space="preserve">juvenile </w:t>
      </w:r>
      <w:r w:rsidR="00096208">
        <w:t xml:space="preserve">Murray cod </w:t>
      </w:r>
      <w:r>
        <w:t>(</w:t>
      </w:r>
      <w:r w:rsidRPr="00D271AA">
        <w:rPr>
          <w:i/>
        </w:rPr>
        <w:t>n</w:t>
      </w:r>
      <w:r>
        <w:t xml:space="preserve"> = </w:t>
      </w:r>
      <w:r w:rsidR="00800A52">
        <w:t>14</w:t>
      </w:r>
      <w:r w:rsidR="00DE7D67">
        <w:t>7</w:t>
      </w:r>
      <w:r>
        <w:t>) were retained for morphometric, age and growth assessments.</w:t>
      </w:r>
    </w:p>
    <w:p w14:paraId="18184CB8" w14:textId="3799B798" w:rsidR="007B56CE" w:rsidRPr="000702B8" w:rsidRDefault="00862675" w:rsidP="00F8184E">
      <w:pPr>
        <w:pStyle w:val="Captions"/>
      </w:pPr>
      <w:bookmarkStart w:id="278" w:name="_Ref57899686"/>
      <w:bookmarkStart w:id="279" w:name="_Toc69387750"/>
      <w:r>
        <w:t xml:space="preserve">Table </w:t>
      </w:r>
      <w:r>
        <w:fldChar w:fldCharType="begin"/>
      </w:r>
      <w:r>
        <w:instrText xml:space="preserve"> SEQ Table \* ARABIC </w:instrText>
      </w:r>
      <w:r>
        <w:fldChar w:fldCharType="separate"/>
      </w:r>
      <w:r w:rsidR="00002263">
        <w:rPr>
          <w:noProof/>
        </w:rPr>
        <w:t>21</w:t>
      </w:r>
      <w:r>
        <w:fldChar w:fldCharType="end"/>
      </w:r>
      <w:bookmarkEnd w:id="278"/>
      <w:r w:rsidR="007B56CE" w:rsidRPr="000702B8">
        <w:t xml:space="preserve">. </w:t>
      </w:r>
      <w:r w:rsidR="007B56CE">
        <w:t>Catch summary of Murray cod in the tailwater (&lt;15 km) below Lock 3 and 4 in 2019-20.</w:t>
      </w:r>
      <w:bookmarkEnd w:id="279"/>
    </w:p>
    <w:tbl>
      <w:tblPr>
        <w:tblW w:w="0" w:type="auto"/>
        <w:jc w:val="center"/>
        <w:tblLook w:val="04A0" w:firstRow="1" w:lastRow="0" w:firstColumn="1" w:lastColumn="0" w:noHBand="0" w:noVBand="1"/>
      </w:tblPr>
      <w:tblGrid>
        <w:gridCol w:w="1350"/>
        <w:gridCol w:w="427"/>
        <w:gridCol w:w="935"/>
        <w:gridCol w:w="1246"/>
        <w:gridCol w:w="427"/>
        <w:gridCol w:w="838"/>
        <w:gridCol w:w="1246"/>
      </w:tblGrid>
      <w:tr w:rsidR="007B5CF9" w:rsidRPr="004509F2" w14:paraId="0288D8D6" w14:textId="77777777" w:rsidTr="00FB0CF5">
        <w:trPr>
          <w:trHeight w:val="340"/>
          <w:jc w:val="center"/>
        </w:trPr>
        <w:tc>
          <w:tcPr>
            <w:tcW w:w="0" w:type="auto"/>
            <w:tcBorders>
              <w:top w:val="single" w:sz="4" w:space="0" w:color="auto"/>
            </w:tcBorders>
            <w:vAlign w:val="bottom"/>
          </w:tcPr>
          <w:p w14:paraId="03DAE39E" w14:textId="77777777" w:rsidR="007B5CF9" w:rsidRPr="009A132E" w:rsidRDefault="007B5CF9" w:rsidP="00FB0CF5">
            <w:pPr>
              <w:contextualSpacing/>
              <w:jc w:val="left"/>
              <w:rPr>
                <w:b/>
                <w:sz w:val="19"/>
                <w:szCs w:val="19"/>
              </w:rPr>
            </w:pPr>
            <w:r w:rsidRPr="009A132E">
              <w:rPr>
                <w:b/>
                <w:sz w:val="19"/>
                <w:szCs w:val="19"/>
              </w:rPr>
              <w:t>Date range</w:t>
            </w:r>
          </w:p>
        </w:tc>
        <w:tc>
          <w:tcPr>
            <w:tcW w:w="0" w:type="auto"/>
            <w:tcBorders>
              <w:top w:val="single" w:sz="4" w:space="0" w:color="auto"/>
            </w:tcBorders>
            <w:vAlign w:val="bottom"/>
          </w:tcPr>
          <w:p w14:paraId="7F5ADE2A" w14:textId="77777777" w:rsidR="007B5CF9" w:rsidRPr="009A132E" w:rsidRDefault="007B5CF9" w:rsidP="00FB0CF5">
            <w:pPr>
              <w:contextualSpacing/>
              <w:jc w:val="center"/>
              <w:rPr>
                <w:b/>
                <w:sz w:val="19"/>
                <w:szCs w:val="19"/>
              </w:rPr>
            </w:pPr>
          </w:p>
        </w:tc>
        <w:tc>
          <w:tcPr>
            <w:tcW w:w="0" w:type="auto"/>
            <w:tcBorders>
              <w:top w:val="single" w:sz="4" w:space="0" w:color="auto"/>
            </w:tcBorders>
            <w:vAlign w:val="bottom"/>
          </w:tcPr>
          <w:p w14:paraId="5C09F32F" w14:textId="77777777" w:rsidR="007B5CF9" w:rsidRDefault="007B5CF9" w:rsidP="00FB0CF5">
            <w:pPr>
              <w:contextualSpacing/>
              <w:jc w:val="center"/>
              <w:rPr>
                <w:b/>
                <w:sz w:val="19"/>
                <w:szCs w:val="19"/>
              </w:rPr>
            </w:pPr>
            <w:r>
              <w:rPr>
                <w:b/>
                <w:sz w:val="19"/>
                <w:szCs w:val="19"/>
              </w:rPr>
              <w:t>Lock 3</w:t>
            </w:r>
          </w:p>
        </w:tc>
        <w:tc>
          <w:tcPr>
            <w:tcW w:w="0" w:type="auto"/>
            <w:tcBorders>
              <w:top w:val="single" w:sz="4" w:space="0" w:color="auto"/>
            </w:tcBorders>
            <w:vAlign w:val="bottom"/>
          </w:tcPr>
          <w:p w14:paraId="04C32AB8" w14:textId="77777777" w:rsidR="007B5CF9" w:rsidRDefault="007B5CF9" w:rsidP="00FB0CF5">
            <w:pPr>
              <w:contextualSpacing/>
              <w:jc w:val="center"/>
              <w:rPr>
                <w:b/>
                <w:sz w:val="19"/>
                <w:szCs w:val="19"/>
              </w:rPr>
            </w:pPr>
          </w:p>
        </w:tc>
        <w:tc>
          <w:tcPr>
            <w:tcW w:w="0" w:type="auto"/>
            <w:tcBorders>
              <w:top w:val="single" w:sz="4" w:space="0" w:color="auto"/>
            </w:tcBorders>
            <w:vAlign w:val="bottom"/>
          </w:tcPr>
          <w:p w14:paraId="4E4A83C0" w14:textId="77777777" w:rsidR="007B5CF9" w:rsidRDefault="007B5CF9" w:rsidP="00FB0CF5">
            <w:pPr>
              <w:contextualSpacing/>
              <w:jc w:val="center"/>
              <w:rPr>
                <w:b/>
                <w:sz w:val="19"/>
                <w:szCs w:val="19"/>
              </w:rPr>
            </w:pPr>
          </w:p>
        </w:tc>
        <w:tc>
          <w:tcPr>
            <w:tcW w:w="0" w:type="auto"/>
            <w:tcBorders>
              <w:top w:val="single" w:sz="4" w:space="0" w:color="auto"/>
            </w:tcBorders>
            <w:vAlign w:val="bottom"/>
          </w:tcPr>
          <w:p w14:paraId="1BAD2B5A" w14:textId="77777777" w:rsidR="007B5CF9" w:rsidRDefault="007B5CF9" w:rsidP="00FB0CF5">
            <w:pPr>
              <w:contextualSpacing/>
              <w:jc w:val="center"/>
              <w:rPr>
                <w:b/>
                <w:sz w:val="19"/>
                <w:szCs w:val="19"/>
              </w:rPr>
            </w:pPr>
            <w:r>
              <w:rPr>
                <w:b/>
                <w:sz w:val="19"/>
                <w:szCs w:val="19"/>
              </w:rPr>
              <w:t>Lock 4</w:t>
            </w:r>
          </w:p>
        </w:tc>
        <w:tc>
          <w:tcPr>
            <w:tcW w:w="0" w:type="auto"/>
            <w:tcBorders>
              <w:top w:val="single" w:sz="4" w:space="0" w:color="auto"/>
            </w:tcBorders>
            <w:vAlign w:val="bottom"/>
          </w:tcPr>
          <w:p w14:paraId="5D64E3ED" w14:textId="77777777" w:rsidR="007B5CF9" w:rsidRDefault="007B5CF9" w:rsidP="00FB0CF5">
            <w:pPr>
              <w:contextualSpacing/>
              <w:jc w:val="center"/>
              <w:rPr>
                <w:b/>
                <w:sz w:val="19"/>
                <w:szCs w:val="19"/>
              </w:rPr>
            </w:pPr>
          </w:p>
        </w:tc>
      </w:tr>
      <w:tr w:rsidR="007B5CF9" w:rsidRPr="004509F2" w14:paraId="5637A5DF" w14:textId="77777777" w:rsidTr="00FB0CF5">
        <w:trPr>
          <w:trHeight w:val="340"/>
          <w:jc w:val="center"/>
        </w:trPr>
        <w:tc>
          <w:tcPr>
            <w:tcW w:w="0" w:type="auto"/>
            <w:tcBorders>
              <w:bottom w:val="single" w:sz="4" w:space="0" w:color="auto"/>
            </w:tcBorders>
            <w:vAlign w:val="bottom"/>
          </w:tcPr>
          <w:p w14:paraId="4DD66FA1" w14:textId="77777777" w:rsidR="007B5CF9" w:rsidRPr="009A132E" w:rsidRDefault="007B5CF9" w:rsidP="00FB0CF5">
            <w:pPr>
              <w:contextualSpacing/>
              <w:jc w:val="left"/>
              <w:rPr>
                <w:b/>
                <w:sz w:val="19"/>
                <w:szCs w:val="19"/>
              </w:rPr>
            </w:pPr>
          </w:p>
        </w:tc>
        <w:tc>
          <w:tcPr>
            <w:tcW w:w="0" w:type="auto"/>
            <w:tcBorders>
              <w:bottom w:val="single" w:sz="4" w:space="0" w:color="auto"/>
            </w:tcBorders>
            <w:vAlign w:val="bottom"/>
          </w:tcPr>
          <w:p w14:paraId="368545D6" w14:textId="77777777" w:rsidR="007B5CF9" w:rsidRPr="009A132E" w:rsidRDefault="007B5CF9" w:rsidP="00FB0CF5">
            <w:pPr>
              <w:contextualSpacing/>
              <w:jc w:val="center"/>
              <w:rPr>
                <w:b/>
                <w:sz w:val="19"/>
                <w:szCs w:val="19"/>
              </w:rPr>
            </w:pPr>
            <w:r w:rsidRPr="00F47059">
              <w:rPr>
                <w:b/>
                <w:i/>
                <w:iCs/>
                <w:sz w:val="19"/>
                <w:szCs w:val="19"/>
              </w:rPr>
              <w:t>n</w:t>
            </w:r>
            <w:r>
              <w:rPr>
                <w:b/>
                <w:sz w:val="19"/>
                <w:szCs w:val="19"/>
              </w:rPr>
              <w:t>*</w:t>
            </w:r>
          </w:p>
        </w:tc>
        <w:tc>
          <w:tcPr>
            <w:tcW w:w="0" w:type="auto"/>
            <w:tcBorders>
              <w:bottom w:val="single" w:sz="4" w:space="0" w:color="auto"/>
            </w:tcBorders>
            <w:vAlign w:val="bottom"/>
          </w:tcPr>
          <w:p w14:paraId="31D4EE1F" w14:textId="77777777" w:rsidR="007B5CF9" w:rsidRDefault="007B5CF9" w:rsidP="00FB0CF5">
            <w:pPr>
              <w:contextualSpacing/>
              <w:jc w:val="center"/>
              <w:rPr>
                <w:b/>
                <w:sz w:val="19"/>
                <w:szCs w:val="19"/>
              </w:rPr>
            </w:pPr>
            <w:r>
              <w:rPr>
                <w:b/>
                <w:sz w:val="19"/>
                <w:szCs w:val="19"/>
              </w:rPr>
              <w:t>TL (mm)</w:t>
            </w:r>
          </w:p>
        </w:tc>
        <w:tc>
          <w:tcPr>
            <w:tcW w:w="0" w:type="auto"/>
            <w:tcBorders>
              <w:bottom w:val="single" w:sz="4" w:space="0" w:color="auto"/>
            </w:tcBorders>
            <w:vAlign w:val="bottom"/>
          </w:tcPr>
          <w:p w14:paraId="50BFEAC3" w14:textId="77777777" w:rsidR="007B5CF9" w:rsidRDefault="007B5CF9" w:rsidP="00FB0CF5">
            <w:pPr>
              <w:contextualSpacing/>
              <w:jc w:val="center"/>
              <w:rPr>
                <w:b/>
                <w:sz w:val="19"/>
                <w:szCs w:val="19"/>
              </w:rPr>
            </w:pPr>
            <w:r>
              <w:rPr>
                <w:b/>
                <w:sz w:val="19"/>
                <w:szCs w:val="19"/>
              </w:rPr>
              <w:t>Age (days)</w:t>
            </w:r>
          </w:p>
        </w:tc>
        <w:tc>
          <w:tcPr>
            <w:tcW w:w="0" w:type="auto"/>
            <w:tcBorders>
              <w:bottom w:val="single" w:sz="4" w:space="0" w:color="auto"/>
            </w:tcBorders>
            <w:vAlign w:val="bottom"/>
          </w:tcPr>
          <w:p w14:paraId="6D9E09F6" w14:textId="77777777" w:rsidR="007B5CF9" w:rsidRDefault="007B5CF9" w:rsidP="00FB0CF5">
            <w:pPr>
              <w:contextualSpacing/>
              <w:jc w:val="center"/>
              <w:rPr>
                <w:b/>
                <w:sz w:val="19"/>
                <w:szCs w:val="19"/>
              </w:rPr>
            </w:pPr>
            <w:r w:rsidRPr="00F47059">
              <w:rPr>
                <w:b/>
                <w:i/>
                <w:iCs/>
                <w:sz w:val="19"/>
                <w:szCs w:val="19"/>
              </w:rPr>
              <w:t>n</w:t>
            </w:r>
            <w:r>
              <w:rPr>
                <w:b/>
                <w:sz w:val="19"/>
                <w:szCs w:val="19"/>
              </w:rPr>
              <w:t>*</w:t>
            </w:r>
          </w:p>
        </w:tc>
        <w:tc>
          <w:tcPr>
            <w:tcW w:w="0" w:type="auto"/>
            <w:tcBorders>
              <w:bottom w:val="single" w:sz="4" w:space="0" w:color="auto"/>
            </w:tcBorders>
            <w:vAlign w:val="bottom"/>
          </w:tcPr>
          <w:p w14:paraId="62F11B60" w14:textId="77777777" w:rsidR="007B5CF9" w:rsidRDefault="007B5CF9" w:rsidP="00FB0CF5">
            <w:pPr>
              <w:contextualSpacing/>
              <w:jc w:val="center"/>
              <w:rPr>
                <w:b/>
                <w:sz w:val="19"/>
                <w:szCs w:val="19"/>
              </w:rPr>
            </w:pPr>
            <w:r>
              <w:rPr>
                <w:b/>
                <w:sz w:val="19"/>
                <w:szCs w:val="19"/>
              </w:rPr>
              <w:t>TL</w:t>
            </w:r>
          </w:p>
        </w:tc>
        <w:tc>
          <w:tcPr>
            <w:tcW w:w="0" w:type="auto"/>
            <w:tcBorders>
              <w:bottom w:val="single" w:sz="4" w:space="0" w:color="auto"/>
            </w:tcBorders>
            <w:vAlign w:val="bottom"/>
          </w:tcPr>
          <w:p w14:paraId="56B41933" w14:textId="0B888EBF" w:rsidR="007B5CF9" w:rsidRDefault="007B5CF9" w:rsidP="00FB0CF5">
            <w:pPr>
              <w:contextualSpacing/>
              <w:jc w:val="center"/>
              <w:rPr>
                <w:b/>
                <w:sz w:val="19"/>
                <w:szCs w:val="19"/>
              </w:rPr>
            </w:pPr>
            <w:r>
              <w:rPr>
                <w:b/>
                <w:sz w:val="19"/>
                <w:szCs w:val="19"/>
              </w:rPr>
              <w:t>Age (days)</w:t>
            </w:r>
          </w:p>
        </w:tc>
      </w:tr>
      <w:tr w:rsidR="007B5CF9" w:rsidRPr="004509F2" w14:paraId="36A1F19C" w14:textId="77777777" w:rsidTr="00FB0CF5">
        <w:trPr>
          <w:trHeight w:val="340"/>
          <w:jc w:val="center"/>
        </w:trPr>
        <w:tc>
          <w:tcPr>
            <w:tcW w:w="0" w:type="auto"/>
            <w:tcBorders>
              <w:top w:val="single" w:sz="4" w:space="0" w:color="auto"/>
            </w:tcBorders>
          </w:tcPr>
          <w:p w14:paraId="3E55D2AC" w14:textId="22938523" w:rsidR="007B5CF9" w:rsidRPr="004509F2" w:rsidRDefault="007B5CF9" w:rsidP="00FB0CF5">
            <w:pPr>
              <w:contextualSpacing/>
              <w:rPr>
                <w:sz w:val="19"/>
                <w:szCs w:val="19"/>
              </w:rPr>
            </w:pPr>
            <w:r>
              <w:rPr>
                <w:sz w:val="19"/>
                <w:szCs w:val="19"/>
              </w:rPr>
              <w:t>5–18/11/20</w:t>
            </w:r>
          </w:p>
        </w:tc>
        <w:tc>
          <w:tcPr>
            <w:tcW w:w="0" w:type="auto"/>
            <w:tcBorders>
              <w:top w:val="single" w:sz="4" w:space="0" w:color="auto"/>
            </w:tcBorders>
          </w:tcPr>
          <w:p w14:paraId="7D7FEE84" w14:textId="77777777" w:rsidR="007B5CF9" w:rsidRPr="004509F2" w:rsidRDefault="007B5CF9" w:rsidP="00FB0CF5">
            <w:pPr>
              <w:contextualSpacing/>
              <w:jc w:val="center"/>
              <w:rPr>
                <w:sz w:val="19"/>
                <w:szCs w:val="19"/>
              </w:rPr>
            </w:pPr>
            <w:r>
              <w:rPr>
                <w:sz w:val="19"/>
                <w:szCs w:val="19"/>
              </w:rPr>
              <w:t>12</w:t>
            </w:r>
          </w:p>
        </w:tc>
        <w:tc>
          <w:tcPr>
            <w:tcW w:w="0" w:type="auto"/>
            <w:tcBorders>
              <w:top w:val="single" w:sz="4" w:space="0" w:color="auto"/>
            </w:tcBorders>
          </w:tcPr>
          <w:p w14:paraId="2FEE3C95" w14:textId="77777777" w:rsidR="007B5CF9" w:rsidRDefault="007B5CF9" w:rsidP="00FB0CF5">
            <w:pPr>
              <w:contextualSpacing/>
              <w:jc w:val="center"/>
              <w:rPr>
                <w:sz w:val="19"/>
                <w:szCs w:val="19"/>
              </w:rPr>
            </w:pPr>
            <w:r>
              <w:rPr>
                <w:sz w:val="19"/>
                <w:szCs w:val="19"/>
              </w:rPr>
              <w:t>10–11</w:t>
            </w:r>
          </w:p>
        </w:tc>
        <w:tc>
          <w:tcPr>
            <w:tcW w:w="0" w:type="auto"/>
            <w:tcBorders>
              <w:top w:val="single" w:sz="4" w:space="0" w:color="auto"/>
            </w:tcBorders>
          </w:tcPr>
          <w:p w14:paraId="6196F911" w14:textId="77777777" w:rsidR="007B5CF9" w:rsidRDefault="007B5CF9" w:rsidP="00FB0CF5">
            <w:pPr>
              <w:contextualSpacing/>
              <w:jc w:val="center"/>
              <w:rPr>
                <w:sz w:val="19"/>
                <w:szCs w:val="19"/>
              </w:rPr>
            </w:pPr>
            <w:r>
              <w:rPr>
                <w:sz w:val="19"/>
                <w:szCs w:val="19"/>
              </w:rPr>
              <w:t>10–14</w:t>
            </w:r>
          </w:p>
        </w:tc>
        <w:tc>
          <w:tcPr>
            <w:tcW w:w="0" w:type="auto"/>
            <w:tcBorders>
              <w:top w:val="single" w:sz="4" w:space="0" w:color="auto"/>
            </w:tcBorders>
          </w:tcPr>
          <w:p w14:paraId="77DDF250" w14:textId="648F4036" w:rsidR="007B5CF9" w:rsidRDefault="007B5CF9" w:rsidP="00FB0CF5">
            <w:pPr>
              <w:contextualSpacing/>
              <w:jc w:val="center"/>
              <w:rPr>
                <w:sz w:val="19"/>
                <w:szCs w:val="19"/>
              </w:rPr>
            </w:pPr>
            <w:r>
              <w:rPr>
                <w:sz w:val="19"/>
                <w:szCs w:val="19"/>
              </w:rPr>
              <w:t>20</w:t>
            </w:r>
          </w:p>
        </w:tc>
        <w:tc>
          <w:tcPr>
            <w:tcW w:w="0" w:type="auto"/>
            <w:tcBorders>
              <w:top w:val="single" w:sz="4" w:space="0" w:color="auto"/>
            </w:tcBorders>
          </w:tcPr>
          <w:p w14:paraId="18A5F1E8" w14:textId="669F4F20" w:rsidR="007B5CF9" w:rsidRDefault="007B5CF9" w:rsidP="00FB0CF5">
            <w:pPr>
              <w:contextualSpacing/>
              <w:jc w:val="center"/>
              <w:rPr>
                <w:sz w:val="19"/>
                <w:szCs w:val="19"/>
              </w:rPr>
            </w:pPr>
            <w:r>
              <w:rPr>
                <w:sz w:val="19"/>
                <w:szCs w:val="19"/>
              </w:rPr>
              <w:t>10–21</w:t>
            </w:r>
          </w:p>
        </w:tc>
        <w:tc>
          <w:tcPr>
            <w:tcW w:w="0" w:type="auto"/>
            <w:tcBorders>
              <w:top w:val="single" w:sz="4" w:space="0" w:color="auto"/>
            </w:tcBorders>
          </w:tcPr>
          <w:p w14:paraId="313E1B16" w14:textId="77777777" w:rsidR="007B5CF9" w:rsidRDefault="007B5CF9" w:rsidP="00FB0CF5">
            <w:pPr>
              <w:contextualSpacing/>
              <w:jc w:val="center"/>
              <w:rPr>
                <w:sz w:val="19"/>
                <w:szCs w:val="19"/>
              </w:rPr>
            </w:pPr>
            <w:r>
              <w:rPr>
                <w:sz w:val="19"/>
                <w:szCs w:val="19"/>
              </w:rPr>
              <w:t>11–14</w:t>
            </w:r>
          </w:p>
        </w:tc>
      </w:tr>
      <w:tr w:rsidR="007B5CF9" w:rsidRPr="004509F2" w14:paraId="06B6808D" w14:textId="77777777" w:rsidTr="00FB0CF5">
        <w:trPr>
          <w:trHeight w:val="340"/>
          <w:jc w:val="center"/>
        </w:trPr>
        <w:tc>
          <w:tcPr>
            <w:tcW w:w="0" w:type="auto"/>
          </w:tcPr>
          <w:p w14:paraId="1AD63FD1" w14:textId="77777777" w:rsidR="007B5CF9" w:rsidRPr="004509F2" w:rsidRDefault="007B5CF9" w:rsidP="00FB0CF5">
            <w:pPr>
              <w:contextualSpacing/>
              <w:rPr>
                <w:sz w:val="19"/>
                <w:szCs w:val="19"/>
              </w:rPr>
            </w:pPr>
            <w:r w:rsidRPr="004509F2">
              <w:rPr>
                <w:sz w:val="19"/>
                <w:szCs w:val="19"/>
              </w:rPr>
              <w:t>6–</w:t>
            </w:r>
            <w:r>
              <w:rPr>
                <w:sz w:val="19"/>
                <w:szCs w:val="19"/>
              </w:rPr>
              <w:t>9</w:t>
            </w:r>
            <w:r w:rsidRPr="004509F2">
              <w:rPr>
                <w:sz w:val="19"/>
                <w:szCs w:val="19"/>
              </w:rPr>
              <w:t>/1/</w:t>
            </w:r>
            <w:r>
              <w:rPr>
                <w:sz w:val="19"/>
                <w:szCs w:val="19"/>
              </w:rPr>
              <w:t>20</w:t>
            </w:r>
          </w:p>
        </w:tc>
        <w:tc>
          <w:tcPr>
            <w:tcW w:w="0" w:type="auto"/>
          </w:tcPr>
          <w:p w14:paraId="285AF331" w14:textId="77777777" w:rsidR="007B5CF9" w:rsidRPr="004509F2" w:rsidRDefault="007B5CF9" w:rsidP="00FB0CF5">
            <w:pPr>
              <w:contextualSpacing/>
              <w:jc w:val="center"/>
              <w:rPr>
                <w:sz w:val="19"/>
                <w:szCs w:val="19"/>
              </w:rPr>
            </w:pPr>
            <w:r>
              <w:rPr>
                <w:sz w:val="19"/>
                <w:szCs w:val="19"/>
              </w:rPr>
              <w:t>3</w:t>
            </w:r>
          </w:p>
        </w:tc>
        <w:tc>
          <w:tcPr>
            <w:tcW w:w="0" w:type="auto"/>
          </w:tcPr>
          <w:p w14:paraId="44307678" w14:textId="77777777" w:rsidR="007B5CF9" w:rsidRPr="004509F2" w:rsidRDefault="007B5CF9" w:rsidP="00FB0CF5">
            <w:pPr>
              <w:contextualSpacing/>
              <w:jc w:val="center"/>
              <w:rPr>
                <w:sz w:val="19"/>
                <w:szCs w:val="19"/>
              </w:rPr>
            </w:pPr>
            <w:r>
              <w:rPr>
                <w:sz w:val="19"/>
                <w:szCs w:val="19"/>
              </w:rPr>
              <w:t>28–43</w:t>
            </w:r>
          </w:p>
        </w:tc>
        <w:tc>
          <w:tcPr>
            <w:tcW w:w="0" w:type="auto"/>
          </w:tcPr>
          <w:p w14:paraId="123DA101" w14:textId="77777777" w:rsidR="007B5CF9" w:rsidRPr="004509F2" w:rsidRDefault="007B5CF9" w:rsidP="00FB0CF5">
            <w:pPr>
              <w:contextualSpacing/>
              <w:jc w:val="center"/>
              <w:rPr>
                <w:sz w:val="19"/>
                <w:szCs w:val="19"/>
              </w:rPr>
            </w:pPr>
            <w:r>
              <w:rPr>
                <w:sz w:val="19"/>
                <w:szCs w:val="19"/>
              </w:rPr>
              <w:t>60–73</w:t>
            </w:r>
          </w:p>
        </w:tc>
        <w:tc>
          <w:tcPr>
            <w:tcW w:w="0" w:type="auto"/>
          </w:tcPr>
          <w:p w14:paraId="61565ACF" w14:textId="77777777" w:rsidR="007B5CF9" w:rsidRPr="004509F2" w:rsidRDefault="007B5CF9" w:rsidP="00FB0CF5">
            <w:pPr>
              <w:contextualSpacing/>
              <w:jc w:val="center"/>
              <w:rPr>
                <w:sz w:val="19"/>
                <w:szCs w:val="19"/>
              </w:rPr>
            </w:pPr>
            <w:r>
              <w:rPr>
                <w:sz w:val="19"/>
                <w:szCs w:val="19"/>
              </w:rPr>
              <w:t>28</w:t>
            </w:r>
          </w:p>
        </w:tc>
        <w:tc>
          <w:tcPr>
            <w:tcW w:w="0" w:type="auto"/>
          </w:tcPr>
          <w:p w14:paraId="48E6A0EC" w14:textId="77777777" w:rsidR="007B5CF9" w:rsidRPr="004509F2" w:rsidRDefault="007B5CF9" w:rsidP="00FB0CF5">
            <w:pPr>
              <w:contextualSpacing/>
              <w:jc w:val="center"/>
              <w:rPr>
                <w:sz w:val="19"/>
                <w:szCs w:val="19"/>
              </w:rPr>
            </w:pPr>
            <w:r>
              <w:rPr>
                <w:sz w:val="19"/>
                <w:szCs w:val="19"/>
              </w:rPr>
              <w:t>23–63</w:t>
            </w:r>
          </w:p>
        </w:tc>
        <w:tc>
          <w:tcPr>
            <w:tcW w:w="0" w:type="auto"/>
          </w:tcPr>
          <w:p w14:paraId="52B862E3" w14:textId="77777777" w:rsidR="007B5CF9" w:rsidRPr="004509F2" w:rsidRDefault="007B5CF9" w:rsidP="00FB0CF5">
            <w:pPr>
              <w:contextualSpacing/>
              <w:jc w:val="center"/>
              <w:rPr>
                <w:sz w:val="19"/>
                <w:szCs w:val="19"/>
              </w:rPr>
            </w:pPr>
            <w:r>
              <w:rPr>
                <w:sz w:val="19"/>
                <w:szCs w:val="19"/>
              </w:rPr>
              <w:t>57–86</w:t>
            </w:r>
          </w:p>
        </w:tc>
      </w:tr>
      <w:tr w:rsidR="007B5CF9" w:rsidRPr="004509F2" w14:paraId="09BDC4E0" w14:textId="77777777" w:rsidTr="00FB0CF5">
        <w:trPr>
          <w:trHeight w:val="340"/>
          <w:jc w:val="center"/>
        </w:trPr>
        <w:tc>
          <w:tcPr>
            <w:tcW w:w="0" w:type="auto"/>
          </w:tcPr>
          <w:p w14:paraId="7C5E1816" w14:textId="77777777" w:rsidR="007B5CF9" w:rsidRPr="004509F2" w:rsidRDefault="007B5CF9" w:rsidP="00FB0CF5">
            <w:pPr>
              <w:contextualSpacing/>
              <w:rPr>
                <w:sz w:val="19"/>
                <w:szCs w:val="19"/>
              </w:rPr>
            </w:pPr>
            <w:r>
              <w:rPr>
                <w:sz w:val="19"/>
                <w:szCs w:val="19"/>
              </w:rPr>
              <w:t>24</w:t>
            </w:r>
            <w:r w:rsidRPr="004509F2">
              <w:rPr>
                <w:sz w:val="19"/>
                <w:szCs w:val="19"/>
              </w:rPr>
              <w:t>–</w:t>
            </w:r>
            <w:r>
              <w:rPr>
                <w:sz w:val="19"/>
                <w:szCs w:val="19"/>
              </w:rPr>
              <w:t>27/2/20</w:t>
            </w:r>
          </w:p>
        </w:tc>
        <w:tc>
          <w:tcPr>
            <w:tcW w:w="0" w:type="auto"/>
          </w:tcPr>
          <w:p w14:paraId="40CEFB6E" w14:textId="77777777" w:rsidR="007B5CF9" w:rsidRPr="004509F2" w:rsidRDefault="007B5CF9" w:rsidP="00FB0CF5">
            <w:pPr>
              <w:contextualSpacing/>
              <w:jc w:val="center"/>
              <w:rPr>
                <w:sz w:val="19"/>
                <w:szCs w:val="19"/>
              </w:rPr>
            </w:pPr>
            <w:r>
              <w:rPr>
                <w:sz w:val="19"/>
                <w:szCs w:val="19"/>
              </w:rPr>
              <w:t>7</w:t>
            </w:r>
          </w:p>
        </w:tc>
        <w:tc>
          <w:tcPr>
            <w:tcW w:w="0" w:type="auto"/>
          </w:tcPr>
          <w:p w14:paraId="5F90731E" w14:textId="77777777" w:rsidR="007B5CF9" w:rsidRDefault="007B5CF9" w:rsidP="00FB0CF5">
            <w:pPr>
              <w:contextualSpacing/>
              <w:jc w:val="center"/>
              <w:rPr>
                <w:sz w:val="19"/>
                <w:szCs w:val="19"/>
              </w:rPr>
            </w:pPr>
            <w:r>
              <w:rPr>
                <w:sz w:val="19"/>
                <w:szCs w:val="19"/>
              </w:rPr>
              <w:t>53–96</w:t>
            </w:r>
          </w:p>
        </w:tc>
        <w:tc>
          <w:tcPr>
            <w:tcW w:w="0" w:type="auto"/>
          </w:tcPr>
          <w:p w14:paraId="439D1CAA" w14:textId="77777777" w:rsidR="007B5CF9" w:rsidRDefault="007B5CF9" w:rsidP="00FB0CF5">
            <w:pPr>
              <w:contextualSpacing/>
              <w:jc w:val="center"/>
              <w:rPr>
                <w:sz w:val="19"/>
                <w:szCs w:val="19"/>
              </w:rPr>
            </w:pPr>
            <w:r>
              <w:rPr>
                <w:sz w:val="19"/>
                <w:szCs w:val="19"/>
              </w:rPr>
              <w:t>79–116</w:t>
            </w:r>
          </w:p>
        </w:tc>
        <w:tc>
          <w:tcPr>
            <w:tcW w:w="0" w:type="auto"/>
          </w:tcPr>
          <w:p w14:paraId="7D618CA2" w14:textId="77777777" w:rsidR="007B5CF9" w:rsidRDefault="007B5CF9" w:rsidP="00FB0CF5">
            <w:pPr>
              <w:contextualSpacing/>
              <w:jc w:val="center"/>
              <w:rPr>
                <w:sz w:val="19"/>
                <w:szCs w:val="19"/>
              </w:rPr>
            </w:pPr>
            <w:r>
              <w:rPr>
                <w:sz w:val="19"/>
                <w:szCs w:val="19"/>
              </w:rPr>
              <w:t>30</w:t>
            </w:r>
          </w:p>
        </w:tc>
        <w:tc>
          <w:tcPr>
            <w:tcW w:w="0" w:type="auto"/>
          </w:tcPr>
          <w:p w14:paraId="225D0BC1" w14:textId="77777777" w:rsidR="007B5CF9" w:rsidRDefault="007B5CF9" w:rsidP="00FB0CF5">
            <w:pPr>
              <w:contextualSpacing/>
              <w:jc w:val="center"/>
              <w:rPr>
                <w:sz w:val="19"/>
                <w:szCs w:val="19"/>
              </w:rPr>
            </w:pPr>
            <w:r>
              <w:rPr>
                <w:sz w:val="19"/>
                <w:szCs w:val="19"/>
              </w:rPr>
              <w:t>60–104</w:t>
            </w:r>
          </w:p>
        </w:tc>
        <w:tc>
          <w:tcPr>
            <w:tcW w:w="0" w:type="auto"/>
          </w:tcPr>
          <w:p w14:paraId="6698A9FA" w14:textId="77777777" w:rsidR="007B5CF9" w:rsidRDefault="007B5CF9" w:rsidP="00FB0CF5">
            <w:pPr>
              <w:contextualSpacing/>
              <w:jc w:val="center"/>
              <w:rPr>
                <w:sz w:val="19"/>
                <w:szCs w:val="19"/>
              </w:rPr>
            </w:pPr>
            <w:r>
              <w:rPr>
                <w:sz w:val="19"/>
                <w:szCs w:val="19"/>
              </w:rPr>
              <w:t>103–127</w:t>
            </w:r>
          </w:p>
        </w:tc>
      </w:tr>
      <w:tr w:rsidR="007B5CF9" w:rsidRPr="004509F2" w14:paraId="224FD0C7" w14:textId="77777777" w:rsidTr="00FB0CF5">
        <w:trPr>
          <w:trHeight w:val="340"/>
          <w:jc w:val="center"/>
        </w:trPr>
        <w:tc>
          <w:tcPr>
            <w:tcW w:w="0" w:type="auto"/>
          </w:tcPr>
          <w:p w14:paraId="52D2EB5E" w14:textId="77777777" w:rsidR="007B5CF9" w:rsidRPr="004509F2" w:rsidRDefault="007B5CF9" w:rsidP="00FB0CF5">
            <w:pPr>
              <w:contextualSpacing/>
              <w:rPr>
                <w:sz w:val="19"/>
                <w:szCs w:val="19"/>
              </w:rPr>
            </w:pPr>
            <w:r>
              <w:rPr>
                <w:sz w:val="19"/>
                <w:szCs w:val="19"/>
              </w:rPr>
              <w:t>30/3– 8/4</w:t>
            </w:r>
            <w:r w:rsidRPr="004509F2">
              <w:rPr>
                <w:sz w:val="19"/>
                <w:szCs w:val="19"/>
              </w:rPr>
              <w:t>/</w:t>
            </w:r>
            <w:r>
              <w:rPr>
                <w:sz w:val="19"/>
                <w:szCs w:val="19"/>
              </w:rPr>
              <w:t>20</w:t>
            </w:r>
          </w:p>
        </w:tc>
        <w:tc>
          <w:tcPr>
            <w:tcW w:w="0" w:type="auto"/>
          </w:tcPr>
          <w:p w14:paraId="009C6911" w14:textId="77777777" w:rsidR="007B5CF9" w:rsidRPr="004509F2" w:rsidRDefault="007B5CF9" w:rsidP="00FB0CF5">
            <w:pPr>
              <w:contextualSpacing/>
              <w:jc w:val="center"/>
              <w:rPr>
                <w:sz w:val="19"/>
                <w:szCs w:val="19"/>
              </w:rPr>
            </w:pPr>
            <w:r>
              <w:rPr>
                <w:sz w:val="19"/>
                <w:szCs w:val="19"/>
              </w:rPr>
              <w:t>8</w:t>
            </w:r>
          </w:p>
        </w:tc>
        <w:tc>
          <w:tcPr>
            <w:tcW w:w="0" w:type="auto"/>
          </w:tcPr>
          <w:p w14:paraId="0B776495" w14:textId="77777777" w:rsidR="007B5CF9" w:rsidRDefault="007B5CF9" w:rsidP="00FB0CF5">
            <w:pPr>
              <w:contextualSpacing/>
              <w:jc w:val="center"/>
              <w:rPr>
                <w:sz w:val="19"/>
                <w:szCs w:val="19"/>
              </w:rPr>
            </w:pPr>
            <w:r>
              <w:rPr>
                <w:sz w:val="19"/>
                <w:szCs w:val="19"/>
              </w:rPr>
              <w:t>54–113</w:t>
            </w:r>
          </w:p>
        </w:tc>
        <w:tc>
          <w:tcPr>
            <w:tcW w:w="0" w:type="auto"/>
          </w:tcPr>
          <w:p w14:paraId="7E5A4C78" w14:textId="77777777" w:rsidR="007B5CF9" w:rsidRDefault="007B5CF9" w:rsidP="00FB0CF5">
            <w:pPr>
              <w:contextualSpacing/>
              <w:jc w:val="center"/>
              <w:rPr>
                <w:sz w:val="19"/>
                <w:szCs w:val="19"/>
              </w:rPr>
            </w:pPr>
            <w:r>
              <w:rPr>
                <w:sz w:val="19"/>
                <w:szCs w:val="19"/>
              </w:rPr>
              <w:t>136–145</w:t>
            </w:r>
          </w:p>
        </w:tc>
        <w:tc>
          <w:tcPr>
            <w:tcW w:w="0" w:type="auto"/>
          </w:tcPr>
          <w:p w14:paraId="6934809B" w14:textId="77777777" w:rsidR="007B5CF9" w:rsidRDefault="007B5CF9" w:rsidP="00FB0CF5">
            <w:pPr>
              <w:contextualSpacing/>
              <w:jc w:val="center"/>
              <w:rPr>
                <w:sz w:val="19"/>
                <w:szCs w:val="19"/>
              </w:rPr>
            </w:pPr>
          </w:p>
        </w:tc>
        <w:tc>
          <w:tcPr>
            <w:tcW w:w="0" w:type="auto"/>
          </w:tcPr>
          <w:p w14:paraId="1E3696D9" w14:textId="77777777" w:rsidR="007B5CF9" w:rsidRDefault="007B5CF9" w:rsidP="00FB0CF5">
            <w:pPr>
              <w:contextualSpacing/>
              <w:jc w:val="center"/>
              <w:rPr>
                <w:sz w:val="19"/>
                <w:szCs w:val="19"/>
              </w:rPr>
            </w:pPr>
          </w:p>
        </w:tc>
        <w:tc>
          <w:tcPr>
            <w:tcW w:w="0" w:type="auto"/>
          </w:tcPr>
          <w:p w14:paraId="2F45C2D2" w14:textId="77777777" w:rsidR="007B5CF9" w:rsidRDefault="007B5CF9" w:rsidP="00FB0CF5">
            <w:pPr>
              <w:contextualSpacing/>
              <w:jc w:val="center"/>
              <w:rPr>
                <w:sz w:val="19"/>
                <w:szCs w:val="19"/>
              </w:rPr>
            </w:pPr>
          </w:p>
        </w:tc>
      </w:tr>
      <w:tr w:rsidR="007B5CF9" w:rsidRPr="004509F2" w14:paraId="3F058D28" w14:textId="77777777" w:rsidTr="00FB0CF5">
        <w:trPr>
          <w:trHeight w:val="340"/>
          <w:jc w:val="center"/>
        </w:trPr>
        <w:tc>
          <w:tcPr>
            <w:tcW w:w="0" w:type="auto"/>
            <w:tcBorders>
              <w:bottom w:val="single" w:sz="4" w:space="0" w:color="auto"/>
            </w:tcBorders>
          </w:tcPr>
          <w:p w14:paraId="56DCD501" w14:textId="77777777" w:rsidR="007B5CF9" w:rsidRPr="004509F2" w:rsidRDefault="007B5CF9" w:rsidP="00FB0CF5">
            <w:pPr>
              <w:contextualSpacing/>
              <w:rPr>
                <w:sz w:val="19"/>
                <w:szCs w:val="19"/>
              </w:rPr>
            </w:pPr>
            <w:r>
              <w:rPr>
                <w:sz w:val="19"/>
                <w:szCs w:val="19"/>
              </w:rPr>
              <w:t>7</w:t>
            </w:r>
            <w:r w:rsidRPr="004509F2">
              <w:rPr>
                <w:sz w:val="19"/>
                <w:szCs w:val="19"/>
              </w:rPr>
              <w:t>–</w:t>
            </w:r>
            <w:r>
              <w:rPr>
                <w:sz w:val="19"/>
                <w:szCs w:val="19"/>
              </w:rPr>
              <w:t>8/5/20</w:t>
            </w:r>
          </w:p>
        </w:tc>
        <w:tc>
          <w:tcPr>
            <w:tcW w:w="0" w:type="auto"/>
            <w:tcBorders>
              <w:bottom w:val="single" w:sz="4" w:space="0" w:color="auto"/>
            </w:tcBorders>
          </w:tcPr>
          <w:p w14:paraId="70E46CE3" w14:textId="77777777" w:rsidR="007B5CF9" w:rsidRPr="004509F2" w:rsidRDefault="007B5CF9" w:rsidP="00FB0CF5">
            <w:pPr>
              <w:contextualSpacing/>
              <w:jc w:val="center"/>
              <w:rPr>
                <w:sz w:val="19"/>
                <w:szCs w:val="19"/>
              </w:rPr>
            </w:pPr>
            <w:r>
              <w:rPr>
                <w:sz w:val="19"/>
                <w:szCs w:val="19"/>
              </w:rPr>
              <w:t>4</w:t>
            </w:r>
          </w:p>
        </w:tc>
        <w:tc>
          <w:tcPr>
            <w:tcW w:w="0" w:type="auto"/>
            <w:tcBorders>
              <w:bottom w:val="single" w:sz="4" w:space="0" w:color="auto"/>
            </w:tcBorders>
          </w:tcPr>
          <w:p w14:paraId="06324564" w14:textId="77777777" w:rsidR="007B5CF9" w:rsidRDefault="007B5CF9" w:rsidP="00FB0CF5">
            <w:pPr>
              <w:contextualSpacing/>
              <w:jc w:val="center"/>
              <w:rPr>
                <w:sz w:val="19"/>
                <w:szCs w:val="19"/>
              </w:rPr>
            </w:pPr>
            <w:r>
              <w:rPr>
                <w:sz w:val="19"/>
                <w:szCs w:val="19"/>
              </w:rPr>
              <w:t>95–118</w:t>
            </w:r>
          </w:p>
        </w:tc>
        <w:tc>
          <w:tcPr>
            <w:tcW w:w="0" w:type="auto"/>
            <w:tcBorders>
              <w:bottom w:val="single" w:sz="4" w:space="0" w:color="auto"/>
            </w:tcBorders>
          </w:tcPr>
          <w:p w14:paraId="519CC9CB" w14:textId="77777777" w:rsidR="007B5CF9" w:rsidRDefault="007B5CF9" w:rsidP="00FB0CF5">
            <w:pPr>
              <w:contextualSpacing/>
              <w:jc w:val="center"/>
              <w:rPr>
                <w:sz w:val="19"/>
                <w:szCs w:val="19"/>
              </w:rPr>
            </w:pPr>
          </w:p>
        </w:tc>
        <w:tc>
          <w:tcPr>
            <w:tcW w:w="0" w:type="auto"/>
            <w:tcBorders>
              <w:bottom w:val="single" w:sz="4" w:space="0" w:color="auto"/>
            </w:tcBorders>
          </w:tcPr>
          <w:p w14:paraId="06F660FE" w14:textId="77777777" w:rsidR="007B5CF9" w:rsidRDefault="007B5CF9" w:rsidP="00FB0CF5">
            <w:pPr>
              <w:contextualSpacing/>
              <w:jc w:val="center"/>
              <w:rPr>
                <w:sz w:val="19"/>
                <w:szCs w:val="19"/>
              </w:rPr>
            </w:pPr>
            <w:r>
              <w:rPr>
                <w:sz w:val="19"/>
                <w:szCs w:val="19"/>
              </w:rPr>
              <w:t>13</w:t>
            </w:r>
          </w:p>
        </w:tc>
        <w:tc>
          <w:tcPr>
            <w:tcW w:w="0" w:type="auto"/>
            <w:tcBorders>
              <w:bottom w:val="single" w:sz="4" w:space="0" w:color="auto"/>
            </w:tcBorders>
          </w:tcPr>
          <w:p w14:paraId="34F3A77F" w14:textId="77777777" w:rsidR="007B5CF9" w:rsidRDefault="007B5CF9" w:rsidP="00FB0CF5">
            <w:pPr>
              <w:contextualSpacing/>
              <w:jc w:val="center"/>
              <w:rPr>
                <w:sz w:val="19"/>
                <w:szCs w:val="19"/>
              </w:rPr>
            </w:pPr>
            <w:r>
              <w:rPr>
                <w:sz w:val="19"/>
                <w:szCs w:val="19"/>
              </w:rPr>
              <w:t>76–123</w:t>
            </w:r>
          </w:p>
        </w:tc>
        <w:tc>
          <w:tcPr>
            <w:tcW w:w="0" w:type="auto"/>
            <w:tcBorders>
              <w:bottom w:val="single" w:sz="4" w:space="0" w:color="auto"/>
            </w:tcBorders>
          </w:tcPr>
          <w:p w14:paraId="026D87F6" w14:textId="77777777" w:rsidR="007B5CF9" w:rsidRDefault="007B5CF9" w:rsidP="00FB0CF5">
            <w:pPr>
              <w:contextualSpacing/>
              <w:jc w:val="center"/>
              <w:rPr>
                <w:sz w:val="19"/>
                <w:szCs w:val="19"/>
              </w:rPr>
            </w:pPr>
          </w:p>
        </w:tc>
      </w:tr>
    </w:tbl>
    <w:p w14:paraId="5305187D" w14:textId="7133800D" w:rsidR="007B56CE" w:rsidRPr="0099110D" w:rsidRDefault="007B56CE" w:rsidP="007B56CE">
      <w:pPr>
        <w:rPr>
          <w:sz w:val="16"/>
        </w:rPr>
      </w:pPr>
      <w:r>
        <w:rPr>
          <w:sz w:val="16"/>
        </w:rPr>
        <w:t xml:space="preserve">*Sample numbers for </w:t>
      </w:r>
      <w:r w:rsidR="005E4B28">
        <w:rPr>
          <w:sz w:val="16"/>
        </w:rPr>
        <w:t>otolith analyses</w:t>
      </w:r>
      <w:r>
        <w:rPr>
          <w:sz w:val="16"/>
        </w:rPr>
        <w:t xml:space="preserve"> are less than what is shown </w:t>
      </w:r>
      <w:r w:rsidRPr="00A34010">
        <w:rPr>
          <w:sz w:val="16"/>
          <w:szCs w:val="16"/>
        </w:rPr>
        <w:t xml:space="preserve">and are presented below in </w:t>
      </w:r>
      <w:r w:rsidR="00A34010" w:rsidRPr="00A34010">
        <w:rPr>
          <w:sz w:val="16"/>
          <w:szCs w:val="16"/>
        </w:rPr>
        <w:fldChar w:fldCharType="begin"/>
      </w:r>
      <w:r w:rsidR="00A34010" w:rsidRPr="00A34010">
        <w:rPr>
          <w:sz w:val="16"/>
          <w:szCs w:val="16"/>
        </w:rPr>
        <w:instrText xml:space="preserve"> REF _Ref57899348 \h </w:instrText>
      </w:r>
      <w:r w:rsidR="00A34010">
        <w:rPr>
          <w:sz w:val="16"/>
          <w:szCs w:val="16"/>
        </w:rPr>
        <w:instrText xml:space="preserve"> \* MERGEFORMAT </w:instrText>
      </w:r>
      <w:r w:rsidR="00A34010" w:rsidRPr="00A34010">
        <w:rPr>
          <w:sz w:val="16"/>
          <w:szCs w:val="16"/>
        </w:rPr>
      </w:r>
      <w:r w:rsidR="00A34010" w:rsidRPr="00A34010">
        <w:rPr>
          <w:sz w:val="16"/>
          <w:szCs w:val="16"/>
        </w:rPr>
        <w:fldChar w:fldCharType="separate"/>
      </w:r>
      <w:r w:rsidR="006045CA" w:rsidRPr="006045CA">
        <w:rPr>
          <w:sz w:val="16"/>
          <w:szCs w:val="16"/>
        </w:rPr>
        <w:t xml:space="preserve">Figure </w:t>
      </w:r>
      <w:r w:rsidR="006045CA" w:rsidRPr="006045CA">
        <w:rPr>
          <w:noProof/>
          <w:sz w:val="16"/>
          <w:szCs w:val="16"/>
        </w:rPr>
        <w:t>50</w:t>
      </w:r>
      <w:r w:rsidR="00A34010" w:rsidRPr="00A34010">
        <w:rPr>
          <w:sz w:val="16"/>
          <w:szCs w:val="16"/>
        </w:rPr>
        <w:fldChar w:fldCharType="end"/>
      </w:r>
      <w:r w:rsidRPr="00A34010">
        <w:rPr>
          <w:sz w:val="16"/>
          <w:szCs w:val="16"/>
        </w:rPr>
        <w:t xml:space="preserve">. </w:t>
      </w:r>
      <w:r w:rsidR="005E4B28">
        <w:rPr>
          <w:sz w:val="16"/>
          <w:szCs w:val="16"/>
        </w:rPr>
        <w:t xml:space="preserve">A total of </w:t>
      </w:r>
      <w:r w:rsidR="00E54624">
        <w:rPr>
          <w:sz w:val="16"/>
          <w:szCs w:val="16"/>
        </w:rPr>
        <w:t>48</w:t>
      </w:r>
      <w:r w:rsidRPr="00A34010">
        <w:rPr>
          <w:sz w:val="16"/>
          <w:szCs w:val="16"/>
        </w:rPr>
        <w:t xml:space="preserve"> individuals (not presented</w:t>
      </w:r>
      <w:r w:rsidR="005E4B28">
        <w:rPr>
          <w:sz w:val="16"/>
          <w:szCs w:val="16"/>
        </w:rPr>
        <w:t xml:space="preserve"> here</w:t>
      </w:r>
      <w:r w:rsidRPr="00A34010">
        <w:rPr>
          <w:sz w:val="16"/>
          <w:szCs w:val="16"/>
        </w:rPr>
        <w:t xml:space="preserve">) were also captured </w:t>
      </w:r>
      <w:r w:rsidR="005E4B28">
        <w:rPr>
          <w:sz w:val="16"/>
          <w:szCs w:val="16"/>
        </w:rPr>
        <w:t xml:space="preserve">collectively from </w:t>
      </w:r>
      <w:r w:rsidR="00DE7D67" w:rsidRPr="00A34010">
        <w:rPr>
          <w:sz w:val="16"/>
          <w:szCs w:val="16"/>
        </w:rPr>
        <w:t>below Lock 4 (</w:t>
      </w:r>
      <w:r w:rsidR="00DE7D67" w:rsidRPr="00A34010">
        <w:rPr>
          <w:i/>
          <w:iCs/>
          <w:sz w:val="16"/>
          <w:szCs w:val="16"/>
        </w:rPr>
        <w:t>n</w:t>
      </w:r>
      <w:r w:rsidR="00DE7D67" w:rsidRPr="00A34010">
        <w:rPr>
          <w:sz w:val="16"/>
          <w:szCs w:val="16"/>
        </w:rPr>
        <w:t xml:space="preserve"> = </w:t>
      </w:r>
      <w:r w:rsidR="0093282A" w:rsidRPr="00A34010">
        <w:rPr>
          <w:sz w:val="16"/>
          <w:szCs w:val="16"/>
        </w:rPr>
        <w:t>1</w:t>
      </w:r>
      <w:r w:rsidR="00DE7D67" w:rsidRPr="00A34010">
        <w:rPr>
          <w:sz w:val="16"/>
          <w:szCs w:val="16"/>
        </w:rPr>
        <w:t xml:space="preserve">) </w:t>
      </w:r>
      <w:r w:rsidR="0093282A" w:rsidRPr="00A34010">
        <w:rPr>
          <w:sz w:val="16"/>
          <w:szCs w:val="16"/>
        </w:rPr>
        <w:t xml:space="preserve">in </w:t>
      </w:r>
      <w:r w:rsidR="00DE7D67" w:rsidRPr="00A34010">
        <w:rPr>
          <w:sz w:val="16"/>
          <w:szCs w:val="16"/>
        </w:rPr>
        <w:t xml:space="preserve">December 2019, and </w:t>
      </w:r>
      <w:r w:rsidRPr="00A34010">
        <w:rPr>
          <w:sz w:val="16"/>
          <w:szCs w:val="16"/>
        </w:rPr>
        <w:t>below Locks 2 (</w:t>
      </w:r>
      <w:r w:rsidRPr="00A34010">
        <w:rPr>
          <w:i/>
          <w:sz w:val="16"/>
          <w:szCs w:val="16"/>
        </w:rPr>
        <w:t>n</w:t>
      </w:r>
      <w:r w:rsidRPr="00A34010">
        <w:rPr>
          <w:sz w:val="16"/>
          <w:szCs w:val="16"/>
        </w:rPr>
        <w:t xml:space="preserve"> = 6), 3 (</w:t>
      </w:r>
      <w:r w:rsidRPr="00A34010">
        <w:rPr>
          <w:i/>
          <w:sz w:val="16"/>
          <w:szCs w:val="16"/>
        </w:rPr>
        <w:t>n</w:t>
      </w:r>
      <w:r w:rsidRPr="00A34010">
        <w:rPr>
          <w:sz w:val="16"/>
          <w:szCs w:val="16"/>
        </w:rPr>
        <w:t xml:space="preserve"> = 40) and 5 (</w:t>
      </w:r>
      <w:r w:rsidRPr="00A34010">
        <w:rPr>
          <w:i/>
          <w:sz w:val="16"/>
          <w:szCs w:val="16"/>
        </w:rPr>
        <w:t>n</w:t>
      </w:r>
      <w:r w:rsidRPr="00A34010">
        <w:rPr>
          <w:sz w:val="16"/>
          <w:szCs w:val="16"/>
        </w:rPr>
        <w:t xml:space="preserve"> = 1)</w:t>
      </w:r>
      <w:r w:rsidR="00DE7D67" w:rsidRPr="00A34010">
        <w:rPr>
          <w:sz w:val="16"/>
          <w:szCs w:val="16"/>
        </w:rPr>
        <w:t xml:space="preserve"> from March–May 2020</w:t>
      </w:r>
      <w:r w:rsidRPr="00A34010">
        <w:rPr>
          <w:sz w:val="16"/>
          <w:szCs w:val="16"/>
        </w:rPr>
        <w:t>.</w:t>
      </w:r>
    </w:p>
    <w:p w14:paraId="058965E8" w14:textId="00617F51" w:rsidR="007B56CE" w:rsidRDefault="007B56CE" w:rsidP="00FB0CF5">
      <w:pPr>
        <w:pStyle w:val="Heading4"/>
      </w:pPr>
      <w:r>
        <w:t xml:space="preserve">Length and </w:t>
      </w:r>
      <w:r w:rsidR="00065519">
        <w:t>hatch</w:t>
      </w:r>
      <w:r>
        <w:t xml:space="preserve"> dates</w:t>
      </w:r>
    </w:p>
    <w:p w14:paraId="03171761" w14:textId="68DFE708" w:rsidR="007B56CE" w:rsidRDefault="00096208" w:rsidP="007B56CE">
      <w:r>
        <w:t>Murray cod larvae and</w:t>
      </w:r>
      <w:r w:rsidR="0007255A">
        <w:t xml:space="preserve"> age</w:t>
      </w:r>
      <w:r>
        <w:t xml:space="preserve"> 0+ juveniles sampled from the LMR ranged in TL</w:t>
      </w:r>
      <w:r w:rsidRPr="000266E0">
        <w:t xml:space="preserve"> from 10–124</w:t>
      </w:r>
      <w:r>
        <w:t> </w:t>
      </w:r>
      <w:r w:rsidRPr="000266E0">
        <w:t>mm</w:t>
      </w:r>
      <w:r>
        <w:t xml:space="preserve">. From November 2019 to May 2020, length frequency distributions indicated progression in length between sampling events </w:t>
      </w:r>
      <w:r w:rsidR="007B56CE">
        <w:t>(</w:t>
      </w:r>
      <w:r w:rsidR="00A34010">
        <w:fldChar w:fldCharType="begin"/>
      </w:r>
      <w:r w:rsidR="00A34010">
        <w:instrText xml:space="preserve"> REF _Ref57899369 \h </w:instrText>
      </w:r>
      <w:r w:rsidR="00A34010">
        <w:fldChar w:fldCharType="separate"/>
      </w:r>
      <w:r w:rsidR="006045CA">
        <w:t xml:space="preserve">Figure </w:t>
      </w:r>
      <w:r w:rsidR="006045CA">
        <w:rPr>
          <w:noProof/>
        </w:rPr>
        <w:t>49</w:t>
      </w:r>
      <w:r w:rsidR="00A34010">
        <w:fldChar w:fldCharType="end"/>
      </w:r>
      <w:r w:rsidR="007B56CE">
        <w:t xml:space="preserve">). </w:t>
      </w:r>
      <w:r>
        <w:t xml:space="preserve">Estimated ages during </w:t>
      </w:r>
      <w:r w:rsidR="007B5CF9">
        <w:t>November</w:t>
      </w:r>
      <w:r>
        <w:t xml:space="preserve">, </w:t>
      </w:r>
      <w:r w:rsidR="007B5CF9">
        <w:t>January</w:t>
      </w:r>
      <w:r>
        <w:t xml:space="preserve">, </w:t>
      </w:r>
      <w:r w:rsidR="007B5CF9">
        <w:t>February</w:t>
      </w:r>
      <w:r>
        <w:t xml:space="preserve"> and </w:t>
      </w:r>
      <w:r w:rsidR="00C368A4">
        <w:t>April</w:t>
      </w:r>
      <w:r>
        <w:t xml:space="preserve"> </w:t>
      </w:r>
      <w:r w:rsidRPr="00AA6841">
        <w:t xml:space="preserve">ranged from 10–14, 57–86, 79–127 </w:t>
      </w:r>
      <w:r>
        <w:t xml:space="preserve">and </w:t>
      </w:r>
      <w:r w:rsidRPr="00AA6841">
        <w:t>136–152 days</w:t>
      </w:r>
      <w:r>
        <w:t xml:space="preserve">, respectively </w:t>
      </w:r>
      <w:r w:rsidR="007B56CE">
        <w:t>(</w:t>
      </w:r>
      <w:r w:rsidR="00862675">
        <w:fldChar w:fldCharType="begin"/>
      </w:r>
      <w:r w:rsidR="00862675">
        <w:instrText xml:space="preserve"> REF _Ref57899686 \h </w:instrText>
      </w:r>
      <w:r w:rsidR="00862675">
        <w:fldChar w:fldCharType="separate"/>
      </w:r>
      <w:r w:rsidR="006045CA">
        <w:t xml:space="preserve">Table </w:t>
      </w:r>
      <w:r w:rsidR="006045CA">
        <w:rPr>
          <w:noProof/>
        </w:rPr>
        <w:t>21</w:t>
      </w:r>
      <w:r w:rsidR="00862675">
        <w:fldChar w:fldCharType="end"/>
      </w:r>
      <w:proofErr w:type="gramStart"/>
      <w:r w:rsidR="007B56CE">
        <w:t>), and</w:t>
      </w:r>
      <w:proofErr w:type="gramEnd"/>
      <w:r w:rsidR="007B56CE">
        <w:t xml:space="preserve"> corresponded to </w:t>
      </w:r>
      <w:r w:rsidR="00065519">
        <w:t>hatch</w:t>
      </w:r>
      <w:r w:rsidR="007B56CE">
        <w:t xml:space="preserve"> </w:t>
      </w:r>
      <w:r w:rsidR="007B56CE" w:rsidRPr="00BD3973">
        <w:t>dates from 13 October to 9 December</w:t>
      </w:r>
      <w:r w:rsidR="007B56CE">
        <w:t xml:space="preserve"> 2019. </w:t>
      </w:r>
      <w:r w:rsidR="00E10624">
        <w:t>Assuming an incubation period of 7</w:t>
      </w:r>
      <w:r w:rsidR="0091362A">
        <w:t xml:space="preserve"> </w:t>
      </w:r>
      <w:r w:rsidR="00E10624">
        <w:t>d</w:t>
      </w:r>
      <w:r w:rsidR="0091362A">
        <w:t>ays</w:t>
      </w:r>
      <w:r w:rsidR="00FB7555">
        <w:t xml:space="preserve"> (Ingram </w:t>
      </w:r>
      <w:r w:rsidR="00FB7555" w:rsidRPr="00BE1769">
        <w:rPr>
          <w:i/>
          <w:iCs/>
        </w:rPr>
        <w:t>et al.</w:t>
      </w:r>
      <w:r w:rsidR="00FB7555">
        <w:t xml:space="preserve"> 2012)</w:t>
      </w:r>
      <w:r w:rsidR="00E10624">
        <w:t>, p</w:t>
      </w:r>
      <w:r w:rsidR="007B56CE">
        <w:t>eak spawning</w:t>
      </w:r>
      <w:r w:rsidR="00C163C9">
        <w:t xml:space="preserve"> is estimated to have</w:t>
      </w:r>
      <w:r w:rsidR="007B56CE">
        <w:t xml:space="preserve"> </w:t>
      </w:r>
      <w:r w:rsidR="007B56CE" w:rsidRPr="00E10624">
        <w:t xml:space="preserve">occurred from </w:t>
      </w:r>
      <w:r w:rsidR="00E10624">
        <w:t>17</w:t>
      </w:r>
      <w:r w:rsidR="007B56CE" w:rsidRPr="00E10624">
        <w:t xml:space="preserve"> October to </w:t>
      </w:r>
      <w:r w:rsidR="00E10624">
        <w:t>11</w:t>
      </w:r>
      <w:r w:rsidR="00160146" w:rsidRPr="00E10624">
        <w:t xml:space="preserve"> </w:t>
      </w:r>
      <w:r w:rsidR="007B56CE" w:rsidRPr="00E10624">
        <w:t>November 2019</w:t>
      </w:r>
      <w:r w:rsidR="00160146" w:rsidRPr="00E10624">
        <w:t>, with</w:t>
      </w:r>
      <w:r w:rsidR="00160146" w:rsidRPr="00C90A96">
        <w:t xml:space="preserve"> </w:t>
      </w:r>
      <w:r w:rsidR="007E408D">
        <w:t>spawn</w:t>
      </w:r>
      <w:r w:rsidR="00160146" w:rsidRPr="00C90A96">
        <w:t xml:space="preserve"> date frequency distributions influenced by the timing of larval sampling (5–7 and 13 November 2019</w:t>
      </w:r>
      <w:r w:rsidR="008C1399" w:rsidRPr="00C90A96">
        <w:t xml:space="preserve">, </w:t>
      </w:r>
      <w:r w:rsidR="00A34010">
        <w:fldChar w:fldCharType="begin"/>
      </w:r>
      <w:r w:rsidR="00A34010">
        <w:instrText xml:space="preserve"> REF _Ref57899348 \h </w:instrText>
      </w:r>
      <w:r w:rsidR="00A34010">
        <w:fldChar w:fldCharType="separate"/>
      </w:r>
      <w:r w:rsidR="006045CA">
        <w:t xml:space="preserve">Figure </w:t>
      </w:r>
      <w:r w:rsidR="006045CA">
        <w:rPr>
          <w:noProof/>
        </w:rPr>
        <w:t>50</w:t>
      </w:r>
      <w:r w:rsidR="00A34010">
        <w:fldChar w:fldCharType="end"/>
      </w:r>
      <w:r w:rsidR="008C1399" w:rsidRPr="00C90A96">
        <w:t>a</w:t>
      </w:r>
      <w:r w:rsidR="00160146" w:rsidRPr="00C90A96">
        <w:t>)</w:t>
      </w:r>
      <w:r w:rsidR="007B56CE" w:rsidRPr="00C90A96">
        <w:t>.</w:t>
      </w:r>
    </w:p>
    <w:p w14:paraId="27E88A27" w14:textId="5658EACF" w:rsidR="007B56CE" w:rsidRDefault="00EE526C" w:rsidP="007B56CE">
      <w:pPr>
        <w:jc w:val="center"/>
      </w:pPr>
      <w:r w:rsidRPr="00EE526C">
        <w:rPr>
          <w:noProof/>
        </w:rPr>
        <w:drawing>
          <wp:inline distT="0" distB="0" distL="0" distR="0" wp14:anchorId="53D84AE5" wp14:editId="2C34E84F">
            <wp:extent cx="4467225" cy="8107645"/>
            <wp:effectExtent l="0" t="0" r="0"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0" cstate="email">
                      <a:extLst>
                        <a:ext uri="{28A0092B-C50C-407E-A947-70E740481C1C}">
                          <a14:useLocalDpi xmlns:a14="http://schemas.microsoft.com/office/drawing/2010/main"/>
                        </a:ext>
                      </a:extLst>
                    </a:blip>
                    <a:srcRect t="1505" r="8768"/>
                    <a:stretch/>
                  </pic:blipFill>
                  <pic:spPr bwMode="auto">
                    <a:xfrm>
                      <a:off x="0" y="0"/>
                      <a:ext cx="4471927" cy="8116179"/>
                    </a:xfrm>
                    <a:prstGeom prst="rect">
                      <a:avLst/>
                    </a:prstGeom>
                    <a:noFill/>
                    <a:ln>
                      <a:noFill/>
                    </a:ln>
                    <a:extLst>
                      <a:ext uri="{53640926-AAD7-44D8-BBD7-CCE9431645EC}">
                        <a14:shadowObscured xmlns:a14="http://schemas.microsoft.com/office/drawing/2010/main"/>
                      </a:ext>
                    </a:extLst>
                  </pic:spPr>
                </pic:pic>
              </a:graphicData>
            </a:graphic>
          </wp:inline>
        </w:drawing>
      </w:r>
    </w:p>
    <w:p w14:paraId="1F08D091" w14:textId="0B0E9CD3" w:rsidR="007B56CE" w:rsidRPr="006E29B5" w:rsidRDefault="00A34010" w:rsidP="00F8184E">
      <w:pPr>
        <w:pStyle w:val="Captions"/>
      </w:pPr>
      <w:bookmarkStart w:id="280" w:name="_Ref57899369"/>
      <w:bookmarkStart w:id="281" w:name="_Toc69387713"/>
      <w:r>
        <w:t xml:space="preserve">Figure </w:t>
      </w:r>
      <w:r>
        <w:fldChar w:fldCharType="begin"/>
      </w:r>
      <w:r>
        <w:instrText xml:space="preserve"> SEQ Figure \* ARABIC </w:instrText>
      </w:r>
      <w:r>
        <w:fldChar w:fldCharType="separate"/>
      </w:r>
      <w:r w:rsidR="00940312">
        <w:rPr>
          <w:noProof/>
        </w:rPr>
        <w:t>49</w:t>
      </w:r>
      <w:r>
        <w:fldChar w:fldCharType="end"/>
      </w:r>
      <w:bookmarkEnd w:id="280"/>
      <w:r w:rsidR="007B56CE" w:rsidRPr="006E29B5">
        <w:t>.</w:t>
      </w:r>
      <w:r w:rsidR="007B56CE">
        <w:t xml:space="preserve"> Length frequency distributions of larval/juvenile Murray cod</w:t>
      </w:r>
      <w:r w:rsidR="005737CC">
        <w:t xml:space="preserve"> collected</w:t>
      </w:r>
      <w:r w:rsidR="007B56CE">
        <w:t xml:space="preserve"> in the </w:t>
      </w:r>
      <w:r w:rsidR="008C22A9" w:rsidRPr="00607412">
        <w:t>L</w:t>
      </w:r>
      <w:r w:rsidR="008C22A9">
        <w:t xml:space="preserve">ower </w:t>
      </w:r>
      <w:r w:rsidR="008C22A9" w:rsidRPr="00607412">
        <w:t>M</w:t>
      </w:r>
      <w:r w:rsidR="008C22A9">
        <w:t xml:space="preserve">urray </w:t>
      </w:r>
      <w:r w:rsidR="008C22A9" w:rsidRPr="00607412">
        <w:t>R</w:t>
      </w:r>
      <w:r w:rsidR="008C22A9">
        <w:t>iver</w:t>
      </w:r>
      <w:r w:rsidR="007B56CE">
        <w:t xml:space="preserve"> </w:t>
      </w:r>
      <w:r w:rsidR="005737CC">
        <w:t xml:space="preserve">(all sites pooled) </w:t>
      </w:r>
      <w:r w:rsidR="007B56CE">
        <w:t xml:space="preserve">during </w:t>
      </w:r>
      <w:r w:rsidR="005737CC">
        <w:t xml:space="preserve">the five sampling trips in </w:t>
      </w:r>
      <w:r w:rsidR="007B56CE">
        <w:t>2019-20.</w:t>
      </w:r>
      <w:bookmarkEnd w:id="281"/>
    </w:p>
    <w:p w14:paraId="3035FF5A" w14:textId="540D07D8" w:rsidR="007B56CE" w:rsidRDefault="00577F46" w:rsidP="007B56CE">
      <w:pPr>
        <w:jc w:val="center"/>
      </w:pPr>
      <w:r w:rsidRPr="00577F46">
        <w:t xml:space="preserve"> </w:t>
      </w:r>
      <w:r w:rsidR="007D6609" w:rsidRPr="007D6609">
        <w:rPr>
          <w:noProof/>
        </w:rPr>
        <w:drawing>
          <wp:inline distT="0" distB="0" distL="0" distR="0" wp14:anchorId="526F4281" wp14:editId="5BD7D1D4">
            <wp:extent cx="4963886" cy="5461778"/>
            <wp:effectExtent l="0" t="0" r="8255"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1" cstate="email">
                      <a:extLst>
                        <a:ext uri="{28A0092B-C50C-407E-A947-70E740481C1C}">
                          <a14:useLocalDpi xmlns:a14="http://schemas.microsoft.com/office/drawing/2010/main"/>
                        </a:ext>
                      </a:extLst>
                    </a:blip>
                    <a:srcRect t="2829" r="3100"/>
                    <a:stretch/>
                  </pic:blipFill>
                  <pic:spPr bwMode="auto">
                    <a:xfrm>
                      <a:off x="0" y="0"/>
                      <a:ext cx="4984703" cy="5484683"/>
                    </a:xfrm>
                    <a:prstGeom prst="rect">
                      <a:avLst/>
                    </a:prstGeom>
                    <a:noFill/>
                    <a:ln>
                      <a:noFill/>
                    </a:ln>
                    <a:extLst>
                      <a:ext uri="{53640926-AAD7-44D8-BBD7-CCE9431645EC}">
                        <a14:shadowObscured xmlns:a14="http://schemas.microsoft.com/office/drawing/2010/main"/>
                      </a:ext>
                    </a:extLst>
                  </pic:spPr>
                </pic:pic>
              </a:graphicData>
            </a:graphic>
          </wp:inline>
        </w:drawing>
      </w:r>
    </w:p>
    <w:p w14:paraId="2291EDC6" w14:textId="7D3B4E57" w:rsidR="007B56CE" w:rsidRPr="006E29B5" w:rsidRDefault="00A34010" w:rsidP="00F8184E">
      <w:pPr>
        <w:pStyle w:val="Captions"/>
      </w:pPr>
      <w:bookmarkStart w:id="282" w:name="_Ref57899348"/>
      <w:bookmarkStart w:id="283" w:name="_Toc69387714"/>
      <w:r>
        <w:t xml:space="preserve">Figure </w:t>
      </w:r>
      <w:r>
        <w:fldChar w:fldCharType="begin"/>
      </w:r>
      <w:r>
        <w:instrText xml:space="preserve"> SEQ Figure \* ARABIC </w:instrText>
      </w:r>
      <w:r>
        <w:fldChar w:fldCharType="separate"/>
      </w:r>
      <w:r w:rsidR="00940312">
        <w:rPr>
          <w:noProof/>
        </w:rPr>
        <w:t>50</w:t>
      </w:r>
      <w:r>
        <w:fldChar w:fldCharType="end"/>
      </w:r>
      <w:bookmarkEnd w:id="282"/>
      <w:r w:rsidR="007B56CE" w:rsidRPr="006E29B5">
        <w:t xml:space="preserve">. </w:t>
      </w:r>
      <w:r w:rsidR="00B62390">
        <w:t>Estimated spawn</w:t>
      </w:r>
      <w:r w:rsidR="007B56CE" w:rsidRPr="00FB7555">
        <w:t xml:space="preserve"> date frequency distributions of </w:t>
      </w:r>
      <w:r w:rsidR="00855503" w:rsidRPr="00FB7555">
        <w:t xml:space="preserve">(a) </w:t>
      </w:r>
      <w:r w:rsidR="007B56CE" w:rsidRPr="00FB7555">
        <w:t>larval</w:t>
      </w:r>
      <w:r w:rsidR="00855503" w:rsidRPr="00FB7555">
        <w:t xml:space="preserve"> Murray cod captured in November 2019 and (b) </w:t>
      </w:r>
      <w:r w:rsidR="007B56CE" w:rsidRPr="00FB7555">
        <w:t xml:space="preserve">juvenile Murray cod </w:t>
      </w:r>
      <w:r w:rsidR="00855503" w:rsidRPr="00FB7555">
        <w:t xml:space="preserve">captured from January to April 2020, </w:t>
      </w:r>
      <w:r w:rsidR="007B56CE" w:rsidRPr="00FB7555">
        <w:t xml:space="preserve">in the </w:t>
      </w:r>
      <w:r w:rsidR="008C22A9" w:rsidRPr="00607412">
        <w:t>L</w:t>
      </w:r>
      <w:r w:rsidR="008C22A9">
        <w:t xml:space="preserve">ower </w:t>
      </w:r>
      <w:r w:rsidR="008C22A9" w:rsidRPr="00607412">
        <w:t>M</w:t>
      </w:r>
      <w:r w:rsidR="008C22A9">
        <w:t xml:space="preserve">urray </w:t>
      </w:r>
      <w:r w:rsidR="008C22A9" w:rsidRPr="00607412">
        <w:t>R</w:t>
      </w:r>
      <w:r w:rsidR="008C22A9">
        <w:t>iver (LMR)</w:t>
      </w:r>
      <w:r w:rsidR="007B56CE" w:rsidRPr="00FB7555">
        <w:t>.</w:t>
      </w:r>
      <w:r w:rsidR="005737CC" w:rsidRPr="00FB7555">
        <w:t xml:space="preserve"> *</w:t>
      </w:r>
      <w:r w:rsidR="007E408D">
        <w:t xml:space="preserve">late November/early </w:t>
      </w:r>
      <w:r w:rsidR="005737CC" w:rsidRPr="00FB7555">
        <w:t xml:space="preserve">December </w:t>
      </w:r>
      <w:r w:rsidR="00B62390">
        <w:t>spawn</w:t>
      </w:r>
      <w:r w:rsidR="005737CC" w:rsidRPr="00FB7555">
        <w:t xml:space="preserve"> dates correspond with </w:t>
      </w:r>
      <w:r w:rsidR="007E408D">
        <w:t>spawn</w:t>
      </w:r>
      <w:r w:rsidR="005737CC" w:rsidRPr="00FB7555">
        <w:t xml:space="preserve"> dates of known stocked fish in the LMR from February 2020.</w:t>
      </w:r>
      <w:bookmarkEnd w:id="283"/>
    </w:p>
    <w:p w14:paraId="78B3AD9A" w14:textId="77777777" w:rsidR="007B56CE" w:rsidRDefault="007B56CE" w:rsidP="00FB0CF5">
      <w:pPr>
        <w:pStyle w:val="Heading4"/>
      </w:pPr>
      <w:r>
        <w:t>Morphometrics and seasonal growth</w:t>
      </w:r>
    </w:p>
    <w:p w14:paraId="2017F372" w14:textId="5184F52B" w:rsidR="007B56CE" w:rsidRPr="001C26B4" w:rsidRDefault="00040DA3" w:rsidP="007B56CE">
      <w:r>
        <w:t>Using the model selection procedure, a cubic polynomial of TL was applied to model length–weight relationships for larval/</w:t>
      </w:r>
      <w:r w:rsidR="0007255A">
        <w:t>juvenile</w:t>
      </w:r>
      <w:r>
        <w:t xml:space="preserve"> (&lt;160 mm) Murray cod for all years (baseline data, 2004–2020), and for 2019</w:t>
      </w:r>
      <w:r w:rsidRPr="007E408D">
        <w:t xml:space="preserve">-20 </w:t>
      </w:r>
      <w:r w:rsidR="007B56CE" w:rsidRPr="007E408D">
        <w:t>(</w:t>
      </w:r>
      <w:r w:rsidR="00A34010" w:rsidRPr="007E408D">
        <w:fldChar w:fldCharType="begin"/>
      </w:r>
      <w:r w:rsidR="00A34010" w:rsidRPr="007E408D">
        <w:instrText xml:space="preserve"> REF _Ref57899397 \h </w:instrText>
      </w:r>
      <w:r w:rsidR="007E408D">
        <w:instrText xml:space="preserve"> \* MERGEFORMAT </w:instrText>
      </w:r>
      <w:r w:rsidR="00A34010" w:rsidRPr="007E408D">
        <w:fldChar w:fldCharType="separate"/>
      </w:r>
      <w:r w:rsidR="006045CA" w:rsidRPr="008046A9">
        <w:t xml:space="preserve">Figure </w:t>
      </w:r>
      <w:r w:rsidR="006045CA">
        <w:rPr>
          <w:noProof/>
        </w:rPr>
        <w:t>51</w:t>
      </w:r>
      <w:r w:rsidR="00A34010" w:rsidRPr="007E408D">
        <w:fldChar w:fldCharType="end"/>
      </w:r>
      <w:r w:rsidR="007B56CE" w:rsidRPr="007E408D">
        <w:t xml:space="preserve">). </w:t>
      </w:r>
      <w:r w:rsidR="004A1334" w:rsidRPr="007E408D">
        <w:t>Comparison</w:t>
      </w:r>
      <w:r w:rsidR="004A1334">
        <w:t xml:space="preserve"> of the 2019-20 length–weight </w:t>
      </w:r>
      <w:r w:rsidR="0002424D">
        <w:t xml:space="preserve">relationship </w:t>
      </w:r>
      <w:r w:rsidR="004A1334">
        <w:t xml:space="preserve">to the </w:t>
      </w:r>
      <w:r>
        <w:t xml:space="preserve">baseline curve </w:t>
      </w:r>
      <w:r w:rsidR="004A1334">
        <w:t xml:space="preserve">indicates that the condition of Murray cod during 2019-20 </w:t>
      </w:r>
      <w:r w:rsidR="002260FF">
        <w:t>was</w:t>
      </w:r>
      <w:r w:rsidR="004A1334">
        <w:t xml:space="preserve"> </w:t>
      </w:r>
      <w:proofErr w:type="gramStart"/>
      <w:r w:rsidR="002260FF">
        <w:t>similar to</w:t>
      </w:r>
      <w:proofErr w:type="gramEnd"/>
      <w:r w:rsidR="002260FF">
        <w:t xml:space="preserve"> or slightly below the</w:t>
      </w:r>
      <w:r w:rsidR="004A1334">
        <w:t xml:space="preserve"> </w:t>
      </w:r>
      <w:r w:rsidR="002260FF">
        <w:t>‘</w:t>
      </w:r>
      <w:r w:rsidR="004A1334">
        <w:t>average</w:t>
      </w:r>
      <w:r w:rsidR="002260FF">
        <w:t>’</w:t>
      </w:r>
      <w:r w:rsidR="004A1334">
        <w:t xml:space="preserve"> condition. To further investigate this, d</w:t>
      </w:r>
      <w:r w:rsidR="007B56CE">
        <w:t xml:space="preserve">ifferences in </w:t>
      </w:r>
      <w:r w:rsidR="002E3CE2">
        <w:t xml:space="preserve">the relative condition index </w:t>
      </w:r>
      <w:r w:rsidR="002E3CE2" w:rsidRPr="006A3878">
        <w:t>(</w:t>
      </w:r>
      <w:proofErr w:type="spellStart"/>
      <w:r w:rsidR="002E3CE2" w:rsidRPr="006A3878">
        <w:t>K</w:t>
      </w:r>
      <w:r w:rsidR="002E3CE2" w:rsidRPr="006A3878">
        <w:rPr>
          <w:i/>
        </w:rPr>
        <w:t>rel</w:t>
      </w:r>
      <w:proofErr w:type="spellEnd"/>
      <w:r w:rsidR="002E3CE2" w:rsidRPr="006A3878">
        <w:t xml:space="preserve">) </w:t>
      </w:r>
      <w:r w:rsidR="00096208">
        <w:t xml:space="preserve">of YOY </w:t>
      </w:r>
      <w:r w:rsidR="0007255A">
        <w:t xml:space="preserve">(sampled autumn/winter) </w:t>
      </w:r>
      <w:r w:rsidR="00096208">
        <w:t xml:space="preserve">Murray </w:t>
      </w:r>
      <w:r w:rsidR="007B56CE">
        <w:t xml:space="preserve">cod </w:t>
      </w:r>
      <w:r w:rsidR="002E3CE2">
        <w:t>among</w:t>
      </w:r>
      <w:r w:rsidR="007B56CE" w:rsidRPr="006A3878">
        <w:t xml:space="preserve"> weir pools and </w:t>
      </w:r>
      <w:r w:rsidR="004557B3">
        <w:t xml:space="preserve">sampling </w:t>
      </w:r>
      <w:r w:rsidR="007B56CE" w:rsidRPr="006A3878">
        <w:t>years (2015 to 2020) (</w:t>
      </w:r>
      <w:r w:rsidR="00A34010">
        <w:fldChar w:fldCharType="begin"/>
      </w:r>
      <w:r w:rsidR="00A34010">
        <w:instrText xml:space="preserve"> REF _Ref57899409 \h </w:instrText>
      </w:r>
      <w:r w:rsidR="00A34010">
        <w:fldChar w:fldCharType="separate"/>
      </w:r>
      <w:r w:rsidR="006045CA">
        <w:t xml:space="preserve">Figure </w:t>
      </w:r>
      <w:r w:rsidR="006045CA">
        <w:rPr>
          <w:noProof/>
        </w:rPr>
        <w:t>52</w:t>
      </w:r>
      <w:r w:rsidR="00A34010">
        <w:fldChar w:fldCharType="end"/>
      </w:r>
      <w:r w:rsidR="007B56CE" w:rsidRPr="006A3878">
        <w:t xml:space="preserve">) </w:t>
      </w:r>
      <w:r w:rsidR="002E3CE2">
        <w:t xml:space="preserve">were assessed </w:t>
      </w:r>
      <w:r w:rsidR="007B56CE" w:rsidRPr="006A3878">
        <w:t>using PERMANOVA</w:t>
      </w:r>
      <w:r w:rsidR="007B56CE" w:rsidRPr="00F5063D">
        <w:t xml:space="preserve">. </w:t>
      </w:r>
      <w:r w:rsidR="00400C2E" w:rsidRPr="00F5063D">
        <w:t>There was a</w:t>
      </w:r>
      <w:r w:rsidR="007B56CE" w:rsidRPr="00F5063D">
        <w:t xml:space="preserve"> significant </w:t>
      </w:r>
      <w:r w:rsidR="00400C2E" w:rsidRPr="00F5063D">
        <w:t>effect</w:t>
      </w:r>
      <w:r w:rsidR="007B56CE" w:rsidRPr="00F5063D">
        <w:t xml:space="preserve"> </w:t>
      </w:r>
      <w:r w:rsidR="00400C2E" w:rsidRPr="00F5063D">
        <w:t>of</w:t>
      </w:r>
      <w:r w:rsidR="007B56CE" w:rsidRPr="00F5063D">
        <w:t xml:space="preserve"> sampling year</w:t>
      </w:r>
      <w:r w:rsidR="00400C2E" w:rsidRPr="00F5063D">
        <w:t xml:space="preserve"> on </w:t>
      </w:r>
      <w:proofErr w:type="spellStart"/>
      <w:r w:rsidR="00400C2E" w:rsidRPr="00F5063D">
        <w:t>K</w:t>
      </w:r>
      <w:r w:rsidR="00400C2E" w:rsidRPr="00F5063D">
        <w:rPr>
          <w:i/>
          <w:iCs/>
        </w:rPr>
        <w:t>rel</w:t>
      </w:r>
      <w:proofErr w:type="spellEnd"/>
      <w:r w:rsidR="00400C2E" w:rsidRPr="00F5063D">
        <w:rPr>
          <w:i/>
          <w:iCs/>
        </w:rPr>
        <w:t xml:space="preserve"> </w:t>
      </w:r>
      <w:r w:rsidR="00400C2E" w:rsidRPr="00F5063D">
        <w:rPr>
          <w:noProof/>
          <w:lang w:eastAsia="en-AU"/>
        </w:rPr>
        <w:t xml:space="preserve">(PERMANOVA, </w:t>
      </w:r>
      <w:r w:rsidR="00400C2E" w:rsidRPr="00F5063D">
        <w:rPr>
          <w:i/>
          <w:noProof/>
          <w:lang w:eastAsia="en-AU"/>
        </w:rPr>
        <w:t>Pseudo-F</w:t>
      </w:r>
      <w:r w:rsidR="001D49BD" w:rsidRPr="00F5063D">
        <w:rPr>
          <w:i/>
          <w:noProof/>
          <w:vertAlign w:val="subscript"/>
          <w:lang w:eastAsia="en-AU"/>
        </w:rPr>
        <w:t>5</w:t>
      </w:r>
      <w:r w:rsidR="00400C2E" w:rsidRPr="00F5063D">
        <w:rPr>
          <w:i/>
          <w:noProof/>
          <w:vertAlign w:val="subscript"/>
          <w:lang w:eastAsia="en-AU"/>
        </w:rPr>
        <w:t>,</w:t>
      </w:r>
      <w:r w:rsidR="001D49BD" w:rsidRPr="00F5063D">
        <w:rPr>
          <w:i/>
          <w:noProof/>
          <w:vertAlign w:val="subscript"/>
          <w:lang w:eastAsia="en-AU"/>
        </w:rPr>
        <w:t>96</w:t>
      </w:r>
      <w:r w:rsidR="00400C2E" w:rsidRPr="00F5063D">
        <w:rPr>
          <w:i/>
          <w:noProof/>
          <w:lang w:eastAsia="en-AU"/>
        </w:rPr>
        <w:t xml:space="preserve"> </w:t>
      </w:r>
      <w:r w:rsidR="00400C2E" w:rsidRPr="00F5063D">
        <w:rPr>
          <w:noProof/>
          <w:lang w:eastAsia="en-AU"/>
        </w:rPr>
        <w:t xml:space="preserve">= </w:t>
      </w:r>
      <w:r w:rsidR="001D49BD" w:rsidRPr="00F5063D">
        <w:rPr>
          <w:noProof/>
          <w:lang w:eastAsia="en-AU"/>
        </w:rPr>
        <w:t>2.</w:t>
      </w:r>
      <w:r w:rsidR="00F5063D" w:rsidRPr="00F5063D">
        <w:rPr>
          <w:noProof/>
          <w:lang w:eastAsia="en-AU"/>
        </w:rPr>
        <w:t>283</w:t>
      </w:r>
      <w:r w:rsidR="00400C2E" w:rsidRPr="00F5063D">
        <w:rPr>
          <w:noProof/>
          <w:lang w:eastAsia="en-AU"/>
        </w:rPr>
        <w:t xml:space="preserve">, </w:t>
      </w:r>
      <w:r w:rsidR="00400C2E" w:rsidRPr="00F5063D">
        <w:rPr>
          <w:i/>
          <w:noProof/>
          <w:lang w:eastAsia="en-AU"/>
        </w:rPr>
        <w:t>p</w:t>
      </w:r>
      <w:r w:rsidR="00400C2E" w:rsidRPr="00F5063D">
        <w:rPr>
          <w:noProof/>
          <w:lang w:eastAsia="en-AU"/>
        </w:rPr>
        <w:t xml:space="preserve"> = </w:t>
      </w:r>
      <w:r w:rsidR="001D49BD" w:rsidRPr="00F5063D">
        <w:rPr>
          <w:noProof/>
          <w:lang w:eastAsia="en-AU"/>
        </w:rPr>
        <w:t>0.0</w:t>
      </w:r>
      <w:r w:rsidR="00F5063D" w:rsidRPr="00F5063D">
        <w:rPr>
          <w:noProof/>
          <w:lang w:eastAsia="en-AU"/>
        </w:rPr>
        <w:t>47</w:t>
      </w:r>
      <w:r w:rsidR="00400C2E" w:rsidRPr="00F5063D">
        <w:rPr>
          <w:noProof/>
          <w:lang w:eastAsia="en-AU"/>
        </w:rPr>
        <w:t>)</w:t>
      </w:r>
      <w:r w:rsidR="00400C2E" w:rsidRPr="00F5063D">
        <w:t>, but not of weir pools</w:t>
      </w:r>
      <w:r w:rsidR="001D49BD" w:rsidRPr="00F5063D">
        <w:t xml:space="preserve"> (</w:t>
      </w:r>
      <w:r w:rsidR="001D49BD" w:rsidRPr="00F5063D">
        <w:rPr>
          <w:noProof/>
          <w:lang w:eastAsia="en-AU"/>
        </w:rPr>
        <w:t xml:space="preserve">PERMANOVA, </w:t>
      </w:r>
      <w:r w:rsidR="001D49BD" w:rsidRPr="00F5063D">
        <w:rPr>
          <w:i/>
          <w:noProof/>
          <w:lang w:eastAsia="en-AU"/>
        </w:rPr>
        <w:t>Pseudo-F</w:t>
      </w:r>
      <w:r w:rsidR="001D49BD" w:rsidRPr="00F5063D">
        <w:rPr>
          <w:i/>
          <w:noProof/>
          <w:vertAlign w:val="subscript"/>
          <w:lang w:eastAsia="en-AU"/>
        </w:rPr>
        <w:t>5,96</w:t>
      </w:r>
      <w:r w:rsidR="001D49BD" w:rsidRPr="00F5063D">
        <w:rPr>
          <w:i/>
          <w:noProof/>
          <w:lang w:eastAsia="en-AU"/>
        </w:rPr>
        <w:t xml:space="preserve"> </w:t>
      </w:r>
      <w:r w:rsidR="001D49BD" w:rsidRPr="00F5063D">
        <w:rPr>
          <w:noProof/>
          <w:lang w:eastAsia="en-AU"/>
        </w:rPr>
        <w:t>= 1.3</w:t>
      </w:r>
      <w:r w:rsidR="00F5063D" w:rsidRPr="00F5063D">
        <w:rPr>
          <w:noProof/>
          <w:lang w:eastAsia="en-AU"/>
        </w:rPr>
        <w:t>552</w:t>
      </w:r>
      <w:r w:rsidR="001D49BD" w:rsidRPr="00F5063D">
        <w:rPr>
          <w:noProof/>
          <w:lang w:eastAsia="en-AU"/>
        </w:rPr>
        <w:t xml:space="preserve">, </w:t>
      </w:r>
      <w:r w:rsidR="001D49BD" w:rsidRPr="00F5063D">
        <w:rPr>
          <w:i/>
          <w:noProof/>
          <w:lang w:eastAsia="en-AU"/>
        </w:rPr>
        <w:t>p</w:t>
      </w:r>
      <w:r w:rsidR="001D49BD" w:rsidRPr="00F5063D">
        <w:rPr>
          <w:noProof/>
          <w:lang w:eastAsia="en-AU"/>
        </w:rPr>
        <w:t xml:space="preserve"> = 0.2</w:t>
      </w:r>
      <w:r w:rsidR="00F5063D" w:rsidRPr="00F5063D">
        <w:rPr>
          <w:noProof/>
          <w:lang w:eastAsia="en-AU"/>
        </w:rPr>
        <w:t>51</w:t>
      </w:r>
      <w:r w:rsidR="007C2D10" w:rsidRPr="00F5063D">
        <w:t>) or the interaction between sampling year and weir pools (</w:t>
      </w:r>
      <w:r w:rsidR="007C2D10" w:rsidRPr="00F5063D">
        <w:rPr>
          <w:noProof/>
          <w:lang w:eastAsia="en-AU"/>
        </w:rPr>
        <w:t xml:space="preserve">PERMANOVA, </w:t>
      </w:r>
      <w:r w:rsidR="007C2D10" w:rsidRPr="00F5063D">
        <w:rPr>
          <w:i/>
          <w:noProof/>
          <w:lang w:eastAsia="en-AU"/>
        </w:rPr>
        <w:t>Pseudo-F</w:t>
      </w:r>
      <w:r w:rsidR="007C2D10" w:rsidRPr="00F5063D">
        <w:rPr>
          <w:i/>
          <w:noProof/>
          <w:vertAlign w:val="subscript"/>
          <w:lang w:eastAsia="en-AU"/>
        </w:rPr>
        <w:t>11,96</w:t>
      </w:r>
      <w:r w:rsidR="007C2D10" w:rsidRPr="00F5063D">
        <w:rPr>
          <w:i/>
          <w:noProof/>
          <w:lang w:eastAsia="en-AU"/>
        </w:rPr>
        <w:t xml:space="preserve"> </w:t>
      </w:r>
      <w:r w:rsidR="007C2D10" w:rsidRPr="00F5063D">
        <w:rPr>
          <w:noProof/>
          <w:lang w:eastAsia="en-AU"/>
        </w:rPr>
        <w:t xml:space="preserve">= 1.399, </w:t>
      </w:r>
      <w:r w:rsidR="007C2D10" w:rsidRPr="00F5063D">
        <w:rPr>
          <w:i/>
          <w:noProof/>
          <w:lang w:eastAsia="en-AU"/>
        </w:rPr>
        <w:t>p</w:t>
      </w:r>
      <w:r w:rsidR="007C2D10" w:rsidRPr="00F5063D">
        <w:rPr>
          <w:noProof/>
          <w:lang w:eastAsia="en-AU"/>
        </w:rPr>
        <w:t xml:space="preserve"> = 0.192</w:t>
      </w:r>
      <w:r w:rsidR="007C2D10" w:rsidRPr="00F5063D">
        <w:t>)</w:t>
      </w:r>
      <w:r w:rsidR="007C2D10">
        <w:t>.</w:t>
      </w:r>
      <w:r w:rsidR="007C2D10" w:rsidRPr="00F5063D">
        <w:t xml:space="preserve"> </w:t>
      </w:r>
      <w:r w:rsidR="002E3CE2">
        <w:t xml:space="preserve">This </w:t>
      </w:r>
      <w:r w:rsidR="00400C2E" w:rsidRPr="00F5063D">
        <w:t>suggest</w:t>
      </w:r>
      <w:r w:rsidR="002E3CE2">
        <w:t xml:space="preserve">s morphometric </w:t>
      </w:r>
      <w:r w:rsidR="00400C2E" w:rsidRPr="00F5063D">
        <w:t xml:space="preserve">condition was significantly different </w:t>
      </w:r>
      <w:r w:rsidR="002E3CE2">
        <w:t>across 2015–2020</w:t>
      </w:r>
      <w:r w:rsidR="00400C2E" w:rsidRPr="00F5063D">
        <w:t xml:space="preserve">, and </w:t>
      </w:r>
      <w:r w:rsidR="002E3CE2">
        <w:t xml:space="preserve">temporal </w:t>
      </w:r>
      <w:r w:rsidR="00400C2E" w:rsidRPr="00F5063D">
        <w:t xml:space="preserve">differences were consistent </w:t>
      </w:r>
      <w:r w:rsidR="002E3CE2">
        <w:t>among</w:t>
      </w:r>
      <w:r w:rsidR="002E3CE2" w:rsidRPr="00F5063D">
        <w:t xml:space="preserve"> </w:t>
      </w:r>
      <w:r w:rsidR="00400C2E" w:rsidRPr="00F5063D">
        <w:t>weir pools</w:t>
      </w:r>
      <w:r w:rsidR="007B56CE" w:rsidRPr="00F5063D">
        <w:t xml:space="preserve">. Pairwise comparisons revealed that </w:t>
      </w:r>
      <w:proofErr w:type="spellStart"/>
      <w:r w:rsidR="007B56CE" w:rsidRPr="00F5063D">
        <w:t>K</w:t>
      </w:r>
      <w:r w:rsidR="007B56CE" w:rsidRPr="00F5063D">
        <w:rPr>
          <w:i/>
        </w:rPr>
        <w:t>rel</w:t>
      </w:r>
      <w:proofErr w:type="spellEnd"/>
      <w:r w:rsidR="007B56CE" w:rsidRPr="00F5063D">
        <w:t xml:space="preserve"> of YOY was significantly greater in </w:t>
      </w:r>
      <w:r w:rsidR="00061398" w:rsidRPr="00F5063D">
        <w:t>2017</w:t>
      </w:r>
      <w:r w:rsidR="007B56CE" w:rsidRPr="00F5063D">
        <w:t xml:space="preserve"> than </w:t>
      </w:r>
      <w:r w:rsidR="00E55BFA">
        <w:t xml:space="preserve">all other years, and significantly </w:t>
      </w:r>
      <w:r w:rsidR="00CB7075">
        <w:t>greater in</w:t>
      </w:r>
      <w:r w:rsidR="00E55BFA">
        <w:t xml:space="preserve"> 2019</w:t>
      </w:r>
      <w:r w:rsidR="00CB7075">
        <w:t xml:space="preserve"> compared to 2018</w:t>
      </w:r>
      <w:r w:rsidR="00061398" w:rsidRPr="00F5063D">
        <w:t xml:space="preserve"> (</w:t>
      </w:r>
      <w:r w:rsidR="009A4875">
        <w:fldChar w:fldCharType="begin"/>
      </w:r>
      <w:r w:rsidR="009A4875">
        <w:instrText xml:space="preserve"> REF _Ref57899409 \h </w:instrText>
      </w:r>
      <w:r w:rsidR="009A4875">
        <w:fldChar w:fldCharType="separate"/>
      </w:r>
      <w:r w:rsidR="006045CA">
        <w:t xml:space="preserve">Figure </w:t>
      </w:r>
      <w:r w:rsidR="006045CA">
        <w:rPr>
          <w:noProof/>
        </w:rPr>
        <w:t>52</w:t>
      </w:r>
      <w:r w:rsidR="009A4875">
        <w:fldChar w:fldCharType="end"/>
      </w:r>
      <w:r w:rsidR="007E408D">
        <w:t>).</w:t>
      </w:r>
    </w:p>
    <w:p w14:paraId="0F2A6C66" w14:textId="6111845B" w:rsidR="007B56CE" w:rsidRPr="008046A9" w:rsidRDefault="00393235" w:rsidP="007B56CE">
      <w:pPr>
        <w:jc w:val="center"/>
        <w:rPr>
          <w:noProof/>
          <w:lang w:eastAsia="en-AU"/>
        </w:rPr>
      </w:pPr>
      <w:r w:rsidRPr="00393235">
        <w:rPr>
          <w:noProof/>
          <w:lang w:eastAsia="en-AU"/>
        </w:rPr>
        <w:t xml:space="preserve"> </w:t>
      </w:r>
      <w:r w:rsidR="00CD6644" w:rsidRPr="008046A9">
        <w:rPr>
          <w:noProof/>
        </w:rPr>
        <w:drawing>
          <wp:inline distT="0" distB="0" distL="0" distR="0" wp14:anchorId="6AAF841F" wp14:editId="0D268E44">
            <wp:extent cx="5031658" cy="3230088"/>
            <wp:effectExtent l="0" t="0" r="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2" cstate="email">
                      <a:extLst>
                        <a:ext uri="{28A0092B-C50C-407E-A947-70E740481C1C}">
                          <a14:useLocalDpi xmlns:a14="http://schemas.microsoft.com/office/drawing/2010/main"/>
                        </a:ext>
                      </a:extLst>
                    </a:blip>
                    <a:srcRect t="4313" r="2469"/>
                    <a:stretch/>
                  </pic:blipFill>
                  <pic:spPr bwMode="auto">
                    <a:xfrm>
                      <a:off x="0" y="0"/>
                      <a:ext cx="5063989" cy="3250843"/>
                    </a:xfrm>
                    <a:prstGeom prst="rect">
                      <a:avLst/>
                    </a:prstGeom>
                    <a:noFill/>
                    <a:ln>
                      <a:noFill/>
                    </a:ln>
                    <a:extLst>
                      <a:ext uri="{53640926-AAD7-44D8-BBD7-CCE9431645EC}">
                        <a14:shadowObscured xmlns:a14="http://schemas.microsoft.com/office/drawing/2010/main"/>
                      </a:ext>
                    </a:extLst>
                  </pic:spPr>
                </pic:pic>
              </a:graphicData>
            </a:graphic>
          </wp:inline>
        </w:drawing>
      </w:r>
    </w:p>
    <w:p w14:paraId="698D4843" w14:textId="42CFD9A4" w:rsidR="007B56CE" w:rsidRPr="001C26B4" w:rsidRDefault="00A34010" w:rsidP="00F8184E">
      <w:pPr>
        <w:pStyle w:val="Captions"/>
      </w:pPr>
      <w:bookmarkStart w:id="284" w:name="_Ref57899397"/>
      <w:bookmarkStart w:id="285" w:name="_Toc69387715"/>
      <w:r w:rsidRPr="008046A9">
        <w:t xml:space="preserve">Figure </w:t>
      </w:r>
      <w:r w:rsidRPr="008046A9">
        <w:fldChar w:fldCharType="begin"/>
      </w:r>
      <w:r w:rsidRPr="008046A9">
        <w:instrText xml:space="preserve"> SEQ Figure \* ARABIC </w:instrText>
      </w:r>
      <w:r w:rsidRPr="008046A9">
        <w:fldChar w:fldCharType="separate"/>
      </w:r>
      <w:r w:rsidR="00940312">
        <w:rPr>
          <w:noProof/>
        </w:rPr>
        <w:t>51</w:t>
      </w:r>
      <w:r w:rsidRPr="008046A9">
        <w:fldChar w:fldCharType="end"/>
      </w:r>
      <w:bookmarkEnd w:id="284"/>
      <w:r w:rsidR="007B56CE" w:rsidRPr="008046A9">
        <w:t xml:space="preserve">. The relationship between weight and total length (TL) of YOY (&lt;160 mm) Murray cod in the </w:t>
      </w:r>
      <w:r w:rsidR="008C22A9" w:rsidRPr="00607412">
        <w:t>L</w:t>
      </w:r>
      <w:r w:rsidR="008C22A9">
        <w:t xml:space="preserve">ower </w:t>
      </w:r>
      <w:r w:rsidR="008C22A9" w:rsidRPr="00607412">
        <w:t>M</w:t>
      </w:r>
      <w:r w:rsidR="008C22A9">
        <w:t xml:space="preserve">urray </w:t>
      </w:r>
      <w:r w:rsidR="008C22A9" w:rsidRPr="00607412">
        <w:t>R</w:t>
      </w:r>
      <w:r w:rsidR="008C22A9">
        <w:t>iver</w:t>
      </w:r>
      <w:r w:rsidR="007B56CE" w:rsidRPr="008046A9">
        <w:t xml:space="preserve"> predicted by a cubic linear regression model </w:t>
      </w:r>
      <w:r w:rsidR="005563A4" w:rsidRPr="008046A9">
        <w:t>(y=-0.4588+0.0527</w:t>
      </w:r>
      <w:r w:rsidR="00FC55C1" w:rsidRPr="008046A9">
        <w:t>x</w:t>
      </w:r>
      <w:r w:rsidR="005563A4" w:rsidRPr="008046A9">
        <w:t>–0.011x</w:t>
      </w:r>
      <w:r w:rsidR="005563A4" w:rsidRPr="008046A9">
        <w:rPr>
          <w:vertAlign w:val="superscript"/>
        </w:rPr>
        <w:t>2</w:t>
      </w:r>
      <w:r w:rsidR="005563A4" w:rsidRPr="008046A9">
        <w:t>+0.000017791x</w:t>
      </w:r>
      <w:r w:rsidR="005563A4" w:rsidRPr="008046A9">
        <w:rPr>
          <w:vertAlign w:val="superscript"/>
        </w:rPr>
        <w:t>3</w:t>
      </w:r>
      <w:r w:rsidR="005563A4" w:rsidRPr="008046A9">
        <w:t xml:space="preserve">) </w:t>
      </w:r>
      <w:r w:rsidR="007B56CE" w:rsidRPr="008046A9">
        <w:t>for</w:t>
      </w:r>
      <w:r w:rsidR="00393235" w:rsidRPr="008046A9">
        <w:t xml:space="preserve"> 2019-20 (black line and circles</w:t>
      </w:r>
      <w:r w:rsidR="000C4438" w:rsidRPr="008046A9">
        <w:t xml:space="preserve">, </w:t>
      </w:r>
      <w:r w:rsidR="000C4438" w:rsidRPr="008046A9">
        <w:rPr>
          <w:i/>
          <w:iCs/>
        </w:rPr>
        <w:t>n</w:t>
      </w:r>
      <w:r w:rsidR="000C4438" w:rsidRPr="008046A9">
        <w:t> = </w:t>
      </w:r>
      <w:r w:rsidR="00905E24" w:rsidRPr="008046A9">
        <w:t>154</w:t>
      </w:r>
      <w:r w:rsidR="00393235" w:rsidRPr="008046A9">
        <w:t>)</w:t>
      </w:r>
      <w:r w:rsidR="007B56CE" w:rsidRPr="008046A9">
        <w:t xml:space="preserve"> </w:t>
      </w:r>
      <w:r w:rsidR="00393235" w:rsidRPr="008046A9">
        <w:t xml:space="preserve">and </w:t>
      </w:r>
      <w:r w:rsidR="007B56CE" w:rsidRPr="008046A9">
        <w:t>all years (2004–2020, ‘stocked’ fish removed</w:t>
      </w:r>
      <w:r w:rsidR="00393235" w:rsidRPr="008046A9">
        <w:t>, red line</w:t>
      </w:r>
      <w:r w:rsidR="007B56CE" w:rsidRPr="008046A9">
        <w:t>).</w:t>
      </w:r>
      <w:r w:rsidR="009A4875">
        <w:t xml:space="preserve"> See Table D12 in Appendix D for statistics.</w:t>
      </w:r>
      <w:bookmarkEnd w:id="285"/>
    </w:p>
    <w:p w14:paraId="4AB12E4E" w14:textId="4940AE69" w:rsidR="007B56CE" w:rsidRDefault="007B56CE" w:rsidP="007B56CE">
      <w:pPr>
        <w:jc w:val="center"/>
        <w:rPr>
          <w:b/>
          <w:sz w:val="20"/>
        </w:rPr>
      </w:pPr>
      <w:r w:rsidRPr="005870E6">
        <w:rPr>
          <w:b/>
          <w:sz w:val="20"/>
        </w:rPr>
        <w:t xml:space="preserve"> </w:t>
      </w:r>
      <w:r w:rsidR="002E03FC" w:rsidRPr="002E03FC">
        <w:rPr>
          <w:noProof/>
        </w:rPr>
        <w:drawing>
          <wp:inline distT="0" distB="0" distL="0" distR="0" wp14:anchorId="62BBE24C" wp14:editId="1AD0B424">
            <wp:extent cx="4805102" cy="3346411"/>
            <wp:effectExtent l="0" t="0" r="0" b="69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3" cstate="email">
                      <a:extLst>
                        <a:ext uri="{28A0092B-C50C-407E-A947-70E740481C1C}">
                          <a14:useLocalDpi xmlns:a14="http://schemas.microsoft.com/office/drawing/2010/main"/>
                        </a:ext>
                      </a:extLst>
                    </a:blip>
                    <a:srcRect t="2985" r="2609"/>
                    <a:stretch/>
                  </pic:blipFill>
                  <pic:spPr bwMode="auto">
                    <a:xfrm>
                      <a:off x="0" y="0"/>
                      <a:ext cx="4835481" cy="3367568"/>
                    </a:xfrm>
                    <a:prstGeom prst="rect">
                      <a:avLst/>
                    </a:prstGeom>
                    <a:noFill/>
                    <a:ln>
                      <a:noFill/>
                    </a:ln>
                    <a:extLst>
                      <a:ext uri="{53640926-AAD7-44D8-BBD7-CCE9431645EC}">
                        <a14:shadowObscured xmlns:a14="http://schemas.microsoft.com/office/drawing/2010/main"/>
                      </a:ext>
                    </a:extLst>
                  </pic:spPr>
                </pic:pic>
              </a:graphicData>
            </a:graphic>
          </wp:inline>
        </w:drawing>
      </w:r>
    </w:p>
    <w:p w14:paraId="0A4A4E6A" w14:textId="48BEE034" w:rsidR="007B56CE" w:rsidRPr="001C26B4" w:rsidRDefault="00A34010" w:rsidP="00F8184E">
      <w:pPr>
        <w:pStyle w:val="Captions"/>
      </w:pPr>
      <w:bookmarkStart w:id="286" w:name="_Ref57899409"/>
      <w:bookmarkStart w:id="287" w:name="_Toc69387716"/>
      <w:r>
        <w:t xml:space="preserve">Figure </w:t>
      </w:r>
      <w:r>
        <w:fldChar w:fldCharType="begin"/>
      </w:r>
      <w:r>
        <w:instrText xml:space="preserve"> SEQ Figure \* ARABIC </w:instrText>
      </w:r>
      <w:r>
        <w:fldChar w:fldCharType="separate"/>
      </w:r>
      <w:r w:rsidR="00940312">
        <w:rPr>
          <w:noProof/>
        </w:rPr>
        <w:t>52</w:t>
      </w:r>
      <w:r>
        <w:fldChar w:fldCharType="end"/>
      </w:r>
      <w:bookmarkEnd w:id="286"/>
      <w:r w:rsidR="007B56CE" w:rsidRPr="001C26B4">
        <w:t xml:space="preserve">. </w:t>
      </w:r>
      <w:r w:rsidR="007B56CE">
        <w:t>Mean relative condition index (</w:t>
      </w:r>
      <w:proofErr w:type="spellStart"/>
      <w:r w:rsidR="007B56CE">
        <w:t>K</w:t>
      </w:r>
      <w:r w:rsidR="007B56CE" w:rsidRPr="00A03FCE">
        <w:rPr>
          <w:i/>
        </w:rPr>
        <w:t>rel</w:t>
      </w:r>
      <w:proofErr w:type="spellEnd"/>
      <w:r w:rsidR="007B56CE">
        <w:t>) ± S.E.</w:t>
      </w:r>
      <w:r w:rsidR="007B56CE" w:rsidRPr="001C26B4">
        <w:t xml:space="preserve"> </w:t>
      </w:r>
      <w:r w:rsidR="007B56CE">
        <w:t xml:space="preserve">of </w:t>
      </w:r>
      <w:r w:rsidR="007B56CE" w:rsidRPr="001C26B4">
        <w:t xml:space="preserve">YOY (&lt;160 mm) Murray cod in the </w:t>
      </w:r>
      <w:r w:rsidR="008C22A9" w:rsidRPr="00607412">
        <w:t>L</w:t>
      </w:r>
      <w:r w:rsidR="008C22A9">
        <w:t xml:space="preserve">ower </w:t>
      </w:r>
      <w:r w:rsidR="008C22A9" w:rsidRPr="00607412">
        <w:t>M</w:t>
      </w:r>
      <w:r w:rsidR="008C22A9">
        <w:t xml:space="preserve">urray </w:t>
      </w:r>
      <w:r w:rsidR="008C22A9" w:rsidRPr="00607412">
        <w:t>R</w:t>
      </w:r>
      <w:r w:rsidR="008C22A9">
        <w:t>iver</w:t>
      </w:r>
      <w:r w:rsidR="007B56CE">
        <w:t xml:space="preserve"> during autumn/winter 2015 (</w:t>
      </w:r>
      <w:r w:rsidR="007B56CE" w:rsidRPr="007C73C7">
        <w:rPr>
          <w:i/>
        </w:rPr>
        <w:t>n</w:t>
      </w:r>
      <w:r w:rsidR="007B56CE">
        <w:t xml:space="preserve"> = 11), 2016 (</w:t>
      </w:r>
      <w:r w:rsidR="007B56CE" w:rsidRPr="007C73C7">
        <w:rPr>
          <w:i/>
        </w:rPr>
        <w:t>n</w:t>
      </w:r>
      <w:r w:rsidR="007B56CE">
        <w:t xml:space="preserve"> = 1</w:t>
      </w:r>
      <w:r w:rsidR="002E03FC">
        <w:t>4</w:t>
      </w:r>
      <w:r w:rsidR="007B56CE">
        <w:t>), 2017 (</w:t>
      </w:r>
      <w:r w:rsidR="007B56CE" w:rsidRPr="007C73C7">
        <w:rPr>
          <w:i/>
        </w:rPr>
        <w:t>n</w:t>
      </w:r>
      <w:r w:rsidR="007B56CE">
        <w:t xml:space="preserve"> = </w:t>
      </w:r>
      <w:r w:rsidR="002E03FC">
        <w:t>6</w:t>
      </w:r>
      <w:r w:rsidR="007B56CE">
        <w:t>), 2018 (</w:t>
      </w:r>
      <w:r w:rsidR="007B56CE" w:rsidRPr="007C73C7">
        <w:rPr>
          <w:i/>
        </w:rPr>
        <w:t>n</w:t>
      </w:r>
      <w:r w:rsidR="007B56CE">
        <w:t xml:space="preserve"> = </w:t>
      </w:r>
      <w:r w:rsidR="002E03FC">
        <w:t>11</w:t>
      </w:r>
      <w:r w:rsidR="007B56CE">
        <w:t>), 2019 (</w:t>
      </w:r>
      <w:r w:rsidR="007B56CE" w:rsidRPr="007C73C7">
        <w:rPr>
          <w:i/>
        </w:rPr>
        <w:t>n</w:t>
      </w:r>
      <w:r w:rsidR="007B56CE">
        <w:t xml:space="preserve"> = 25), 2020 (</w:t>
      </w:r>
      <w:r w:rsidR="007B56CE" w:rsidRPr="007C73C7">
        <w:rPr>
          <w:i/>
        </w:rPr>
        <w:t>n</w:t>
      </w:r>
      <w:r w:rsidR="007B56CE">
        <w:t xml:space="preserve"> = 51)</w:t>
      </w:r>
      <w:r w:rsidR="007B56CE" w:rsidRPr="001C26B4">
        <w:t>.</w:t>
      </w:r>
      <w:r w:rsidR="007B56CE">
        <w:t xml:space="preserve"> </w:t>
      </w:r>
      <w:r w:rsidR="009A4875">
        <w:t>See Table D13 in Appendix D for statistics.</w:t>
      </w:r>
      <w:bookmarkEnd w:id="287"/>
    </w:p>
    <w:p w14:paraId="4B559D00" w14:textId="16DB79B5" w:rsidR="007B56CE" w:rsidRDefault="00096208" w:rsidP="007B56CE">
      <w:pPr>
        <w:rPr>
          <w:noProof/>
          <w:lang w:eastAsia="en-AU"/>
        </w:rPr>
      </w:pPr>
      <w:r>
        <w:t xml:space="preserve">Model selection indicated that the </w:t>
      </w:r>
      <w:proofErr w:type="spellStart"/>
      <w:r>
        <w:t>Gompertz</w:t>
      </w:r>
      <w:proofErr w:type="spellEnd"/>
      <w:r>
        <w:t xml:space="preserve"> model was the </w:t>
      </w:r>
      <w:r w:rsidR="0007255A">
        <w:t>best fit for the</w:t>
      </w:r>
      <w:r>
        <w:t xml:space="preserve"> 2019-20 Murray cod age–length data </w:t>
      </w:r>
      <w:r w:rsidR="007B56CE">
        <w:t>(</w:t>
      </w:r>
      <w:r w:rsidR="00121041">
        <w:fldChar w:fldCharType="begin"/>
      </w:r>
      <w:r w:rsidR="00121041">
        <w:instrText xml:space="preserve"> REF _Ref57899419 \h </w:instrText>
      </w:r>
      <w:r w:rsidR="00121041">
        <w:fldChar w:fldCharType="separate"/>
      </w:r>
      <w:r w:rsidR="006045CA">
        <w:t xml:space="preserve">Figure </w:t>
      </w:r>
      <w:r w:rsidR="006045CA">
        <w:rPr>
          <w:noProof/>
        </w:rPr>
        <w:t>53</w:t>
      </w:r>
      <w:r w:rsidR="00121041">
        <w:fldChar w:fldCharType="end"/>
      </w:r>
      <w:r w:rsidR="00BF2B60">
        <w:t>)</w:t>
      </w:r>
      <w:r w:rsidR="007B56CE">
        <w:t xml:space="preserve">. </w:t>
      </w:r>
      <w:r w:rsidR="007B56CE">
        <w:rPr>
          <w:noProof/>
          <w:lang w:eastAsia="en-AU"/>
        </w:rPr>
        <w:t xml:space="preserve">Relationships between length and age for Murray cod collected from each weir pool in 2019-20 were similar. </w:t>
      </w:r>
      <w:r>
        <w:rPr>
          <w:noProof/>
          <w:lang w:eastAsia="en-AU"/>
        </w:rPr>
        <w:t xml:space="preserve">Mean seasonal growth rate in the weir pool below Lock 4 (0.791 </w:t>
      </w:r>
      <w:r w:rsidRPr="009C06DB">
        <w:rPr>
          <w:noProof/>
          <w:lang w:eastAsia="en-AU"/>
        </w:rPr>
        <w:t xml:space="preserve">mm/d </w:t>
      </w:r>
      <w:r>
        <w:rPr>
          <w:noProof/>
          <w:lang w:eastAsia="en-AU"/>
        </w:rPr>
        <w:t>± 0.023 S.E.) was slightly higher than below Lock 3 (0.769 ± 0.029)</w:t>
      </w:r>
      <w:r w:rsidRPr="004D2DF6">
        <w:rPr>
          <w:noProof/>
          <w:lang w:eastAsia="en-AU"/>
        </w:rPr>
        <w:t xml:space="preserve">, </w:t>
      </w:r>
      <w:r>
        <w:rPr>
          <w:noProof/>
          <w:lang w:eastAsia="en-AU"/>
        </w:rPr>
        <w:t xml:space="preserve">yet </w:t>
      </w:r>
      <w:r w:rsidRPr="004D2DF6">
        <w:rPr>
          <w:noProof/>
          <w:lang w:eastAsia="en-AU"/>
        </w:rPr>
        <w:t xml:space="preserve">this difference was </w:t>
      </w:r>
      <w:r>
        <w:rPr>
          <w:noProof/>
          <w:lang w:eastAsia="en-AU"/>
        </w:rPr>
        <w:t xml:space="preserve">not </w:t>
      </w:r>
      <w:r w:rsidRPr="004D2DF6">
        <w:rPr>
          <w:noProof/>
          <w:lang w:eastAsia="en-AU"/>
        </w:rPr>
        <w:t xml:space="preserve">significant (PERMANOVA, </w:t>
      </w:r>
      <w:r w:rsidRPr="004D2DF6">
        <w:rPr>
          <w:i/>
          <w:noProof/>
          <w:lang w:eastAsia="en-AU"/>
        </w:rPr>
        <w:t>Pseudo-F</w:t>
      </w:r>
      <w:r w:rsidRPr="004D2DF6">
        <w:rPr>
          <w:i/>
          <w:noProof/>
          <w:vertAlign w:val="subscript"/>
          <w:lang w:eastAsia="en-AU"/>
        </w:rPr>
        <w:t>1, 59</w:t>
      </w:r>
      <w:r w:rsidRPr="004D2DF6">
        <w:rPr>
          <w:i/>
          <w:noProof/>
          <w:lang w:eastAsia="en-AU"/>
        </w:rPr>
        <w:t xml:space="preserve"> </w:t>
      </w:r>
      <w:r w:rsidRPr="004D2DF6">
        <w:rPr>
          <w:noProof/>
          <w:lang w:eastAsia="en-AU"/>
        </w:rPr>
        <w:t xml:space="preserve">= 1.249, </w:t>
      </w:r>
      <w:r w:rsidRPr="004D2DF6">
        <w:rPr>
          <w:i/>
          <w:noProof/>
          <w:lang w:eastAsia="en-AU"/>
        </w:rPr>
        <w:t>p</w:t>
      </w:r>
      <w:r w:rsidRPr="004D2DF6">
        <w:rPr>
          <w:noProof/>
          <w:lang w:eastAsia="en-AU"/>
        </w:rPr>
        <w:t xml:space="preserve"> =</w:t>
      </w:r>
      <w:r>
        <w:rPr>
          <w:noProof/>
          <w:lang w:eastAsia="en-AU"/>
        </w:rPr>
        <w:t xml:space="preserve"> 0.260).  </w:t>
      </w:r>
    </w:p>
    <w:p w14:paraId="2E74F3ED" w14:textId="413D8F98" w:rsidR="007B56CE" w:rsidRPr="006279F2" w:rsidRDefault="007B56CE" w:rsidP="007B56CE">
      <w:pPr>
        <w:jc w:val="center"/>
      </w:pPr>
      <w:r w:rsidRPr="00B51F5E">
        <w:t xml:space="preserve"> </w:t>
      </w:r>
      <w:r w:rsidRPr="00B51F5E">
        <w:rPr>
          <w:noProof/>
          <w:lang w:eastAsia="en-AU"/>
        </w:rPr>
        <w:drawing>
          <wp:inline distT="0" distB="0" distL="0" distR="0" wp14:anchorId="312A4968" wp14:editId="3E4ED7C6">
            <wp:extent cx="5434330" cy="3286760"/>
            <wp:effectExtent l="0" t="0" r="0"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5434330" cy="3286760"/>
                    </a:xfrm>
                    <a:prstGeom prst="rect">
                      <a:avLst/>
                    </a:prstGeom>
                    <a:noFill/>
                    <a:ln>
                      <a:noFill/>
                    </a:ln>
                  </pic:spPr>
                </pic:pic>
              </a:graphicData>
            </a:graphic>
          </wp:inline>
        </w:drawing>
      </w:r>
      <w:r w:rsidRPr="006279F2">
        <w:t xml:space="preserve"> </w:t>
      </w:r>
    </w:p>
    <w:p w14:paraId="57BE864A" w14:textId="2C8FA5C0" w:rsidR="007B56CE" w:rsidRDefault="00A34010" w:rsidP="00F8184E">
      <w:pPr>
        <w:pStyle w:val="Captions"/>
      </w:pPr>
      <w:bookmarkStart w:id="288" w:name="_Ref57899419"/>
      <w:bookmarkStart w:id="289" w:name="_Toc69387717"/>
      <w:r>
        <w:t xml:space="preserve">Figure </w:t>
      </w:r>
      <w:r>
        <w:fldChar w:fldCharType="begin"/>
      </w:r>
      <w:r>
        <w:instrText xml:space="preserve"> SEQ Figure \* ARABIC </w:instrText>
      </w:r>
      <w:r>
        <w:fldChar w:fldCharType="separate"/>
      </w:r>
      <w:r w:rsidR="00940312">
        <w:rPr>
          <w:noProof/>
        </w:rPr>
        <w:t>53</w:t>
      </w:r>
      <w:r>
        <w:fldChar w:fldCharType="end"/>
      </w:r>
      <w:bookmarkEnd w:id="288"/>
      <w:r w:rsidR="007B56CE" w:rsidRPr="006279F2">
        <w:t>. The relationship between total length (TL) and estimated age of</w:t>
      </w:r>
      <w:r w:rsidR="007B56CE" w:rsidRPr="004A5762">
        <w:t xml:space="preserve"> YOY (</w:t>
      </w:r>
      <w:r w:rsidR="007B56CE">
        <w:t xml:space="preserve">&lt;160 mm) Murray cod in the </w:t>
      </w:r>
      <w:r w:rsidR="008C22A9" w:rsidRPr="00607412">
        <w:t>L</w:t>
      </w:r>
      <w:r w:rsidR="008C22A9">
        <w:t xml:space="preserve">ower </w:t>
      </w:r>
      <w:r w:rsidR="008C22A9" w:rsidRPr="00607412">
        <w:t>M</w:t>
      </w:r>
      <w:r w:rsidR="008C22A9">
        <w:t xml:space="preserve">urray </w:t>
      </w:r>
      <w:r w:rsidR="008C22A9" w:rsidRPr="00607412">
        <w:t>R</w:t>
      </w:r>
      <w:r w:rsidR="008C22A9">
        <w:t>iver</w:t>
      </w:r>
      <w:r w:rsidR="007B56CE">
        <w:t xml:space="preserve"> during 2019-20</w:t>
      </w:r>
      <w:r w:rsidR="007B56CE" w:rsidRPr="004A5762">
        <w:t xml:space="preserve">, predicted by the </w:t>
      </w:r>
      <w:proofErr w:type="spellStart"/>
      <w:r w:rsidR="007B56CE">
        <w:t>Gompertz</w:t>
      </w:r>
      <w:proofErr w:type="spellEnd"/>
      <w:r w:rsidR="007B56CE" w:rsidRPr="004A5762">
        <w:t xml:space="preserve"> model</w:t>
      </w:r>
      <w:r w:rsidR="007B56CE" w:rsidRPr="00645545">
        <w:t>.</w:t>
      </w:r>
      <w:r w:rsidR="009A4875">
        <w:t xml:space="preserve"> See Table D14 in Appendix D for statistics.</w:t>
      </w:r>
      <w:bookmarkEnd w:id="289"/>
    </w:p>
    <w:p w14:paraId="4B4AC544" w14:textId="642FD796" w:rsidR="007B56CE" w:rsidRDefault="007B56CE" w:rsidP="007B56CE">
      <w:pPr>
        <w:rPr>
          <w:noProof/>
          <w:lang w:eastAsia="en-AU"/>
        </w:rPr>
      </w:pPr>
    </w:p>
    <w:p w14:paraId="35CC8C95" w14:textId="77777777" w:rsidR="00096208" w:rsidRDefault="00096208" w:rsidP="00096208">
      <w:pPr>
        <w:pStyle w:val="Heading4"/>
      </w:pPr>
      <w:r>
        <w:t>Population structure and recruitment</w:t>
      </w:r>
    </w:p>
    <w:p w14:paraId="29F1175E" w14:textId="4462861A" w:rsidR="007B56CE" w:rsidRPr="004930C3" w:rsidRDefault="007B56CE" w:rsidP="003E2029">
      <w:r>
        <w:t>Mean r</w:t>
      </w:r>
      <w:r w:rsidRPr="00470D55">
        <w:t xml:space="preserve">elative </w:t>
      </w:r>
      <w:r>
        <w:t xml:space="preserve">abundances (non-targeted CPUE) of Murray cod in the weir pools below Locks 2 and 3 remained relatively </w:t>
      </w:r>
      <w:r w:rsidRPr="009D2A72">
        <w:t>consistent from 2015 to 20</w:t>
      </w:r>
      <w:r w:rsidR="000C579D" w:rsidRPr="009D2A72">
        <w:t>19</w:t>
      </w:r>
      <w:r w:rsidRPr="009D2A72">
        <w:t xml:space="preserve"> (&lt;0.05 fish/min)</w:t>
      </w:r>
      <w:r w:rsidR="000C579D" w:rsidRPr="009D2A72">
        <w:t>.</w:t>
      </w:r>
      <w:r w:rsidR="005902DF" w:rsidRPr="009D2A72">
        <w:t xml:space="preserve"> </w:t>
      </w:r>
      <w:r w:rsidR="009D2A72">
        <w:t>In 2020, t</w:t>
      </w:r>
      <w:r w:rsidRPr="009D2A72">
        <w:t>he</w:t>
      </w:r>
      <w:r w:rsidR="000C579D" w:rsidRPr="009D2A72">
        <w:t xml:space="preserve">re </w:t>
      </w:r>
      <w:r w:rsidR="009D2A72" w:rsidRPr="009D2A72">
        <w:t xml:space="preserve">was a </w:t>
      </w:r>
      <w:r w:rsidR="009D2A72">
        <w:t>four-fold</w:t>
      </w:r>
      <w:r w:rsidRPr="009D2A72">
        <w:t xml:space="preserve"> increase in </w:t>
      </w:r>
      <w:r w:rsidR="00663886" w:rsidRPr="009D2A72">
        <w:t xml:space="preserve">mean </w:t>
      </w:r>
      <w:r w:rsidRPr="009D2A72">
        <w:t>abundance below Lock 3,</w:t>
      </w:r>
      <w:r w:rsidR="005902DF" w:rsidRPr="009D2A72">
        <w:t xml:space="preserve"> </w:t>
      </w:r>
      <w:r w:rsidRPr="009D2A72">
        <w:t>driven by the abundance of YOY fish (</w:t>
      </w:r>
      <w:r w:rsidR="00A34010" w:rsidRPr="009D2A72">
        <w:fldChar w:fldCharType="begin"/>
      </w:r>
      <w:r w:rsidR="00A34010" w:rsidRPr="009D2A72">
        <w:instrText xml:space="preserve"> REF _Ref57899436 \h  \* MERGEFORMAT </w:instrText>
      </w:r>
      <w:r w:rsidR="00A34010" w:rsidRPr="009D2A72">
        <w:fldChar w:fldCharType="separate"/>
      </w:r>
      <w:r w:rsidR="006045CA">
        <w:t xml:space="preserve">Figure </w:t>
      </w:r>
      <w:r w:rsidR="006045CA">
        <w:rPr>
          <w:noProof/>
        </w:rPr>
        <w:t>54</w:t>
      </w:r>
      <w:r w:rsidR="00A34010" w:rsidRPr="009D2A72">
        <w:fldChar w:fldCharType="end"/>
      </w:r>
      <w:r w:rsidR="00A34010" w:rsidRPr="009D2A72">
        <w:t xml:space="preserve"> and </w:t>
      </w:r>
      <w:r w:rsidR="00A34010" w:rsidRPr="009D2A72">
        <w:fldChar w:fldCharType="begin"/>
      </w:r>
      <w:r w:rsidR="00A34010" w:rsidRPr="009D2A72">
        <w:instrText xml:space="preserve"> REF _Ref57899437 \h  \* MERGEFORMAT </w:instrText>
      </w:r>
      <w:r w:rsidR="00A34010" w:rsidRPr="009D2A72">
        <w:fldChar w:fldCharType="separate"/>
      </w:r>
      <w:r w:rsidR="006045CA">
        <w:t xml:space="preserve">Figure </w:t>
      </w:r>
      <w:r w:rsidR="006045CA">
        <w:rPr>
          <w:noProof/>
        </w:rPr>
        <w:t>55</w:t>
      </w:r>
      <w:r w:rsidR="00A34010" w:rsidRPr="009D2A72">
        <w:fldChar w:fldCharType="end"/>
      </w:r>
      <w:r w:rsidRPr="009D2A72">
        <w:t>).</w:t>
      </w:r>
      <w:r w:rsidR="009D2A72" w:rsidRPr="009D2A72">
        <w:t xml:space="preserve"> </w:t>
      </w:r>
      <w:r w:rsidR="00311F99" w:rsidRPr="009D2A72">
        <w:t>Due to the large variability associated with this increase,</w:t>
      </w:r>
      <w:r w:rsidR="000C579D" w:rsidRPr="009D2A72">
        <w:t xml:space="preserve"> </w:t>
      </w:r>
      <w:r w:rsidR="00265CBF">
        <w:t xml:space="preserve">however, </w:t>
      </w:r>
      <w:r w:rsidR="000C579D" w:rsidRPr="009D2A72">
        <w:t>there was no significant effect of year on CPUE (</w:t>
      </w:r>
      <w:r w:rsidR="000C579D" w:rsidRPr="009D2A72">
        <w:rPr>
          <w:noProof/>
          <w:lang w:eastAsia="en-AU"/>
        </w:rPr>
        <w:t xml:space="preserve">PERMANOVA, </w:t>
      </w:r>
      <w:r w:rsidR="000C579D" w:rsidRPr="009D2A72">
        <w:rPr>
          <w:i/>
          <w:noProof/>
          <w:lang w:eastAsia="en-AU"/>
        </w:rPr>
        <w:t>Pseudo-F</w:t>
      </w:r>
      <w:r w:rsidR="000C579D" w:rsidRPr="009D2A72">
        <w:rPr>
          <w:i/>
          <w:noProof/>
          <w:vertAlign w:val="subscript"/>
          <w:lang w:eastAsia="en-AU"/>
        </w:rPr>
        <w:t>5, 48</w:t>
      </w:r>
      <w:r w:rsidR="000C579D" w:rsidRPr="009D2A72">
        <w:rPr>
          <w:i/>
          <w:noProof/>
          <w:lang w:eastAsia="en-AU"/>
        </w:rPr>
        <w:t xml:space="preserve"> </w:t>
      </w:r>
      <w:r w:rsidR="000C579D" w:rsidRPr="009D2A72">
        <w:rPr>
          <w:noProof/>
          <w:lang w:eastAsia="en-AU"/>
        </w:rPr>
        <w:t xml:space="preserve">= 2.229, </w:t>
      </w:r>
      <w:r w:rsidR="000C579D" w:rsidRPr="009D2A72">
        <w:rPr>
          <w:i/>
          <w:noProof/>
          <w:lang w:eastAsia="en-AU"/>
        </w:rPr>
        <w:t>p</w:t>
      </w:r>
      <w:r w:rsidR="000C579D" w:rsidRPr="009D2A72">
        <w:rPr>
          <w:noProof/>
          <w:lang w:eastAsia="en-AU"/>
        </w:rPr>
        <w:t xml:space="preserve"> = 0.066</w:t>
      </w:r>
      <w:r w:rsidR="000C579D" w:rsidRPr="009D2A72">
        <w:t xml:space="preserve">). </w:t>
      </w:r>
      <w:r w:rsidRPr="009D2A72">
        <w:t xml:space="preserve">The proportional abundance of YOY from these sites throughout the six-year </w:t>
      </w:r>
      <w:r w:rsidRPr="004930C3">
        <w:t>period was relatively high (&gt;50%).</w:t>
      </w:r>
    </w:p>
    <w:p w14:paraId="211A43DF" w14:textId="7E0B7577" w:rsidR="007B56CE" w:rsidRDefault="007B56CE" w:rsidP="003E2029">
      <w:r w:rsidRPr="004930C3">
        <w:t xml:space="preserve">Relative abundances (targeted CPUE) of Murray cod in the </w:t>
      </w:r>
      <w:r w:rsidR="00265CBF" w:rsidRPr="004930C3">
        <w:t>tailwaters of</w:t>
      </w:r>
      <w:r w:rsidRPr="004930C3">
        <w:t xml:space="preserve"> Locks 4 and 5</w:t>
      </w:r>
      <w:r w:rsidR="00350336" w:rsidRPr="004930C3">
        <w:t xml:space="preserve"> varied among years (</w:t>
      </w:r>
      <w:r w:rsidR="00350336" w:rsidRPr="004930C3">
        <w:rPr>
          <w:noProof/>
          <w:lang w:eastAsia="en-AU"/>
        </w:rPr>
        <w:t xml:space="preserve">PERMANOVA, </w:t>
      </w:r>
      <w:r w:rsidR="00350336" w:rsidRPr="004930C3">
        <w:rPr>
          <w:i/>
          <w:noProof/>
          <w:lang w:eastAsia="en-AU"/>
        </w:rPr>
        <w:t>Pseudo-F</w:t>
      </w:r>
      <w:r w:rsidR="00350336" w:rsidRPr="004930C3">
        <w:rPr>
          <w:i/>
          <w:noProof/>
          <w:vertAlign w:val="subscript"/>
          <w:lang w:eastAsia="en-AU"/>
        </w:rPr>
        <w:t>6, 36</w:t>
      </w:r>
      <w:r w:rsidR="00350336" w:rsidRPr="004930C3">
        <w:rPr>
          <w:i/>
          <w:noProof/>
          <w:lang w:eastAsia="en-AU"/>
        </w:rPr>
        <w:t xml:space="preserve"> </w:t>
      </w:r>
      <w:r w:rsidR="00350336" w:rsidRPr="004930C3">
        <w:rPr>
          <w:noProof/>
          <w:lang w:eastAsia="en-AU"/>
        </w:rPr>
        <w:t xml:space="preserve">= 3.973, </w:t>
      </w:r>
      <w:r w:rsidR="00350336" w:rsidRPr="004930C3">
        <w:rPr>
          <w:i/>
          <w:noProof/>
          <w:lang w:eastAsia="en-AU"/>
        </w:rPr>
        <w:t>p</w:t>
      </w:r>
      <w:r w:rsidR="00350336" w:rsidRPr="004930C3">
        <w:rPr>
          <w:noProof/>
          <w:lang w:eastAsia="en-AU"/>
        </w:rPr>
        <w:t xml:space="preserve"> = 0.006</w:t>
      </w:r>
      <w:r w:rsidR="00350336" w:rsidRPr="004930C3">
        <w:t>) and</w:t>
      </w:r>
      <w:r w:rsidRPr="004930C3">
        <w:t xml:space="preserve"> showed a general increasing trend</w:t>
      </w:r>
      <w:r>
        <w:t xml:space="preserve"> in abundance from 2013 to 2016, before a decline in abundance in 2017</w:t>
      </w:r>
      <w:r w:rsidRPr="00280F63">
        <w:t xml:space="preserve">. </w:t>
      </w:r>
      <w:r w:rsidR="00265CBF">
        <w:t>This was followed by</w:t>
      </w:r>
      <w:r w:rsidRPr="00280F63">
        <w:t xml:space="preserve"> a</w:t>
      </w:r>
      <w:r w:rsidR="00A17284" w:rsidRPr="00280F63">
        <w:t xml:space="preserve"> significant</w:t>
      </w:r>
      <w:r w:rsidRPr="00280F63">
        <w:t xml:space="preserve"> increase in relative abundances to a peak in 2020</w:t>
      </w:r>
      <w:r w:rsidR="00885A36">
        <w:t xml:space="preserve"> (</w:t>
      </w:r>
      <w:r w:rsidR="00885A36">
        <w:rPr>
          <w:noProof/>
          <w:lang w:eastAsia="en-AU"/>
        </w:rPr>
        <w:t xml:space="preserve">PERMANOVA, </w:t>
      </w:r>
      <w:r w:rsidR="00885A36" w:rsidRPr="00BB168B">
        <w:rPr>
          <w:i/>
          <w:iCs/>
          <w:noProof/>
          <w:lang w:eastAsia="en-AU"/>
        </w:rPr>
        <w:t>t</w:t>
      </w:r>
      <w:r w:rsidR="00885A36">
        <w:rPr>
          <w:noProof/>
          <w:lang w:eastAsia="en-AU"/>
        </w:rPr>
        <w:t xml:space="preserve"> </w:t>
      </w:r>
      <w:r w:rsidR="00885A36" w:rsidRPr="00471774">
        <w:rPr>
          <w:noProof/>
          <w:lang w:eastAsia="en-AU"/>
        </w:rPr>
        <w:t xml:space="preserve">= </w:t>
      </w:r>
      <w:r w:rsidR="00350336">
        <w:rPr>
          <w:noProof/>
          <w:lang w:eastAsia="en-AU"/>
        </w:rPr>
        <w:t>3.139</w:t>
      </w:r>
      <w:r w:rsidR="00885A36">
        <w:rPr>
          <w:noProof/>
          <w:lang w:eastAsia="en-AU"/>
        </w:rPr>
        <w:t xml:space="preserve">, </w:t>
      </w:r>
      <w:r w:rsidR="00885A36" w:rsidRPr="00471774">
        <w:rPr>
          <w:i/>
          <w:noProof/>
          <w:lang w:eastAsia="en-AU"/>
        </w:rPr>
        <w:t>p</w:t>
      </w:r>
      <w:r w:rsidR="00885A36">
        <w:rPr>
          <w:noProof/>
          <w:lang w:eastAsia="en-AU"/>
        </w:rPr>
        <w:t xml:space="preserve"> = 0.0</w:t>
      </w:r>
      <w:r w:rsidR="00350336">
        <w:rPr>
          <w:noProof/>
          <w:lang w:eastAsia="en-AU"/>
        </w:rPr>
        <w:t>11</w:t>
      </w:r>
      <w:r w:rsidR="00885A36">
        <w:t>)</w:t>
      </w:r>
      <w:r w:rsidRPr="00280F63">
        <w:t xml:space="preserve">. Consistent with the </w:t>
      </w:r>
      <w:r w:rsidR="00265CBF">
        <w:t>non-targeted CPUE data from</w:t>
      </w:r>
      <w:r w:rsidRPr="00280F63">
        <w:t xml:space="preserve"> below Lock 3, this increase in relative abundance below Lock 4 was driven by an increase in abundance of YOY (</w:t>
      </w:r>
      <w:r w:rsidR="00A34010" w:rsidRPr="00A34010">
        <w:fldChar w:fldCharType="begin"/>
      </w:r>
      <w:r w:rsidR="00A34010" w:rsidRPr="00A34010">
        <w:instrText xml:space="preserve"> REF _Ref57899436 \h </w:instrText>
      </w:r>
      <w:r w:rsidR="00A34010">
        <w:instrText xml:space="preserve"> \* MERGEFORMAT </w:instrText>
      </w:r>
      <w:r w:rsidR="00A34010" w:rsidRPr="00A34010">
        <w:fldChar w:fldCharType="separate"/>
      </w:r>
      <w:r w:rsidR="006045CA">
        <w:t xml:space="preserve">Figure </w:t>
      </w:r>
      <w:r w:rsidR="006045CA">
        <w:rPr>
          <w:noProof/>
        </w:rPr>
        <w:t>54</w:t>
      </w:r>
      <w:r w:rsidR="00A34010" w:rsidRPr="00A34010">
        <w:fldChar w:fldCharType="end"/>
      </w:r>
      <w:r w:rsidR="00A34010" w:rsidRPr="00A34010">
        <w:t xml:space="preserve"> and </w:t>
      </w:r>
      <w:r w:rsidR="00A34010" w:rsidRPr="00A34010">
        <w:fldChar w:fldCharType="begin"/>
      </w:r>
      <w:r w:rsidR="00A34010" w:rsidRPr="00A34010">
        <w:instrText xml:space="preserve"> REF _Ref57899437 \h </w:instrText>
      </w:r>
      <w:r w:rsidR="00A34010">
        <w:instrText xml:space="preserve"> \* MERGEFORMAT </w:instrText>
      </w:r>
      <w:r w:rsidR="00A34010" w:rsidRPr="00A34010">
        <w:fldChar w:fldCharType="separate"/>
      </w:r>
      <w:r w:rsidR="006045CA">
        <w:t xml:space="preserve">Figure </w:t>
      </w:r>
      <w:r w:rsidR="006045CA">
        <w:rPr>
          <w:noProof/>
        </w:rPr>
        <w:t>55</w:t>
      </w:r>
      <w:r w:rsidR="00A34010" w:rsidRPr="00A34010">
        <w:fldChar w:fldCharType="end"/>
      </w:r>
      <w:r w:rsidRPr="00280F63">
        <w:t>).</w:t>
      </w:r>
    </w:p>
    <w:p w14:paraId="777B9747" w14:textId="0E5C89CE" w:rsidR="007B56CE" w:rsidRDefault="007B56CE" w:rsidP="007B56CE">
      <w:pPr>
        <w:rPr>
          <w:b/>
        </w:rPr>
      </w:pPr>
      <w:r>
        <w:t>Excluding years (2013 and 2014) with low sample sizes</w:t>
      </w:r>
      <w:r w:rsidR="00265CBF">
        <w:t xml:space="preserve"> (</w:t>
      </w:r>
      <w:r w:rsidR="00265CBF">
        <w:rPr>
          <w:i/>
          <w:iCs/>
        </w:rPr>
        <w:t xml:space="preserve">n </w:t>
      </w:r>
      <w:r w:rsidR="00265CBF">
        <w:t>&lt; 10)</w:t>
      </w:r>
      <w:r>
        <w:t xml:space="preserve">, </w:t>
      </w:r>
      <w:r w:rsidR="00265CBF">
        <w:t xml:space="preserve">Murray cod generally exhibited broad </w:t>
      </w:r>
      <w:r>
        <w:t>length frequency distributions, comprised of juveniles (including YOY), sub-adults (300–600 mm) and adults (&gt;600 mm) (</w:t>
      </w:r>
      <w:r w:rsidR="00A34010">
        <w:fldChar w:fldCharType="begin"/>
      </w:r>
      <w:r w:rsidR="00A34010">
        <w:instrText xml:space="preserve"> REF _Ref57899437 \h </w:instrText>
      </w:r>
      <w:r w:rsidR="00A34010">
        <w:fldChar w:fldCharType="separate"/>
      </w:r>
      <w:r w:rsidR="006045CA">
        <w:t xml:space="preserve">Figure </w:t>
      </w:r>
      <w:r w:rsidR="006045CA">
        <w:rPr>
          <w:noProof/>
        </w:rPr>
        <w:t>55</w:t>
      </w:r>
      <w:r w:rsidR="00A34010">
        <w:fldChar w:fldCharType="end"/>
      </w:r>
      <w:r>
        <w:t>). YOY fish (i.e. &lt;1</w:t>
      </w:r>
      <w:r w:rsidR="002B1423">
        <w:t>5</w:t>
      </w:r>
      <w:r>
        <w:t>0 mm) dominated the sampled population during 2019 (69 %) and 2020 (67 %). Furthermore, from 2015, new (YOY) cohorts can be seen to persist and progress through the population each year to adult size (&gt;600 mm).</w:t>
      </w:r>
    </w:p>
    <w:p w14:paraId="28C8591E" w14:textId="77777777" w:rsidR="007B56CE" w:rsidRDefault="007B56CE" w:rsidP="007B56CE">
      <w:pPr>
        <w:jc w:val="center"/>
      </w:pPr>
      <w:r w:rsidRPr="00BB3B21">
        <w:rPr>
          <w:noProof/>
          <w:lang w:eastAsia="en-AU"/>
        </w:rPr>
        <w:drawing>
          <wp:inline distT="0" distB="0" distL="0" distR="0" wp14:anchorId="49609139" wp14:editId="18B0204F">
            <wp:extent cx="5517753" cy="5528930"/>
            <wp:effectExtent l="0" t="0" r="698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05" cstate="email">
                      <a:extLst>
                        <a:ext uri="{28A0092B-C50C-407E-A947-70E740481C1C}">
                          <a14:useLocalDpi xmlns:a14="http://schemas.microsoft.com/office/drawing/2010/main"/>
                        </a:ext>
                      </a:extLst>
                    </a:blip>
                    <a:srcRect t="2496" r="20410"/>
                    <a:stretch/>
                  </pic:blipFill>
                  <pic:spPr bwMode="auto">
                    <a:xfrm>
                      <a:off x="0" y="0"/>
                      <a:ext cx="5543273" cy="5554502"/>
                    </a:xfrm>
                    <a:prstGeom prst="rect">
                      <a:avLst/>
                    </a:prstGeom>
                    <a:noFill/>
                    <a:ln>
                      <a:noFill/>
                    </a:ln>
                    <a:extLst>
                      <a:ext uri="{53640926-AAD7-44D8-BBD7-CCE9431645EC}">
                        <a14:shadowObscured xmlns:a14="http://schemas.microsoft.com/office/drawing/2010/main"/>
                      </a:ext>
                    </a:extLst>
                  </pic:spPr>
                </pic:pic>
              </a:graphicData>
            </a:graphic>
          </wp:inline>
        </w:drawing>
      </w:r>
    </w:p>
    <w:p w14:paraId="290F9C48" w14:textId="60785959" w:rsidR="007B56CE" w:rsidRDefault="00A34010" w:rsidP="00F8184E">
      <w:pPr>
        <w:pStyle w:val="Captions"/>
      </w:pPr>
      <w:bookmarkStart w:id="290" w:name="_Ref57899436"/>
      <w:bookmarkStart w:id="291" w:name="_Toc69387718"/>
      <w:r>
        <w:t xml:space="preserve">Figure </w:t>
      </w:r>
      <w:r>
        <w:fldChar w:fldCharType="begin"/>
      </w:r>
      <w:r>
        <w:instrText xml:space="preserve"> SEQ Figure \* ARABIC </w:instrText>
      </w:r>
      <w:r>
        <w:fldChar w:fldCharType="separate"/>
      </w:r>
      <w:r w:rsidR="00940312">
        <w:rPr>
          <w:noProof/>
        </w:rPr>
        <w:t>54</w:t>
      </w:r>
      <w:r>
        <w:fldChar w:fldCharType="end"/>
      </w:r>
      <w:bookmarkEnd w:id="290"/>
      <w:r w:rsidR="007B56CE" w:rsidRPr="00E77CCF">
        <w:t xml:space="preserve">. </w:t>
      </w:r>
      <w:r w:rsidR="007B56CE">
        <w:t>Mean non-t</w:t>
      </w:r>
      <w:r w:rsidR="007B56CE" w:rsidRPr="00E77CCF">
        <w:t>argeted (</w:t>
      </w:r>
      <w:r w:rsidR="007B56CE">
        <w:t xml:space="preserve">top) and </w:t>
      </w:r>
      <w:r w:rsidR="007B56CE" w:rsidRPr="00E77CCF">
        <w:t>targeted (</w:t>
      </w:r>
      <w:r w:rsidR="007B56CE">
        <w:t>bottom</w:t>
      </w:r>
      <w:r w:rsidR="007B56CE" w:rsidRPr="00E77CCF">
        <w:t>) electrof</w:t>
      </w:r>
      <w:r w:rsidR="007B56CE">
        <w:t xml:space="preserve">ishing catch-per-unit-effort (CPUE) ± S.E. of Murray cod in the weir pools downstream of Locks 2, 3, 4 and 5 of the </w:t>
      </w:r>
      <w:r w:rsidR="008C22A9" w:rsidRPr="00607412">
        <w:t>L</w:t>
      </w:r>
      <w:r w:rsidR="008C22A9">
        <w:t xml:space="preserve">ower </w:t>
      </w:r>
      <w:r w:rsidR="008C22A9" w:rsidRPr="00607412">
        <w:t>M</w:t>
      </w:r>
      <w:r w:rsidR="008C22A9">
        <w:t xml:space="preserve">urray </w:t>
      </w:r>
      <w:r w:rsidR="008C22A9" w:rsidRPr="00607412">
        <w:t>R</w:t>
      </w:r>
      <w:r w:rsidR="008C22A9">
        <w:t>iver</w:t>
      </w:r>
      <w:r w:rsidR="007B56CE" w:rsidRPr="00E77CCF">
        <w:t>.</w:t>
      </w:r>
      <w:r w:rsidR="007B56CE">
        <w:t xml:space="preserve"> Dashed bars represent the proportion of YOY to the total CPUE. Note the different scales on the CPUE-axis for the different methods of electrofishing.</w:t>
      </w:r>
      <w:r w:rsidR="009A4875">
        <w:t xml:space="preserve"> See Tables D15 and D16 in Appendix D for statistics.</w:t>
      </w:r>
      <w:bookmarkEnd w:id="291"/>
    </w:p>
    <w:p w14:paraId="56EB3B77" w14:textId="77777777" w:rsidR="007B56CE" w:rsidRDefault="007B56CE" w:rsidP="007B56CE">
      <w:pPr>
        <w:jc w:val="center"/>
      </w:pPr>
      <w:r w:rsidRPr="00054276">
        <w:rPr>
          <w:noProof/>
          <w:lang w:eastAsia="en-AU"/>
        </w:rPr>
        <w:drawing>
          <wp:inline distT="0" distB="0" distL="0" distR="0" wp14:anchorId="37D4400E" wp14:editId="64AA2C41">
            <wp:extent cx="5973232" cy="7219507"/>
            <wp:effectExtent l="0" t="0" r="8890" b="63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06" cstate="email">
                      <a:extLst>
                        <a:ext uri="{28A0092B-C50C-407E-A947-70E740481C1C}">
                          <a14:useLocalDpi xmlns:a14="http://schemas.microsoft.com/office/drawing/2010/main"/>
                        </a:ext>
                      </a:extLst>
                    </a:blip>
                    <a:srcRect t="1176" r="9653"/>
                    <a:stretch/>
                  </pic:blipFill>
                  <pic:spPr bwMode="auto">
                    <a:xfrm>
                      <a:off x="0" y="0"/>
                      <a:ext cx="5983454" cy="7231861"/>
                    </a:xfrm>
                    <a:prstGeom prst="rect">
                      <a:avLst/>
                    </a:prstGeom>
                    <a:noFill/>
                    <a:ln>
                      <a:noFill/>
                    </a:ln>
                    <a:extLst>
                      <a:ext uri="{53640926-AAD7-44D8-BBD7-CCE9431645EC}">
                        <a14:shadowObscured xmlns:a14="http://schemas.microsoft.com/office/drawing/2010/main"/>
                      </a:ext>
                    </a:extLst>
                  </pic:spPr>
                </pic:pic>
              </a:graphicData>
            </a:graphic>
          </wp:inline>
        </w:drawing>
      </w:r>
    </w:p>
    <w:p w14:paraId="7ADE4F61" w14:textId="354B8DAE" w:rsidR="00A17284" w:rsidRDefault="00A34010" w:rsidP="00F8184E">
      <w:pPr>
        <w:pStyle w:val="Captions"/>
        <w:rPr>
          <w:noProof/>
          <w:lang w:eastAsia="en-AU"/>
        </w:rPr>
      </w:pPr>
      <w:bookmarkStart w:id="292" w:name="_Ref57899437"/>
      <w:bookmarkStart w:id="293" w:name="_Toc69387719"/>
      <w:r>
        <w:t xml:space="preserve">Figure </w:t>
      </w:r>
      <w:r>
        <w:fldChar w:fldCharType="begin"/>
      </w:r>
      <w:r>
        <w:instrText xml:space="preserve"> SEQ Figure \* ARABIC </w:instrText>
      </w:r>
      <w:r>
        <w:fldChar w:fldCharType="separate"/>
      </w:r>
      <w:r w:rsidR="00940312">
        <w:rPr>
          <w:noProof/>
        </w:rPr>
        <w:t>55</w:t>
      </w:r>
      <w:r>
        <w:fldChar w:fldCharType="end"/>
      </w:r>
      <w:bookmarkEnd w:id="292"/>
      <w:r w:rsidR="007B56CE" w:rsidRPr="00B62EFA">
        <w:t>.</w:t>
      </w:r>
      <w:r w:rsidR="007B56CE">
        <w:t xml:space="preserve"> Total l</w:t>
      </w:r>
      <w:r w:rsidR="007B56CE" w:rsidRPr="00B62EFA">
        <w:t>ength</w:t>
      </w:r>
      <w:r w:rsidR="007B56CE">
        <w:t xml:space="preserve"> (TL)</w:t>
      </w:r>
      <w:r w:rsidR="007B56CE" w:rsidRPr="00B62EFA">
        <w:t xml:space="preserve"> frequencies of Murray cod</w:t>
      </w:r>
      <w:r w:rsidR="007B56CE">
        <w:t xml:space="preserve"> in the main channel of the </w:t>
      </w:r>
      <w:r w:rsidR="008C22A9" w:rsidRPr="00607412">
        <w:t>L</w:t>
      </w:r>
      <w:r w:rsidR="008C22A9">
        <w:t xml:space="preserve">ower </w:t>
      </w:r>
      <w:r w:rsidR="008C22A9" w:rsidRPr="00607412">
        <w:t>M</w:t>
      </w:r>
      <w:r w:rsidR="008C22A9">
        <w:t xml:space="preserve">urray </w:t>
      </w:r>
      <w:r w:rsidR="008C22A9" w:rsidRPr="00607412">
        <w:t>R</w:t>
      </w:r>
      <w:r w:rsidR="008C22A9">
        <w:t>iver</w:t>
      </w:r>
      <w:r w:rsidR="007B56CE">
        <w:t xml:space="preserve"> during autumn/winter from 2013–2020</w:t>
      </w:r>
      <w:r w:rsidR="007B56CE" w:rsidRPr="00B62EFA">
        <w:t>.</w:t>
      </w:r>
      <w:bookmarkEnd w:id="293"/>
    </w:p>
    <w:p w14:paraId="5C17FC88" w14:textId="77777777" w:rsidR="00846CBB" w:rsidRDefault="00846CBB" w:rsidP="00846CBB"/>
    <w:p w14:paraId="41A91A8F" w14:textId="77777777" w:rsidR="00A17284" w:rsidRDefault="00A17284" w:rsidP="00516DDE"/>
    <w:p w14:paraId="598207A8" w14:textId="77777777" w:rsidR="00A17284" w:rsidRDefault="00A17284">
      <w:pPr>
        <w:spacing w:before="0" w:after="160" w:line="259" w:lineRule="auto"/>
        <w:jc w:val="left"/>
        <w:rPr>
          <w:rFonts w:eastAsiaTheme="majorEastAsia" w:cstheme="majorBidi"/>
          <w:b/>
          <w:i/>
          <w:color w:val="44546A" w:themeColor="text2"/>
          <w:sz w:val="24"/>
          <w:szCs w:val="24"/>
        </w:rPr>
      </w:pPr>
      <w:r>
        <w:br w:type="page"/>
      </w:r>
    </w:p>
    <w:p w14:paraId="755F9196" w14:textId="6674DD4E" w:rsidR="00846CBB" w:rsidRDefault="00846CBB" w:rsidP="00846CBB">
      <w:pPr>
        <w:pStyle w:val="Heading3"/>
      </w:pPr>
      <w:r>
        <w:t>Evaluation</w:t>
      </w:r>
    </w:p>
    <w:p w14:paraId="6E61255F" w14:textId="74C2C0B0" w:rsidR="00846CBB" w:rsidRDefault="00846CBB" w:rsidP="00846CBB">
      <w:r>
        <w:t xml:space="preserve">The evaluation approach, including assessment criteria, is described in the evaluation section for </w:t>
      </w:r>
      <w:r w:rsidR="00855E31">
        <w:t>H</w:t>
      </w:r>
      <w:r w:rsidR="00B10E73">
        <w:t>ydr</w:t>
      </w:r>
      <w:r w:rsidR="001522FE">
        <w:t>aulic</w:t>
      </w:r>
      <w:r w:rsidR="00B10E73">
        <w:t xml:space="preserve"> </w:t>
      </w:r>
      <w:r w:rsidR="00855E31">
        <w:t>R</w:t>
      </w:r>
      <w:r w:rsidR="00B10E73">
        <w:t xml:space="preserve">egime (Section </w:t>
      </w:r>
      <w:r w:rsidR="00B10E73">
        <w:fldChar w:fldCharType="begin"/>
      </w:r>
      <w:r w:rsidR="00B10E73">
        <w:instrText xml:space="preserve"> REF _Ref35872226 \r \h  \* MERGEFORMAT </w:instrText>
      </w:r>
      <w:r w:rsidR="00B10E73">
        <w:fldChar w:fldCharType="separate"/>
      </w:r>
      <w:r w:rsidR="00241910">
        <w:t>2.1</w:t>
      </w:r>
      <w:r w:rsidR="00B10E73">
        <w:fldChar w:fldCharType="end"/>
      </w:r>
      <w:r w:rsidR="00B10E73">
        <w:t>)</w:t>
      </w:r>
      <w:r>
        <w:t>.</w:t>
      </w:r>
      <w:r w:rsidR="00BB3D8E">
        <w:t xml:space="preserve"> The assessment</w:t>
      </w:r>
      <w:r w:rsidR="00B10E73">
        <w:t xml:space="preserve"> for Murray cod </w:t>
      </w:r>
      <w:r w:rsidR="00DA1F1C">
        <w:t>recruitment</w:t>
      </w:r>
      <w:r w:rsidR="00BB3D8E">
        <w:t xml:space="preserve"> </w:t>
      </w:r>
      <w:r w:rsidR="00B10E73">
        <w:t>in</w:t>
      </w:r>
      <w:r w:rsidR="00BB3D8E">
        <w:t xml:space="preserve"> 2019-20 </w:t>
      </w:r>
      <w:r w:rsidR="00DE5BE0">
        <w:t xml:space="preserve">took </w:t>
      </w:r>
      <w:r w:rsidR="00DE7BB3">
        <w:t>a conservative approach and is likely to vary in future based on further analysis as additional annual data are added and findings from the allied research project are integrated</w:t>
      </w:r>
      <w:r w:rsidR="00BB3D8E">
        <w:t>.</w:t>
      </w:r>
    </w:p>
    <w:p w14:paraId="1FE38D59" w14:textId="48FB962C" w:rsidR="00846CBB" w:rsidRPr="001D41FE" w:rsidRDefault="00846CBB" w:rsidP="00846CBB">
      <w:pPr>
        <w:pStyle w:val="Caption"/>
        <w:rPr>
          <w:lang w:val="en-US"/>
        </w:rPr>
      </w:pPr>
      <w:bookmarkStart w:id="294" w:name="_Toc69387751"/>
      <w:r>
        <w:t xml:space="preserve">Table </w:t>
      </w:r>
      <w:r>
        <w:rPr>
          <w:noProof/>
        </w:rPr>
        <w:fldChar w:fldCharType="begin"/>
      </w:r>
      <w:r>
        <w:rPr>
          <w:noProof/>
        </w:rPr>
        <w:instrText xml:space="preserve"> SEQ Table \* ARABIC </w:instrText>
      </w:r>
      <w:r>
        <w:rPr>
          <w:noProof/>
        </w:rPr>
        <w:fldChar w:fldCharType="separate"/>
      </w:r>
      <w:r w:rsidR="00002263">
        <w:rPr>
          <w:noProof/>
        </w:rPr>
        <w:t>22</w:t>
      </w:r>
      <w:r>
        <w:rPr>
          <w:noProof/>
        </w:rPr>
        <w:fldChar w:fldCharType="end"/>
      </w:r>
      <w:r>
        <w:rPr>
          <w:noProof/>
        </w:rPr>
        <w:t>.</w:t>
      </w:r>
      <w:r>
        <w:t xml:space="preserve"> Murray Cod Recruitment evaluation questions and answers. CEW = Commonwealth environmental water, eWater = environmental water.</w:t>
      </w:r>
      <w:bookmarkEnd w:id="29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29"/>
        <w:gridCol w:w="6187"/>
      </w:tblGrid>
      <w:tr w:rsidR="00846CBB" w:rsidRPr="0041543F" w14:paraId="74AAAA9E" w14:textId="77777777" w:rsidTr="00570FDD">
        <w:trPr>
          <w:cantSplit/>
          <w:trHeight w:val="415"/>
          <w:tblHeader/>
        </w:trPr>
        <w:tc>
          <w:tcPr>
            <w:tcW w:w="1569" w:type="pct"/>
            <w:tcBorders>
              <w:top w:val="single" w:sz="4" w:space="0" w:color="auto"/>
              <w:left w:val="single" w:sz="4" w:space="0" w:color="auto"/>
              <w:right w:val="single" w:sz="4" w:space="0" w:color="auto"/>
            </w:tcBorders>
          </w:tcPr>
          <w:p w14:paraId="77B24F18" w14:textId="77777777" w:rsidR="00846CBB" w:rsidRPr="0041543F" w:rsidRDefault="00846CBB" w:rsidP="00333722">
            <w:pPr>
              <w:pStyle w:val="TableHeading"/>
              <w:jc w:val="center"/>
              <w:rPr>
                <w:sz w:val="19"/>
                <w:szCs w:val="19"/>
              </w:rPr>
            </w:pPr>
            <w:bookmarkStart w:id="295" w:name="_Hlk58920469"/>
            <w:r w:rsidRPr="0041543F">
              <w:rPr>
                <w:sz w:val="19"/>
                <w:szCs w:val="19"/>
              </w:rPr>
              <w:t xml:space="preserve">CEWO evaluation questions </w:t>
            </w:r>
          </w:p>
        </w:tc>
        <w:tc>
          <w:tcPr>
            <w:tcW w:w="3431" w:type="pct"/>
            <w:tcBorders>
              <w:top w:val="single" w:sz="4" w:space="0" w:color="auto"/>
              <w:left w:val="single" w:sz="4" w:space="0" w:color="auto"/>
              <w:right w:val="single" w:sz="4" w:space="0" w:color="auto"/>
            </w:tcBorders>
          </w:tcPr>
          <w:p w14:paraId="0E913BAA" w14:textId="77777777" w:rsidR="00846CBB" w:rsidRPr="0041543F" w:rsidRDefault="00846CBB" w:rsidP="00333722">
            <w:pPr>
              <w:pStyle w:val="TableHeading"/>
              <w:jc w:val="center"/>
              <w:rPr>
                <w:sz w:val="19"/>
                <w:szCs w:val="19"/>
              </w:rPr>
            </w:pPr>
            <w:r w:rsidRPr="0041543F">
              <w:rPr>
                <w:sz w:val="19"/>
                <w:szCs w:val="19"/>
              </w:rPr>
              <w:t>Outcomes of CEW</w:t>
            </w:r>
            <w:r>
              <w:rPr>
                <w:sz w:val="19"/>
                <w:szCs w:val="19"/>
              </w:rPr>
              <w:t xml:space="preserve"> delivery (2019-20)</w:t>
            </w:r>
          </w:p>
        </w:tc>
      </w:tr>
      <w:tr w:rsidR="00DE7BB3" w:rsidRPr="0041543F" w14:paraId="76470F71" w14:textId="77777777" w:rsidTr="00570FDD">
        <w:trPr>
          <w:cantSplit/>
          <w:trHeight w:val="1616"/>
        </w:trPr>
        <w:tc>
          <w:tcPr>
            <w:tcW w:w="1569" w:type="pct"/>
            <w:tcBorders>
              <w:top w:val="single" w:sz="4" w:space="0" w:color="auto"/>
              <w:left w:val="single" w:sz="4" w:space="0" w:color="auto"/>
              <w:bottom w:val="single" w:sz="4" w:space="0" w:color="auto"/>
              <w:right w:val="single" w:sz="4" w:space="0" w:color="auto"/>
            </w:tcBorders>
          </w:tcPr>
          <w:p w14:paraId="526062A3" w14:textId="155C1999" w:rsidR="00DE7BB3" w:rsidRPr="002B6ECA" w:rsidRDefault="00DE7BB3" w:rsidP="00DE7BB3">
            <w:pPr>
              <w:pStyle w:val="TableHeading"/>
              <w:jc w:val="left"/>
              <w:rPr>
                <w:b w:val="0"/>
                <w:sz w:val="19"/>
                <w:szCs w:val="19"/>
              </w:rPr>
            </w:pPr>
            <w:r w:rsidRPr="00846CBB">
              <w:rPr>
                <w:b w:val="0"/>
                <w:sz w:val="19"/>
                <w:szCs w:val="19"/>
              </w:rPr>
              <w:t xml:space="preserve">What did </w:t>
            </w:r>
            <w:r>
              <w:rPr>
                <w:b w:val="0"/>
                <w:sz w:val="19"/>
                <w:szCs w:val="19"/>
              </w:rPr>
              <w:t>CEW</w:t>
            </w:r>
            <w:r w:rsidRPr="00846CBB">
              <w:rPr>
                <w:b w:val="0"/>
                <w:sz w:val="19"/>
                <w:szCs w:val="19"/>
              </w:rPr>
              <w:t xml:space="preserve"> contribute to the growth and morphometric condition of Murray cod?</w:t>
            </w:r>
          </w:p>
        </w:tc>
        <w:tc>
          <w:tcPr>
            <w:tcW w:w="343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6B4EF24" w14:textId="03309E33" w:rsidR="00DE7BB3" w:rsidRPr="006B04FA" w:rsidRDefault="00DE7BB3" w:rsidP="00DE7BB3">
            <w:pPr>
              <w:pStyle w:val="TableHeading"/>
              <w:jc w:val="left"/>
              <w:rPr>
                <w:b w:val="0"/>
                <w:sz w:val="19"/>
                <w:szCs w:val="19"/>
              </w:rPr>
            </w:pPr>
            <w:r w:rsidRPr="006B04FA">
              <w:rPr>
                <w:b w:val="0"/>
                <w:sz w:val="19"/>
                <w:szCs w:val="19"/>
              </w:rPr>
              <w:t xml:space="preserve">The influence of </w:t>
            </w:r>
            <w:r>
              <w:rPr>
                <w:b w:val="0"/>
                <w:sz w:val="19"/>
                <w:szCs w:val="19"/>
              </w:rPr>
              <w:t xml:space="preserve">CEW on the growth and condition of Murray cod in 2019-20 is unknown. Increased flows (including CEW) during the spawning/early larval period, however, may have improved </w:t>
            </w:r>
            <w:r w:rsidR="00EA638D">
              <w:rPr>
                <w:b w:val="0"/>
                <w:sz w:val="19"/>
                <w:szCs w:val="19"/>
              </w:rPr>
              <w:t xml:space="preserve">food resources (e.g. </w:t>
            </w:r>
            <w:proofErr w:type="spellStart"/>
            <w:r w:rsidR="00EA638D">
              <w:rPr>
                <w:b w:val="0"/>
                <w:sz w:val="19"/>
                <w:szCs w:val="19"/>
              </w:rPr>
              <w:t>microinvertebrates</w:t>
            </w:r>
            <w:proofErr w:type="spellEnd"/>
            <w:r w:rsidR="00EA638D">
              <w:rPr>
                <w:b w:val="0"/>
                <w:sz w:val="19"/>
                <w:szCs w:val="19"/>
              </w:rPr>
              <w:t xml:space="preserve">) </w:t>
            </w:r>
            <w:r>
              <w:rPr>
                <w:b w:val="0"/>
                <w:sz w:val="19"/>
                <w:szCs w:val="19"/>
              </w:rPr>
              <w:t>that in part supported survival of larvae. Nonetheless, CEW</w:t>
            </w:r>
            <w:r w:rsidRPr="00DB06B5">
              <w:rPr>
                <w:b w:val="0"/>
                <w:sz w:val="19"/>
                <w:szCs w:val="19"/>
              </w:rPr>
              <w:t xml:space="preserve"> likely had negligible </w:t>
            </w:r>
            <w:r>
              <w:rPr>
                <w:b w:val="0"/>
                <w:sz w:val="19"/>
                <w:szCs w:val="19"/>
              </w:rPr>
              <w:t xml:space="preserve">or minor </w:t>
            </w:r>
            <w:r w:rsidRPr="00DB06B5">
              <w:rPr>
                <w:b w:val="0"/>
                <w:sz w:val="19"/>
                <w:szCs w:val="19"/>
              </w:rPr>
              <w:t xml:space="preserve">influence </w:t>
            </w:r>
            <w:r>
              <w:rPr>
                <w:b w:val="0"/>
                <w:sz w:val="19"/>
                <w:szCs w:val="19"/>
              </w:rPr>
              <w:t>on later growth as there was</w:t>
            </w:r>
            <w:r w:rsidRPr="00DB06B5">
              <w:rPr>
                <w:b w:val="0"/>
                <w:sz w:val="19"/>
                <w:szCs w:val="19"/>
              </w:rPr>
              <w:t xml:space="preserve"> </w:t>
            </w:r>
            <w:r>
              <w:rPr>
                <w:b w:val="0"/>
                <w:sz w:val="19"/>
                <w:szCs w:val="19"/>
              </w:rPr>
              <w:t xml:space="preserve">minimal CEW </w:t>
            </w:r>
            <w:r w:rsidRPr="00DB06B5">
              <w:rPr>
                <w:b w:val="0"/>
                <w:sz w:val="19"/>
                <w:szCs w:val="19"/>
              </w:rPr>
              <w:t>delivery post-November</w:t>
            </w:r>
            <w:r>
              <w:rPr>
                <w:b w:val="0"/>
                <w:sz w:val="19"/>
                <w:szCs w:val="19"/>
              </w:rPr>
              <w:t xml:space="preserve"> 2020.</w:t>
            </w:r>
          </w:p>
        </w:tc>
      </w:tr>
      <w:tr w:rsidR="00DE7BB3" w:rsidRPr="0041543F" w14:paraId="076DB660" w14:textId="77777777" w:rsidTr="00570FDD">
        <w:trPr>
          <w:cantSplit/>
          <w:trHeight w:val="1193"/>
        </w:trPr>
        <w:tc>
          <w:tcPr>
            <w:tcW w:w="1569" w:type="pct"/>
            <w:tcBorders>
              <w:top w:val="single" w:sz="4" w:space="0" w:color="auto"/>
              <w:left w:val="single" w:sz="4" w:space="0" w:color="auto"/>
              <w:bottom w:val="single" w:sz="4" w:space="0" w:color="auto"/>
              <w:right w:val="single" w:sz="4" w:space="0" w:color="auto"/>
            </w:tcBorders>
          </w:tcPr>
          <w:p w14:paraId="1F285A50" w14:textId="73CF19B8" w:rsidR="00DE7BB3" w:rsidRPr="00BE09D3" w:rsidRDefault="00DE7BB3" w:rsidP="00DE7BB3">
            <w:pPr>
              <w:pStyle w:val="TableHeading"/>
              <w:jc w:val="left"/>
              <w:rPr>
                <w:b w:val="0"/>
                <w:sz w:val="19"/>
                <w:szCs w:val="19"/>
              </w:rPr>
            </w:pPr>
            <w:r w:rsidRPr="00846CBB">
              <w:rPr>
                <w:b w:val="0"/>
                <w:sz w:val="19"/>
                <w:szCs w:val="19"/>
              </w:rPr>
              <w:t xml:space="preserve">What did </w:t>
            </w:r>
            <w:r>
              <w:rPr>
                <w:b w:val="0"/>
                <w:sz w:val="19"/>
                <w:szCs w:val="19"/>
              </w:rPr>
              <w:t>CEW</w:t>
            </w:r>
            <w:r w:rsidRPr="00846CBB">
              <w:rPr>
                <w:b w:val="0"/>
                <w:sz w:val="19"/>
                <w:szCs w:val="19"/>
              </w:rPr>
              <w:t xml:space="preserve"> contribute to recruitment of Murray cod?</w:t>
            </w:r>
          </w:p>
        </w:tc>
        <w:tc>
          <w:tcPr>
            <w:tcW w:w="343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A1D7711" w14:textId="25EFDC5C" w:rsidR="00DE7BB3" w:rsidRPr="006B04FA" w:rsidRDefault="00DE7BB3" w:rsidP="00DE7BB3">
            <w:pPr>
              <w:pStyle w:val="TableHeading"/>
              <w:jc w:val="left"/>
              <w:rPr>
                <w:b w:val="0"/>
                <w:sz w:val="19"/>
                <w:szCs w:val="19"/>
              </w:rPr>
            </w:pPr>
            <w:r w:rsidRPr="006B04FA">
              <w:rPr>
                <w:b w:val="0"/>
                <w:sz w:val="19"/>
                <w:szCs w:val="19"/>
              </w:rPr>
              <w:t xml:space="preserve">The influence of </w:t>
            </w:r>
            <w:r>
              <w:rPr>
                <w:b w:val="0"/>
                <w:sz w:val="19"/>
                <w:szCs w:val="19"/>
              </w:rPr>
              <w:t xml:space="preserve">CEW on the recruitment of Murray cod in 2019-20 </w:t>
            </w:r>
            <w:bookmarkStart w:id="296" w:name="_Hlk63978883"/>
            <w:r>
              <w:rPr>
                <w:b w:val="0"/>
                <w:sz w:val="19"/>
                <w:szCs w:val="19"/>
              </w:rPr>
              <w:t>remain</w:t>
            </w:r>
            <w:r w:rsidR="004552E5">
              <w:rPr>
                <w:b w:val="0"/>
                <w:sz w:val="19"/>
                <w:szCs w:val="19"/>
              </w:rPr>
              <w:t>s</w:t>
            </w:r>
            <w:r>
              <w:rPr>
                <w:b w:val="0"/>
                <w:sz w:val="19"/>
                <w:szCs w:val="19"/>
              </w:rPr>
              <w:t xml:space="preserve"> unquantified. Nevertheless, increased flows (including CEW) during the spawning/early larval period may have benefited Murray cod by increasing the extent and duration of lotic habitat, potentially enhancing spawning habitat area and survival of early life stages.</w:t>
            </w:r>
            <w:bookmarkEnd w:id="296"/>
          </w:p>
        </w:tc>
      </w:tr>
      <w:tr w:rsidR="00846CBB" w:rsidRPr="0041543F" w14:paraId="5C9C6635" w14:textId="77777777" w:rsidTr="00570FDD">
        <w:trPr>
          <w:cantSplit/>
          <w:trHeight w:val="1425"/>
        </w:trPr>
        <w:tc>
          <w:tcPr>
            <w:tcW w:w="1569" w:type="pct"/>
            <w:tcBorders>
              <w:top w:val="single" w:sz="4" w:space="0" w:color="auto"/>
              <w:left w:val="single" w:sz="4" w:space="0" w:color="auto"/>
              <w:right w:val="single" w:sz="4" w:space="0" w:color="auto"/>
            </w:tcBorders>
          </w:tcPr>
          <w:p w14:paraId="32FEBE1D" w14:textId="5F06EA22" w:rsidR="00846CBB" w:rsidRPr="00846CBB" w:rsidRDefault="00846CBB" w:rsidP="00846CBB">
            <w:pPr>
              <w:pStyle w:val="TableHeading"/>
              <w:jc w:val="left"/>
              <w:rPr>
                <w:b w:val="0"/>
                <w:sz w:val="19"/>
                <w:szCs w:val="19"/>
              </w:rPr>
            </w:pPr>
            <w:r w:rsidRPr="00846CBB">
              <w:rPr>
                <w:b w:val="0"/>
                <w:sz w:val="19"/>
                <w:szCs w:val="19"/>
              </w:rPr>
              <w:t xml:space="preserve">What did </w:t>
            </w:r>
            <w:r>
              <w:rPr>
                <w:b w:val="0"/>
                <w:sz w:val="19"/>
                <w:szCs w:val="19"/>
              </w:rPr>
              <w:t>CEW</w:t>
            </w:r>
            <w:r w:rsidRPr="00846CBB">
              <w:rPr>
                <w:b w:val="0"/>
                <w:sz w:val="19"/>
                <w:szCs w:val="19"/>
              </w:rPr>
              <w:t xml:space="preserve"> contribute to the resilience of Murray cod populations?</w:t>
            </w:r>
          </w:p>
        </w:tc>
        <w:tc>
          <w:tcPr>
            <w:tcW w:w="3431" w:type="pct"/>
            <w:tcBorders>
              <w:top w:val="single" w:sz="4" w:space="0" w:color="auto"/>
              <w:left w:val="single" w:sz="4" w:space="0" w:color="auto"/>
              <w:right w:val="single" w:sz="4" w:space="0" w:color="auto"/>
            </w:tcBorders>
            <w:shd w:val="clear" w:color="auto" w:fill="D9D9D9" w:themeFill="background1" w:themeFillShade="D9"/>
          </w:tcPr>
          <w:p w14:paraId="71D03C0B" w14:textId="1B0A9F64" w:rsidR="00846CBB" w:rsidRPr="006B04FA" w:rsidRDefault="006B04FA" w:rsidP="00333722">
            <w:pPr>
              <w:pStyle w:val="TableHeading"/>
              <w:jc w:val="left"/>
              <w:rPr>
                <w:b w:val="0"/>
                <w:sz w:val="19"/>
                <w:szCs w:val="19"/>
              </w:rPr>
            </w:pPr>
            <w:r w:rsidRPr="006B04FA">
              <w:rPr>
                <w:b w:val="0"/>
                <w:sz w:val="19"/>
                <w:szCs w:val="19"/>
              </w:rPr>
              <w:t>N/A*</w:t>
            </w:r>
          </w:p>
        </w:tc>
      </w:tr>
    </w:tbl>
    <w:bookmarkEnd w:id="295"/>
    <w:p w14:paraId="16FA2345" w14:textId="2E598696" w:rsidR="00846CBB" w:rsidRDefault="006B04FA" w:rsidP="00846CBB">
      <w:pPr>
        <w:pStyle w:val="NoSpacing"/>
        <w:rPr>
          <w:rFonts w:ascii="Century Gothic" w:hAnsi="Century Gothic"/>
          <w:sz w:val="19"/>
          <w:szCs w:val="19"/>
        </w:rPr>
      </w:pPr>
      <w:r>
        <w:rPr>
          <w:rFonts w:ascii="Century Gothic" w:hAnsi="Century Gothic"/>
          <w:sz w:val="19"/>
          <w:szCs w:val="19"/>
        </w:rPr>
        <w:t xml:space="preserve">*The influence of CEW on the resilience of Murray cod populations will be assessed </w:t>
      </w:r>
      <w:r w:rsidR="006B4D0D">
        <w:rPr>
          <w:rFonts w:ascii="Century Gothic" w:hAnsi="Century Gothic"/>
          <w:sz w:val="19"/>
          <w:szCs w:val="19"/>
        </w:rPr>
        <w:t>b</w:t>
      </w:r>
      <w:r>
        <w:rPr>
          <w:rFonts w:ascii="Century Gothic" w:hAnsi="Century Gothic"/>
          <w:sz w:val="19"/>
          <w:szCs w:val="19"/>
        </w:rPr>
        <w:t>as</w:t>
      </w:r>
      <w:r w:rsidR="006B4D0D">
        <w:rPr>
          <w:rFonts w:ascii="Century Gothic" w:hAnsi="Century Gothic"/>
          <w:sz w:val="19"/>
          <w:szCs w:val="19"/>
        </w:rPr>
        <w:t>ed on its contribution to</w:t>
      </w:r>
      <w:r w:rsidR="00807502">
        <w:rPr>
          <w:rFonts w:ascii="Century Gothic" w:hAnsi="Century Gothic"/>
          <w:sz w:val="19"/>
          <w:szCs w:val="19"/>
        </w:rPr>
        <w:t xml:space="preserve"> </w:t>
      </w:r>
      <w:r w:rsidR="00DA1F1C">
        <w:rPr>
          <w:rFonts w:ascii="Century Gothic" w:hAnsi="Century Gothic"/>
          <w:sz w:val="19"/>
          <w:szCs w:val="19"/>
        </w:rPr>
        <w:t>length/</w:t>
      </w:r>
      <w:r w:rsidR="00807502">
        <w:rPr>
          <w:rFonts w:ascii="Century Gothic" w:hAnsi="Century Gothic"/>
          <w:sz w:val="19"/>
          <w:szCs w:val="19"/>
        </w:rPr>
        <w:t>age structure</w:t>
      </w:r>
      <w:r>
        <w:rPr>
          <w:rFonts w:ascii="Century Gothic" w:hAnsi="Century Gothic"/>
          <w:sz w:val="19"/>
          <w:szCs w:val="19"/>
        </w:rPr>
        <w:t xml:space="preserve"> in future years.</w:t>
      </w:r>
    </w:p>
    <w:p w14:paraId="75F954D6" w14:textId="77777777" w:rsidR="006B04FA" w:rsidRPr="006B04FA" w:rsidRDefault="006B04FA" w:rsidP="00846CBB">
      <w:pPr>
        <w:pStyle w:val="NoSpacing"/>
        <w:rPr>
          <w:rFonts w:ascii="Century Gothic" w:hAnsi="Century Gothic"/>
          <w:sz w:val="4"/>
          <w:szCs w:val="4"/>
        </w:rPr>
      </w:pPr>
    </w:p>
    <w:p w14:paraId="1527CFDB" w14:textId="77777777" w:rsidR="00846CBB" w:rsidRPr="00BF0490" w:rsidRDefault="00846CBB" w:rsidP="00846CBB">
      <w:pPr>
        <w:spacing w:before="0" w:after="0" w:line="240" w:lineRule="auto"/>
        <w:jc w:val="left"/>
        <w:rPr>
          <w:color w:val="auto"/>
          <w:kern w:val="0"/>
          <w:sz w:val="19"/>
          <w:szCs w:val="19"/>
          <w:lang w:val="en-US" w:bidi="en-US"/>
        </w:rPr>
      </w:pPr>
      <w:r w:rsidRPr="00BF0490">
        <w:rPr>
          <w:color w:val="auto"/>
          <w:kern w:val="0"/>
          <w:sz w:val="19"/>
          <w:szCs w:val="19"/>
          <w:lang w:val="en-US" w:bidi="en-US"/>
        </w:rPr>
        <w:t>Contribution (to what extent CEW contributed towards the outcome, with the significance of the outcome considered):</w:t>
      </w:r>
    </w:p>
    <w:tbl>
      <w:tblPr>
        <w:tblW w:w="7278" w:type="dxa"/>
        <w:tblLook w:val="04A0" w:firstRow="1" w:lastRow="0" w:firstColumn="1" w:lastColumn="0" w:noHBand="0" w:noVBand="1"/>
      </w:tblPr>
      <w:tblGrid>
        <w:gridCol w:w="222"/>
        <w:gridCol w:w="1066"/>
        <w:gridCol w:w="222"/>
        <w:gridCol w:w="1069"/>
        <w:gridCol w:w="222"/>
        <w:gridCol w:w="1704"/>
        <w:gridCol w:w="222"/>
        <w:gridCol w:w="727"/>
        <w:gridCol w:w="222"/>
        <w:gridCol w:w="1144"/>
        <w:gridCol w:w="222"/>
        <w:gridCol w:w="1210"/>
      </w:tblGrid>
      <w:tr w:rsidR="00846CBB" w:rsidRPr="00BF0490" w14:paraId="5A51C09C" w14:textId="77777777" w:rsidTr="00333722">
        <w:tc>
          <w:tcPr>
            <w:tcW w:w="222" w:type="dxa"/>
            <w:shd w:val="clear" w:color="auto" w:fill="D9D9D9" w:themeFill="background1" w:themeFillShade="D9"/>
          </w:tcPr>
          <w:p w14:paraId="335DCA78" w14:textId="77777777" w:rsidR="00846CBB" w:rsidRPr="00BF0490" w:rsidRDefault="00846CBB" w:rsidP="00333722">
            <w:pPr>
              <w:contextualSpacing/>
              <w:rPr>
                <w:sz w:val="19"/>
                <w:szCs w:val="19"/>
              </w:rPr>
            </w:pPr>
          </w:p>
        </w:tc>
        <w:tc>
          <w:tcPr>
            <w:tcW w:w="1066" w:type="dxa"/>
            <w:vAlign w:val="center"/>
          </w:tcPr>
          <w:p w14:paraId="302D2321" w14:textId="77777777" w:rsidR="00846CBB" w:rsidRPr="00BF0490" w:rsidRDefault="00846CBB" w:rsidP="00333722">
            <w:pPr>
              <w:contextualSpacing/>
              <w:rPr>
                <w:sz w:val="19"/>
                <w:szCs w:val="19"/>
              </w:rPr>
            </w:pPr>
            <w:r w:rsidRPr="00BF0490">
              <w:rPr>
                <w:sz w:val="19"/>
                <w:szCs w:val="19"/>
              </w:rPr>
              <w:t>Unknown</w:t>
            </w:r>
          </w:p>
        </w:tc>
        <w:tc>
          <w:tcPr>
            <w:tcW w:w="222" w:type="dxa"/>
            <w:shd w:val="clear" w:color="auto" w:fill="FF0000"/>
            <w:vAlign w:val="center"/>
          </w:tcPr>
          <w:p w14:paraId="4EA9720B" w14:textId="77777777" w:rsidR="00846CBB" w:rsidRPr="00BF0490" w:rsidRDefault="00846CBB" w:rsidP="00333722">
            <w:pPr>
              <w:contextualSpacing/>
              <w:rPr>
                <w:sz w:val="19"/>
                <w:szCs w:val="19"/>
              </w:rPr>
            </w:pPr>
          </w:p>
        </w:tc>
        <w:tc>
          <w:tcPr>
            <w:tcW w:w="1069" w:type="dxa"/>
            <w:vAlign w:val="center"/>
          </w:tcPr>
          <w:p w14:paraId="5588EDA8" w14:textId="77777777" w:rsidR="00846CBB" w:rsidRPr="00BF0490" w:rsidRDefault="00846CBB" w:rsidP="00333722">
            <w:pPr>
              <w:contextualSpacing/>
              <w:rPr>
                <w:sz w:val="19"/>
                <w:szCs w:val="19"/>
              </w:rPr>
            </w:pPr>
            <w:r w:rsidRPr="00BF0490">
              <w:rPr>
                <w:sz w:val="19"/>
                <w:szCs w:val="19"/>
              </w:rPr>
              <w:t>Negative</w:t>
            </w:r>
          </w:p>
        </w:tc>
        <w:tc>
          <w:tcPr>
            <w:tcW w:w="222" w:type="dxa"/>
            <w:shd w:val="clear" w:color="auto" w:fill="E2EFD9" w:themeFill="accent6" w:themeFillTint="33"/>
            <w:vAlign w:val="center"/>
          </w:tcPr>
          <w:p w14:paraId="011221D3" w14:textId="77777777" w:rsidR="00846CBB" w:rsidRPr="00BF0490" w:rsidRDefault="00846CBB" w:rsidP="00333722">
            <w:pPr>
              <w:contextualSpacing/>
              <w:rPr>
                <w:sz w:val="19"/>
                <w:szCs w:val="19"/>
              </w:rPr>
            </w:pPr>
          </w:p>
        </w:tc>
        <w:tc>
          <w:tcPr>
            <w:tcW w:w="1704" w:type="dxa"/>
            <w:vAlign w:val="center"/>
          </w:tcPr>
          <w:p w14:paraId="2FA83C53" w14:textId="77777777" w:rsidR="00846CBB" w:rsidRPr="00BF0490" w:rsidRDefault="00846CBB" w:rsidP="00333722">
            <w:pPr>
              <w:contextualSpacing/>
              <w:rPr>
                <w:sz w:val="19"/>
                <w:szCs w:val="19"/>
              </w:rPr>
            </w:pPr>
            <w:r w:rsidRPr="00BF0490">
              <w:rPr>
                <w:sz w:val="19"/>
                <w:szCs w:val="19"/>
              </w:rPr>
              <w:t>None/negligible</w:t>
            </w:r>
          </w:p>
        </w:tc>
        <w:tc>
          <w:tcPr>
            <w:tcW w:w="222" w:type="dxa"/>
            <w:shd w:val="clear" w:color="auto" w:fill="A8D08D" w:themeFill="accent6" w:themeFillTint="99"/>
            <w:vAlign w:val="center"/>
          </w:tcPr>
          <w:p w14:paraId="641EF71F" w14:textId="77777777" w:rsidR="00846CBB" w:rsidRPr="00BF0490" w:rsidRDefault="00846CBB" w:rsidP="00333722">
            <w:pPr>
              <w:contextualSpacing/>
              <w:rPr>
                <w:sz w:val="19"/>
                <w:szCs w:val="19"/>
              </w:rPr>
            </w:pPr>
          </w:p>
        </w:tc>
        <w:tc>
          <w:tcPr>
            <w:tcW w:w="727" w:type="dxa"/>
            <w:vAlign w:val="center"/>
          </w:tcPr>
          <w:p w14:paraId="12FB43BB" w14:textId="77777777" w:rsidR="00846CBB" w:rsidRPr="00BF0490" w:rsidRDefault="00846CBB" w:rsidP="00333722">
            <w:pPr>
              <w:contextualSpacing/>
              <w:rPr>
                <w:sz w:val="19"/>
                <w:szCs w:val="19"/>
              </w:rPr>
            </w:pPr>
            <w:r w:rsidRPr="00BF0490">
              <w:rPr>
                <w:sz w:val="19"/>
                <w:szCs w:val="19"/>
              </w:rPr>
              <w:t>Minor</w:t>
            </w:r>
          </w:p>
        </w:tc>
        <w:tc>
          <w:tcPr>
            <w:tcW w:w="222" w:type="dxa"/>
            <w:shd w:val="clear" w:color="auto" w:fill="70AD47" w:themeFill="accent6"/>
            <w:vAlign w:val="center"/>
          </w:tcPr>
          <w:p w14:paraId="4C622876" w14:textId="77777777" w:rsidR="00846CBB" w:rsidRPr="00BF0490" w:rsidRDefault="00846CBB" w:rsidP="00333722">
            <w:pPr>
              <w:contextualSpacing/>
              <w:rPr>
                <w:sz w:val="19"/>
                <w:szCs w:val="19"/>
              </w:rPr>
            </w:pPr>
          </w:p>
        </w:tc>
        <w:tc>
          <w:tcPr>
            <w:tcW w:w="1144" w:type="dxa"/>
            <w:vAlign w:val="center"/>
          </w:tcPr>
          <w:p w14:paraId="6CB7144D" w14:textId="77777777" w:rsidR="00846CBB" w:rsidRPr="00BF0490" w:rsidRDefault="00846CBB" w:rsidP="00333722">
            <w:pPr>
              <w:contextualSpacing/>
              <w:rPr>
                <w:sz w:val="19"/>
                <w:szCs w:val="19"/>
              </w:rPr>
            </w:pPr>
            <w:r w:rsidRPr="00BF0490">
              <w:rPr>
                <w:sz w:val="19"/>
                <w:szCs w:val="19"/>
              </w:rPr>
              <w:t>Moderate</w:t>
            </w:r>
          </w:p>
        </w:tc>
        <w:tc>
          <w:tcPr>
            <w:tcW w:w="222" w:type="dxa"/>
            <w:shd w:val="clear" w:color="auto" w:fill="5B9BD5" w:themeFill="accent1"/>
          </w:tcPr>
          <w:p w14:paraId="4692BB38" w14:textId="77777777" w:rsidR="00846CBB" w:rsidRPr="00BF0490" w:rsidRDefault="00846CBB" w:rsidP="00333722">
            <w:pPr>
              <w:contextualSpacing/>
              <w:rPr>
                <w:sz w:val="19"/>
                <w:szCs w:val="19"/>
              </w:rPr>
            </w:pPr>
          </w:p>
        </w:tc>
        <w:tc>
          <w:tcPr>
            <w:tcW w:w="236" w:type="dxa"/>
            <w:vAlign w:val="center"/>
          </w:tcPr>
          <w:p w14:paraId="062526E5" w14:textId="77777777" w:rsidR="00846CBB" w:rsidRPr="00BF0490" w:rsidRDefault="00846CBB" w:rsidP="00333722">
            <w:pPr>
              <w:contextualSpacing/>
              <w:jc w:val="left"/>
              <w:rPr>
                <w:sz w:val="19"/>
                <w:szCs w:val="19"/>
              </w:rPr>
            </w:pPr>
            <w:r w:rsidRPr="00BF0490">
              <w:rPr>
                <w:sz w:val="19"/>
                <w:szCs w:val="19"/>
              </w:rPr>
              <w:t>Substantial</w:t>
            </w:r>
          </w:p>
        </w:tc>
      </w:tr>
    </w:tbl>
    <w:p w14:paraId="7619E295" w14:textId="77777777" w:rsidR="002B1423" w:rsidRDefault="002B1423" w:rsidP="002B1423"/>
    <w:p w14:paraId="5CE6847C" w14:textId="7FA19D3B" w:rsidR="00846CBB" w:rsidRDefault="00846CBB" w:rsidP="00846CBB">
      <w:pPr>
        <w:pStyle w:val="Heading3"/>
      </w:pPr>
      <w:r w:rsidRPr="00E35C12">
        <w:t>Discussion</w:t>
      </w:r>
    </w:p>
    <w:p w14:paraId="6515E744" w14:textId="37977995" w:rsidR="00814A9D" w:rsidRDefault="00DE7BB3" w:rsidP="00331279">
      <w:r w:rsidRPr="00A70AD5">
        <w:rPr>
          <w:bCs/>
        </w:rPr>
        <w:t xml:space="preserve">Over the </w:t>
      </w:r>
      <w:r>
        <w:rPr>
          <w:bCs/>
        </w:rPr>
        <w:t>course of the MER</w:t>
      </w:r>
      <w:r w:rsidRPr="00A70AD5">
        <w:rPr>
          <w:bCs/>
        </w:rPr>
        <w:t xml:space="preserve"> </w:t>
      </w:r>
      <w:r>
        <w:rPr>
          <w:bCs/>
        </w:rPr>
        <w:t>P</w:t>
      </w:r>
      <w:r w:rsidRPr="00A70AD5">
        <w:rPr>
          <w:bCs/>
        </w:rPr>
        <w:t>roject</w:t>
      </w:r>
      <w:r>
        <w:rPr>
          <w:bCs/>
        </w:rPr>
        <w:t xml:space="preserve"> (</w:t>
      </w:r>
      <w:r w:rsidR="004552E5">
        <w:rPr>
          <w:bCs/>
        </w:rPr>
        <w:t>2019-20 to 2021-22</w:t>
      </w:r>
      <w:r>
        <w:rPr>
          <w:bCs/>
        </w:rPr>
        <w:t>)</w:t>
      </w:r>
      <w:r w:rsidRPr="00A70AD5">
        <w:rPr>
          <w:bCs/>
        </w:rPr>
        <w:t xml:space="preserve">, we aim to identify associations between </w:t>
      </w:r>
      <w:r>
        <w:rPr>
          <w:bCs/>
        </w:rPr>
        <w:t xml:space="preserve">hydrology and hydraulics, and the </w:t>
      </w:r>
      <w:r w:rsidRPr="00A70AD5">
        <w:rPr>
          <w:bCs/>
        </w:rPr>
        <w:t xml:space="preserve">recruitment of </w:t>
      </w:r>
      <w:r>
        <w:rPr>
          <w:bCs/>
        </w:rPr>
        <w:t>Murray cod in the LMR,</w:t>
      </w:r>
      <w:r w:rsidRPr="00A70AD5">
        <w:rPr>
          <w:bCs/>
        </w:rPr>
        <w:t xml:space="preserve"> and </w:t>
      </w:r>
      <w:r>
        <w:rPr>
          <w:bCs/>
        </w:rPr>
        <w:t xml:space="preserve">ultimately to evaluate the benefit of </w:t>
      </w:r>
      <w:r w:rsidRPr="00A70AD5">
        <w:rPr>
          <w:bCs/>
        </w:rPr>
        <w:t xml:space="preserve">environmental water delivery. </w:t>
      </w:r>
      <w:r>
        <w:t xml:space="preserve">Flow may influence the spawning and early life history of Murray cod in the MDB via several mechanisms, but responses to flow likely differ among river systems (Tonkin </w:t>
      </w:r>
      <w:r w:rsidRPr="00BE1769">
        <w:rPr>
          <w:i/>
          <w:iCs/>
        </w:rPr>
        <w:t>et al.</w:t>
      </w:r>
      <w:r>
        <w:t xml:space="preserve"> 2018). For the LMR, w</w:t>
      </w:r>
      <w:r w:rsidRPr="00A70AD5">
        <w:rPr>
          <w:bCs/>
        </w:rPr>
        <w:t xml:space="preserve">e hypothesise that </w:t>
      </w:r>
      <w:r>
        <w:rPr>
          <w:bCs/>
        </w:rPr>
        <w:t>e</w:t>
      </w:r>
      <w:r>
        <w:t>levated spring–summer flow, either in-channel or overbank, and an accompanying increase in lotic habitat, may: (1) enhance the area of suitable spawning habitat; (2) be associated with enhanced growth rates and morphometric condition of Murray cod; and (3) enhance recruitment (to YOY). Further, we hypothesise that multiple years of enhanced spring–summer flow will result in broad size/age distributions of Murray cod and increased population resilience in the Lower Murray.</w:t>
      </w:r>
    </w:p>
    <w:p w14:paraId="154F5B8A" w14:textId="0570F834" w:rsidR="008E786A" w:rsidRDefault="008E786A" w:rsidP="00331279">
      <w:r w:rsidRPr="002A3525">
        <w:t xml:space="preserve">Murray cod spawn annually over a well-defined period from October–December, irrespective of flow (Davis 1977; Rowland 1998), but recruitment in the </w:t>
      </w:r>
      <w:r>
        <w:t>LMR</w:t>
      </w:r>
      <w:r w:rsidRPr="002A3525">
        <w:t xml:space="preserve"> main channel is positively associated with flow</w:t>
      </w:r>
      <w:r>
        <w:t xml:space="preserve"> and lotic habitats </w:t>
      </w:r>
      <w:r w:rsidRPr="002A3525">
        <w:t xml:space="preserve">(Zampatti </w:t>
      </w:r>
      <w:r w:rsidRPr="00BE1769">
        <w:rPr>
          <w:i/>
          <w:iCs/>
        </w:rPr>
        <w:t>et al.</w:t>
      </w:r>
      <w:r w:rsidRPr="002A3525">
        <w:t xml:space="preserve"> 2014).</w:t>
      </w:r>
      <w:r>
        <w:t xml:space="preserve"> </w:t>
      </w:r>
      <w:r w:rsidRPr="00D43F8B">
        <w:t>In recent years</w:t>
      </w:r>
      <w:r>
        <w:t xml:space="preserve"> </w:t>
      </w:r>
      <w:r w:rsidRPr="00D43F8B">
        <w:t>(2015–2019)</w:t>
      </w:r>
      <w:r>
        <w:t xml:space="preserve"> under predominately in-channel flows &lt;18,000 ML/d</w:t>
      </w:r>
      <w:r w:rsidRPr="00D43F8B">
        <w:t xml:space="preserve">, regular recruitment of Murray cod </w:t>
      </w:r>
      <w:r>
        <w:t>was</w:t>
      </w:r>
      <w:r w:rsidRPr="00D43F8B">
        <w:t xml:space="preserve"> observed</w:t>
      </w:r>
      <w:r w:rsidRPr="001C72E8">
        <w:t xml:space="preserve"> </w:t>
      </w:r>
      <w:r w:rsidRPr="00D43F8B">
        <w:t xml:space="preserve">in the </w:t>
      </w:r>
      <w:r>
        <w:t>LMR</w:t>
      </w:r>
      <w:r w:rsidRPr="00D43F8B">
        <w:t>.</w:t>
      </w:r>
      <w:r>
        <w:t xml:space="preserve"> During 2019-20, there was a strong recruitment event, indicated by an increase in the relative abundance of YOY throughout the LMR. In the Uppe</w:t>
      </w:r>
      <w:r w:rsidR="008125E9">
        <w:t>r</w:t>
      </w:r>
      <w:r>
        <w:t xml:space="preserve"> Murray River, Tonkin </w:t>
      </w:r>
      <w:r w:rsidRPr="00BE1769">
        <w:rPr>
          <w:i/>
          <w:iCs/>
        </w:rPr>
        <w:t>et al.</w:t>
      </w:r>
      <w:r>
        <w:t xml:space="preserve"> (20</w:t>
      </w:r>
      <w:r w:rsidR="00530E59">
        <w:t>18</w:t>
      </w:r>
      <w:r>
        <w:t>) found s</w:t>
      </w:r>
      <w:r w:rsidRPr="00C220B0">
        <w:t xml:space="preserve">upport for spring flows and antecedent maximum (e.g. </w:t>
      </w:r>
      <w:proofErr w:type="spellStart"/>
      <w:r w:rsidRPr="00C220B0">
        <w:t>bankfull</w:t>
      </w:r>
      <w:proofErr w:type="spellEnd"/>
      <w:r w:rsidRPr="00C220B0">
        <w:t xml:space="preserve">) flow conditions (i.e. flows preceding and during the spawning period) increasing recruitment strength (Tonkin </w:t>
      </w:r>
      <w:r w:rsidRPr="00BE1769">
        <w:rPr>
          <w:i/>
          <w:iCs/>
        </w:rPr>
        <w:t>et al.</w:t>
      </w:r>
      <w:r w:rsidRPr="00C220B0">
        <w:t xml:space="preserve"> 20</w:t>
      </w:r>
      <w:r w:rsidR="00530E59">
        <w:t>18</w:t>
      </w:r>
      <w:r w:rsidRPr="00C220B0">
        <w:t xml:space="preserve">). </w:t>
      </w:r>
      <w:r>
        <w:t>P</w:t>
      </w:r>
      <w:r w:rsidRPr="00C220B0">
        <w:t xml:space="preserve">otential mechanisms driving this could be </w:t>
      </w:r>
      <w:r w:rsidRPr="00E46F0D">
        <w:t xml:space="preserve">increased </w:t>
      </w:r>
      <w:r>
        <w:t>extent</w:t>
      </w:r>
      <w:r w:rsidRPr="00E46F0D">
        <w:t xml:space="preserve"> and quality of spawning habitat (e.g. Koehn 2009; Baumgartner </w:t>
      </w:r>
      <w:r w:rsidRPr="00BE1769">
        <w:rPr>
          <w:i/>
          <w:iCs/>
        </w:rPr>
        <w:t>et al.</w:t>
      </w:r>
      <w:r w:rsidRPr="00E46F0D">
        <w:t xml:space="preserve"> 2014; </w:t>
      </w:r>
      <w:r w:rsidR="00DE7BB3" w:rsidRPr="00E46F0D">
        <w:t xml:space="preserve">Stuart </w:t>
      </w:r>
      <w:r w:rsidR="00DE7BB3" w:rsidRPr="00BE1769">
        <w:rPr>
          <w:i/>
          <w:iCs/>
        </w:rPr>
        <w:t>et al.</w:t>
      </w:r>
      <w:r w:rsidR="00DE7BB3" w:rsidRPr="00E46F0D">
        <w:t xml:space="preserve"> 2019) or provi</w:t>
      </w:r>
      <w:r w:rsidR="00DE7BB3">
        <w:t>sion of</w:t>
      </w:r>
      <w:r w:rsidR="00DE7BB3" w:rsidRPr="00E46F0D">
        <w:t xml:space="preserve"> additional food resources </w:t>
      </w:r>
      <w:r w:rsidR="00DE7BB3">
        <w:t>for</w:t>
      </w:r>
      <w:r w:rsidR="00DE7BB3" w:rsidRPr="00E46F0D">
        <w:t xml:space="preserve"> larvae. </w:t>
      </w:r>
      <w:r w:rsidRPr="00E46F0D">
        <w:t xml:space="preserve">During 2019-20, </w:t>
      </w:r>
      <w:proofErr w:type="gramStart"/>
      <w:r w:rsidRPr="00E46F0D">
        <w:t>the majority of</w:t>
      </w:r>
      <w:proofErr w:type="gramEnd"/>
      <w:r w:rsidRPr="00E46F0D">
        <w:t xml:space="preserve"> environmental water was delivered </w:t>
      </w:r>
      <w:r>
        <w:t xml:space="preserve">to South Australia </w:t>
      </w:r>
      <w:r w:rsidRPr="00E46F0D">
        <w:t xml:space="preserve">during the spawning season and early larval period from late September to early November 2019, </w:t>
      </w:r>
      <w:r>
        <w:t xml:space="preserve">as </w:t>
      </w:r>
      <w:r w:rsidRPr="00E46F0D">
        <w:t>a spring fresh, peaking at 15,600 ML/d in mid-October (</w:t>
      </w:r>
      <w:r w:rsidRPr="00E46F0D">
        <w:fldChar w:fldCharType="begin"/>
      </w:r>
      <w:r w:rsidRPr="00E46F0D">
        <w:instrText xml:space="preserve"> REF _Ref427583483 \h  \* MERGEFORMAT </w:instrText>
      </w:r>
      <w:r w:rsidRPr="00E46F0D">
        <w:fldChar w:fldCharType="separate"/>
      </w:r>
      <w:r w:rsidR="006045CA" w:rsidRPr="00F23935">
        <w:t xml:space="preserve">Figure </w:t>
      </w:r>
      <w:r w:rsidR="006045CA">
        <w:rPr>
          <w:noProof/>
        </w:rPr>
        <w:t>5</w:t>
      </w:r>
      <w:r w:rsidRPr="00E46F0D">
        <w:fldChar w:fldCharType="end"/>
      </w:r>
      <w:r w:rsidRPr="00E46F0D">
        <w:t xml:space="preserve">). The delivery of Commonwealth environmental water during this period </w:t>
      </w:r>
      <w:r>
        <w:t>greatly increased the length of weir pools (</w:t>
      </w:r>
      <w:proofErr w:type="gramStart"/>
      <w:r>
        <w:t>e.g.</w:t>
      </w:r>
      <w:proofErr w:type="gramEnd"/>
      <w:r>
        <w:t xml:space="preserve"> &gt;20 km in Weir Pools 2 and 3)</w:t>
      </w:r>
      <w:r w:rsidRPr="00E46F0D">
        <w:t xml:space="preserve"> </w:t>
      </w:r>
      <w:r>
        <w:t>experiencing lotic</w:t>
      </w:r>
      <w:r w:rsidRPr="00E46F0D">
        <w:t xml:space="preserve"> </w:t>
      </w:r>
      <w:r>
        <w:t xml:space="preserve">(i.e. water velocities &gt;0.3 m/s) </w:t>
      </w:r>
      <w:r w:rsidRPr="00E46F0D">
        <w:t>conditions</w:t>
      </w:r>
      <w:r>
        <w:t xml:space="preserve"> </w:t>
      </w:r>
      <w:r w:rsidRPr="00E46F0D">
        <w:t>(</w:t>
      </w:r>
      <w:r w:rsidRPr="00E46F0D">
        <w:fldChar w:fldCharType="begin"/>
      </w:r>
      <w:r w:rsidRPr="00E46F0D">
        <w:instrText xml:space="preserve"> REF _Ref57899510 \h  \* MERGEFORMAT </w:instrText>
      </w:r>
      <w:r w:rsidRPr="00E46F0D">
        <w:fldChar w:fldCharType="separate"/>
      </w:r>
      <w:r w:rsidR="006045CA" w:rsidRPr="00A34010">
        <w:t xml:space="preserve">Figure </w:t>
      </w:r>
      <w:r w:rsidR="006045CA">
        <w:rPr>
          <w:noProof/>
        </w:rPr>
        <w:t>56</w:t>
      </w:r>
      <w:r w:rsidRPr="00E46F0D">
        <w:fldChar w:fldCharType="end"/>
      </w:r>
      <w:r w:rsidRPr="00E46F0D">
        <w:rPr>
          <w:color w:val="auto"/>
        </w:rPr>
        <w:t>)</w:t>
      </w:r>
      <w:r w:rsidR="001D40ED">
        <w:rPr>
          <w:color w:val="auto"/>
        </w:rPr>
        <w:t xml:space="preserve">, thereby increasing the extent of habitat favoured for spawning and early life history processes (e.g. drift and residence) (Gibbs </w:t>
      </w:r>
      <w:r w:rsidR="001D40ED" w:rsidRPr="00FB5EF1">
        <w:rPr>
          <w:i/>
          <w:iCs/>
          <w:color w:val="auto"/>
        </w:rPr>
        <w:t>et al.</w:t>
      </w:r>
      <w:r w:rsidR="001D40ED">
        <w:rPr>
          <w:color w:val="auto"/>
        </w:rPr>
        <w:t xml:space="preserve"> 2020)</w:t>
      </w:r>
      <w:r w:rsidR="001D40ED" w:rsidRPr="00E46F0D">
        <w:rPr>
          <w:color w:val="auto"/>
        </w:rPr>
        <w:t>.</w:t>
      </w:r>
      <w:r w:rsidR="001D40ED" w:rsidRPr="00B70B3B">
        <w:rPr>
          <w:color w:val="auto"/>
        </w:rPr>
        <w:t xml:space="preserve"> </w:t>
      </w:r>
      <w:r w:rsidR="001D40ED">
        <w:t>Multiple years of data and further modelling is required to identify the potential drivers of increased recruitment in 2019-20, and to better evaluate the influence of Commonwealth environmental water on Murray cod recruitment.</w:t>
      </w:r>
    </w:p>
    <w:p w14:paraId="7C731A56" w14:textId="48CB0B12" w:rsidR="00FB5EF1" w:rsidRDefault="00CC542C" w:rsidP="00FB5EF1">
      <w:pPr>
        <w:rPr>
          <w:color w:val="auto"/>
        </w:rPr>
      </w:pPr>
      <w:r>
        <w:t xml:space="preserve">During 2019-20, Murray cod were sampled at various stages of their early life history from larvae (November) through to YOY (April/May). To assess </w:t>
      </w:r>
      <w:r w:rsidR="00D262C3">
        <w:t xml:space="preserve">morphometric </w:t>
      </w:r>
      <w:r>
        <w:t>condition</w:t>
      </w:r>
      <w:r w:rsidR="00CB7075">
        <w:t xml:space="preserve"> and growth</w:t>
      </w:r>
      <w:r>
        <w:t xml:space="preserve"> during this year, and the influence of the flow regime (including Commonwealth environmental water)</w:t>
      </w:r>
      <w:r w:rsidR="009D392A">
        <w:t xml:space="preserve"> on these parameters</w:t>
      </w:r>
      <w:r>
        <w:t>, data from other projects including LTIM were used to develop ‘baseline</w:t>
      </w:r>
      <w:r w:rsidR="00114FC9">
        <w:t>s</w:t>
      </w:r>
      <w:r>
        <w:t xml:space="preserve">’ </w:t>
      </w:r>
      <w:r w:rsidR="00114FC9">
        <w:t>for comparison.</w:t>
      </w:r>
      <w:r w:rsidR="009D392A">
        <w:t xml:space="preserve"> </w:t>
      </w:r>
      <w:r w:rsidR="0003690A">
        <w:t xml:space="preserve">Since 2019-20 was the first year early juvenile Murray cod were successfully sampled in summer (January and February), additional years of data are required to provide reliable baselines for robust comparison and evaluation. </w:t>
      </w:r>
      <w:r w:rsidR="0003690A" w:rsidRPr="00CB7075">
        <w:rPr>
          <w:color w:val="auto"/>
        </w:rPr>
        <w:t xml:space="preserve">While body condition of YOY </w:t>
      </w:r>
      <w:r w:rsidR="0003690A">
        <w:rPr>
          <w:color w:val="auto"/>
        </w:rPr>
        <w:t>Murray cod sampled in April/May was</w:t>
      </w:r>
      <w:r w:rsidR="0003690A" w:rsidRPr="00CB7075">
        <w:rPr>
          <w:color w:val="auto"/>
        </w:rPr>
        <w:t xml:space="preserve"> relatively </w:t>
      </w:r>
      <w:r w:rsidR="0003690A">
        <w:rPr>
          <w:color w:val="auto"/>
        </w:rPr>
        <w:t>similar</w:t>
      </w:r>
      <w:r w:rsidR="0003690A" w:rsidRPr="00CB7075">
        <w:rPr>
          <w:color w:val="auto"/>
        </w:rPr>
        <w:t xml:space="preserve"> </w:t>
      </w:r>
      <w:r w:rsidR="0003690A">
        <w:rPr>
          <w:color w:val="auto"/>
        </w:rPr>
        <w:t>from 2015–2020</w:t>
      </w:r>
      <w:r w:rsidR="00CB7075" w:rsidRPr="00CB7075">
        <w:rPr>
          <w:color w:val="auto"/>
        </w:rPr>
        <w:t>, the condition in 2017</w:t>
      </w:r>
      <w:r w:rsidR="00F13749">
        <w:rPr>
          <w:color w:val="auto"/>
        </w:rPr>
        <w:t>,</w:t>
      </w:r>
      <w:r w:rsidR="00CB7075" w:rsidRPr="00CB7075">
        <w:rPr>
          <w:color w:val="auto"/>
        </w:rPr>
        <w:t xml:space="preserve"> following </w:t>
      </w:r>
      <w:r w:rsidR="00F13749">
        <w:rPr>
          <w:color w:val="auto"/>
        </w:rPr>
        <w:t>overbank flows</w:t>
      </w:r>
      <w:r w:rsidR="00CB7075" w:rsidRPr="00CB7075">
        <w:rPr>
          <w:color w:val="auto"/>
        </w:rPr>
        <w:t xml:space="preserve"> in 2016-17</w:t>
      </w:r>
      <w:r w:rsidR="00F13749">
        <w:rPr>
          <w:color w:val="auto"/>
        </w:rPr>
        <w:t>,</w:t>
      </w:r>
      <w:r w:rsidR="00CB7075" w:rsidRPr="00CB7075">
        <w:rPr>
          <w:color w:val="auto"/>
        </w:rPr>
        <w:t xml:space="preserve"> was </w:t>
      </w:r>
      <w:r w:rsidR="00CB7075">
        <w:rPr>
          <w:color w:val="auto"/>
        </w:rPr>
        <w:t xml:space="preserve">significantly </w:t>
      </w:r>
      <w:r w:rsidR="008E786A">
        <w:rPr>
          <w:color w:val="auto"/>
        </w:rPr>
        <w:t>greater</w:t>
      </w:r>
      <w:r w:rsidR="00F13749">
        <w:rPr>
          <w:color w:val="auto"/>
        </w:rPr>
        <w:t>. This</w:t>
      </w:r>
      <w:r w:rsidR="00CB7075" w:rsidRPr="00CB7075">
        <w:rPr>
          <w:color w:val="auto"/>
        </w:rPr>
        <w:t xml:space="preserve"> </w:t>
      </w:r>
      <w:r w:rsidR="00F13749">
        <w:rPr>
          <w:color w:val="auto"/>
        </w:rPr>
        <w:t>suggests that</w:t>
      </w:r>
      <w:r w:rsidR="00CB7075" w:rsidRPr="00CB7075">
        <w:rPr>
          <w:color w:val="auto"/>
        </w:rPr>
        <w:t xml:space="preserve"> condition </w:t>
      </w:r>
      <w:r w:rsidR="00F1701C">
        <w:rPr>
          <w:color w:val="auto"/>
        </w:rPr>
        <w:t xml:space="preserve">may be </w:t>
      </w:r>
      <w:r w:rsidR="00CB7075" w:rsidRPr="00CB7075">
        <w:rPr>
          <w:color w:val="auto"/>
        </w:rPr>
        <w:t xml:space="preserve">influenced by </w:t>
      </w:r>
      <w:r w:rsidR="00CB7075">
        <w:rPr>
          <w:color w:val="auto"/>
        </w:rPr>
        <w:t>large-scale (i.e. overbank) flow events</w:t>
      </w:r>
      <w:r w:rsidR="009E2FD3">
        <w:rPr>
          <w:color w:val="auto"/>
        </w:rPr>
        <w:t>,</w:t>
      </w:r>
      <w:r w:rsidR="00CB7075">
        <w:rPr>
          <w:color w:val="auto"/>
        </w:rPr>
        <w:t xml:space="preserve"> while </w:t>
      </w:r>
      <w:r w:rsidR="009E2FD3">
        <w:rPr>
          <w:color w:val="auto"/>
        </w:rPr>
        <w:t>small-scale</w:t>
      </w:r>
      <w:r w:rsidR="00CB7075">
        <w:rPr>
          <w:color w:val="auto"/>
        </w:rPr>
        <w:t xml:space="preserve"> seasonal flow deliveries (e.g. </w:t>
      </w:r>
      <w:r w:rsidR="009D392A">
        <w:rPr>
          <w:color w:val="auto"/>
        </w:rPr>
        <w:t xml:space="preserve">winter or spring–summer </w:t>
      </w:r>
      <w:r w:rsidR="00CB7075">
        <w:rPr>
          <w:color w:val="auto"/>
        </w:rPr>
        <w:t>freshes &lt;18,000 ML/d) may have small/negligible influence.</w:t>
      </w:r>
      <w:r w:rsidR="00F1701C">
        <w:rPr>
          <w:color w:val="auto"/>
        </w:rPr>
        <w:t xml:space="preserve"> Further support </w:t>
      </w:r>
      <w:r w:rsidR="009D392A">
        <w:rPr>
          <w:color w:val="auto"/>
        </w:rPr>
        <w:t xml:space="preserve">of this </w:t>
      </w:r>
      <w:r w:rsidR="00F1701C">
        <w:rPr>
          <w:color w:val="auto"/>
        </w:rPr>
        <w:t>was provided by the observed s</w:t>
      </w:r>
      <w:r w:rsidR="00F1701C" w:rsidRPr="00F1701C">
        <w:rPr>
          <w:color w:val="auto"/>
        </w:rPr>
        <w:t>imilarity in condition among weir pools</w:t>
      </w:r>
      <w:r w:rsidR="00F1701C">
        <w:rPr>
          <w:color w:val="auto"/>
        </w:rPr>
        <w:t xml:space="preserve">, suggesting </w:t>
      </w:r>
      <w:r w:rsidR="00F13749">
        <w:rPr>
          <w:color w:val="auto"/>
        </w:rPr>
        <w:t xml:space="preserve">major </w:t>
      </w:r>
      <w:r w:rsidR="00F1701C">
        <w:rPr>
          <w:color w:val="auto"/>
        </w:rPr>
        <w:t>changes in</w:t>
      </w:r>
      <w:r w:rsidR="00F13749">
        <w:rPr>
          <w:color w:val="auto"/>
        </w:rPr>
        <w:t xml:space="preserve"> body</w:t>
      </w:r>
      <w:r w:rsidR="00F1701C">
        <w:rPr>
          <w:color w:val="auto"/>
        </w:rPr>
        <w:t xml:space="preserve"> condition are not </w:t>
      </w:r>
      <w:r w:rsidR="0099728A">
        <w:rPr>
          <w:color w:val="auto"/>
        </w:rPr>
        <w:t xml:space="preserve">driven by </w:t>
      </w:r>
      <w:r w:rsidR="00F1701C">
        <w:rPr>
          <w:color w:val="auto"/>
        </w:rPr>
        <w:t xml:space="preserve">localised </w:t>
      </w:r>
      <w:r w:rsidR="0099728A">
        <w:rPr>
          <w:color w:val="auto"/>
        </w:rPr>
        <w:t xml:space="preserve">changes </w:t>
      </w:r>
      <w:r w:rsidR="00F1701C">
        <w:rPr>
          <w:color w:val="auto"/>
        </w:rPr>
        <w:t>(e.g. weir pool) and are operating a</w:t>
      </w:r>
      <w:r w:rsidR="009D392A">
        <w:rPr>
          <w:color w:val="auto"/>
        </w:rPr>
        <w:t>t a</w:t>
      </w:r>
      <w:r w:rsidR="00F1701C">
        <w:rPr>
          <w:color w:val="auto"/>
        </w:rPr>
        <w:t xml:space="preserve"> broader (river) scale.</w:t>
      </w:r>
      <w:r w:rsidR="0003690A">
        <w:rPr>
          <w:color w:val="auto"/>
        </w:rPr>
        <w:t xml:space="preserve"> Potential mechanisms driving this may be related to </w:t>
      </w:r>
      <w:r w:rsidR="0003690A" w:rsidRPr="00CB7075">
        <w:rPr>
          <w:color w:val="auto"/>
        </w:rPr>
        <w:t>increases in productivity/food resources</w:t>
      </w:r>
      <w:r w:rsidR="0003690A">
        <w:rPr>
          <w:color w:val="auto"/>
        </w:rPr>
        <w:t xml:space="preserve"> </w:t>
      </w:r>
      <w:r w:rsidR="00FB5EF1">
        <w:rPr>
          <w:color w:val="auto"/>
        </w:rPr>
        <w:t xml:space="preserve">(allochthonous sources) and/or hydraulic changes that improve habitat quality and increased feeding efficiency. </w:t>
      </w:r>
    </w:p>
    <w:p w14:paraId="1895A382" w14:textId="0E303EC8" w:rsidR="00CB7075" w:rsidRDefault="00FB5EF1" w:rsidP="00D262C3">
      <w:pPr>
        <w:rPr>
          <w:color w:val="auto"/>
        </w:rPr>
      </w:pPr>
      <w:r>
        <w:rPr>
          <w:color w:val="auto"/>
        </w:rPr>
        <w:t xml:space="preserve">Interestingly, our results on morphometric condition, in part, contrast those presented on growth rates of juvenile Murray cod in association with discharge in other areas of the MDB (the Gwydir, Lachlan, Edward-Wakool, Murrumbidgee and Goulburn rivers) by Stoffels </w:t>
      </w:r>
      <w:r w:rsidRPr="00FB5EF1">
        <w:rPr>
          <w:i/>
          <w:iCs/>
          <w:color w:val="auto"/>
        </w:rPr>
        <w:t>et al.</w:t>
      </w:r>
      <w:r>
        <w:rPr>
          <w:color w:val="auto"/>
        </w:rPr>
        <w:t xml:space="preserve"> (2020). They suggested maximum early juvenile growth occurs in years of median annual discharge and proposed the maximisation of </w:t>
      </w:r>
      <w:proofErr w:type="spellStart"/>
      <w:r>
        <w:rPr>
          <w:color w:val="auto"/>
        </w:rPr>
        <w:t>slackwater</w:t>
      </w:r>
      <w:proofErr w:type="spellEnd"/>
      <w:r>
        <w:rPr>
          <w:color w:val="auto"/>
        </w:rPr>
        <w:t xml:space="preserve"> habitats – favoured by early juvenile Murray cod – under these flows (</w:t>
      </w:r>
      <w:proofErr w:type="spellStart"/>
      <w:r>
        <w:rPr>
          <w:color w:val="auto"/>
        </w:rPr>
        <w:t>Vietz</w:t>
      </w:r>
      <w:proofErr w:type="spellEnd"/>
      <w:r>
        <w:rPr>
          <w:color w:val="auto"/>
        </w:rPr>
        <w:t xml:space="preserve"> </w:t>
      </w:r>
      <w:r w:rsidRPr="00FB5EF1">
        <w:rPr>
          <w:i/>
          <w:iCs/>
          <w:color w:val="auto"/>
        </w:rPr>
        <w:t xml:space="preserve">et al. </w:t>
      </w:r>
      <w:r>
        <w:rPr>
          <w:color w:val="auto"/>
        </w:rPr>
        <w:t xml:space="preserve">2013) as a likely mechanism. Further, in some rivers, high discharge can reduce the surface area of </w:t>
      </w:r>
      <w:proofErr w:type="spellStart"/>
      <w:r>
        <w:rPr>
          <w:color w:val="auto"/>
        </w:rPr>
        <w:t>slackwaters</w:t>
      </w:r>
      <w:proofErr w:type="spellEnd"/>
      <w:r>
        <w:rPr>
          <w:color w:val="auto"/>
        </w:rPr>
        <w:t xml:space="preserve"> (Price </w:t>
      </w:r>
      <w:r w:rsidRPr="00FB5EF1">
        <w:rPr>
          <w:i/>
          <w:iCs/>
          <w:color w:val="auto"/>
        </w:rPr>
        <w:t>et al</w:t>
      </w:r>
      <w:r>
        <w:rPr>
          <w:i/>
          <w:iCs/>
          <w:color w:val="auto"/>
        </w:rPr>
        <w:t>.</w:t>
      </w:r>
      <w:r>
        <w:rPr>
          <w:color w:val="auto"/>
        </w:rPr>
        <w:t xml:space="preserve"> 2012), leading Stoffels </w:t>
      </w:r>
      <w:r w:rsidRPr="00FB5EF1">
        <w:rPr>
          <w:i/>
          <w:iCs/>
          <w:color w:val="auto"/>
        </w:rPr>
        <w:t>et al.</w:t>
      </w:r>
      <w:r>
        <w:rPr>
          <w:color w:val="auto"/>
        </w:rPr>
        <w:t xml:space="preserve"> (2020) to associate this mechanism with reduced growth under high discharge in their study. We believe similar mechanisms – enhancement/reduction of favoured juvenile habitat (e.g. </w:t>
      </w:r>
      <w:proofErr w:type="spellStart"/>
      <w:r>
        <w:rPr>
          <w:color w:val="auto"/>
        </w:rPr>
        <w:t>slackwaters</w:t>
      </w:r>
      <w:proofErr w:type="spellEnd"/>
      <w:r>
        <w:rPr>
          <w:color w:val="auto"/>
        </w:rPr>
        <w:t xml:space="preserve">) – are likely operating in the LMR; however, the large size and highly regulated nature of the LMR, relative to the rivers studied by Stoffels </w:t>
      </w:r>
      <w:r w:rsidRPr="00FB5EF1">
        <w:rPr>
          <w:i/>
          <w:iCs/>
          <w:color w:val="auto"/>
        </w:rPr>
        <w:t>et al.</w:t>
      </w:r>
      <w:r>
        <w:rPr>
          <w:color w:val="auto"/>
        </w:rPr>
        <w:t xml:space="preserve"> (2020) may confer different relationships between discharge and condition/growth. For instance, the hydraulic impact of multiple sequential weirs likely dictates that increases in discharge are required to promote hydraulic diversity, including </w:t>
      </w:r>
      <w:proofErr w:type="spellStart"/>
      <w:r>
        <w:rPr>
          <w:color w:val="auto"/>
        </w:rPr>
        <w:t>slackwaters</w:t>
      </w:r>
      <w:proofErr w:type="spellEnd"/>
      <w:r>
        <w:rPr>
          <w:color w:val="auto"/>
        </w:rPr>
        <w:t xml:space="preserve"> (Bice </w:t>
      </w:r>
      <w:r w:rsidRPr="00FB5EF1">
        <w:rPr>
          <w:i/>
          <w:iCs/>
          <w:color w:val="auto"/>
        </w:rPr>
        <w:t>et al.</w:t>
      </w:r>
      <w:r>
        <w:rPr>
          <w:color w:val="auto"/>
        </w:rPr>
        <w:t xml:space="preserve"> 2017; Gibbs </w:t>
      </w:r>
      <w:r w:rsidRPr="00FB5EF1">
        <w:rPr>
          <w:i/>
          <w:iCs/>
          <w:color w:val="auto"/>
        </w:rPr>
        <w:t>et al.</w:t>
      </w:r>
      <w:r>
        <w:rPr>
          <w:color w:val="auto"/>
        </w:rPr>
        <w:t xml:space="preserve"> 2020), while the impact of high discharge on </w:t>
      </w:r>
      <w:proofErr w:type="spellStart"/>
      <w:r>
        <w:rPr>
          <w:color w:val="auto"/>
        </w:rPr>
        <w:t>slackwater</w:t>
      </w:r>
      <w:proofErr w:type="spellEnd"/>
      <w:r>
        <w:rPr>
          <w:color w:val="auto"/>
        </w:rPr>
        <w:t xml:space="preserve"> area may be less pronounced.</w:t>
      </w:r>
      <w:r w:rsidRPr="00CB7075">
        <w:rPr>
          <w:color w:val="auto"/>
        </w:rPr>
        <w:t xml:space="preserve"> </w:t>
      </w:r>
    </w:p>
    <w:p w14:paraId="6FD5BFC3" w14:textId="46FBFC3A" w:rsidR="007D4C71" w:rsidRDefault="00850DBC" w:rsidP="007D4C71">
      <w:pPr>
        <w:rPr>
          <w:color w:val="auto"/>
        </w:rPr>
      </w:pPr>
      <w:r>
        <w:rPr>
          <w:color w:val="auto"/>
        </w:rPr>
        <w:t xml:space="preserve">Abundance (CPUE) of Murray cod in the LMR </w:t>
      </w:r>
      <w:r w:rsidR="008E786A">
        <w:rPr>
          <w:color w:val="auto"/>
        </w:rPr>
        <w:t xml:space="preserve">exhibited </w:t>
      </w:r>
      <w:r>
        <w:rPr>
          <w:color w:val="auto"/>
        </w:rPr>
        <w:t>variability throug</w:t>
      </w:r>
      <w:r w:rsidR="007D4C71">
        <w:rPr>
          <w:color w:val="auto"/>
        </w:rPr>
        <w:t>h</w:t>
      </w:r>
      <w:r>
        <w:rPr>
          <w:color w:val="auto"/>
        </w:rPr>
        <w:t xml:space="preserve"> 2013–2020. A</w:t>
      </w:r>
      <w:r w:rsidR="00366EF0" w:rsidRPr="00850DBC">
        <w:rPr>
          <w:color w:val="auto"/>
        </w:rPr>
        <w:t xml:space="preserve"> decline in abundance</w:t>
      </w:r>
      <w:r>
        <w:rPr>
          <w:color w:val="auto"/>
        </w:rPr>
        <w:t>, nota</w:t>
      </w:r>
      <w:r w:rsidRPr="00F66744">
        <w:rPr>
          <w:color w:val="auto"/>
        </w:rPr>
        <w:t xml:space="preserve">bly </w:t>
      </w:r>
      <w:r w:rsidR="00F66744" w:rsidRPr="00F66744">
        <w:rPr>
          <w:color w:val="auto"/>
        </w:rPr>
        <w:t>adult</w:t>
      </w:r>
      <w:r w:rsidR="00F66744">
        <w:rPr>
          <w:color w:val="auto"/>
        </w:rPr>
        <w:t>s</w:t>
      </w:r>
      <w:r w:rsidR="00F66744" w:rsidRPr="00F66744">
        <w:rPr>
          <w:color w:val="auto"/>
        </w:rPr>
        <w:t xml:space="preserve"> </w:t>
      </w:r>
      <w:r w:rsidR="007F333A" w:rsidRPr="00F66744">
        <w:rPr>
          <w:color w:val="auto"/>
        </w:rPr>
        <w:t>(&gt;</w:t>
      </w:r>
      <w:r w:rsidR="00F66744" w:rsidRPr="00F66744">
        <w:rPr>
          <w:color w:val="auto"/>
        </w:rPr>
        <w:t>600</w:t>
      </w:r>
      <w:r w:rsidR="007F333A" w:rsidRPr="00F66744">
        <w:rPr>
          <w:color w:val="auto"/>
        </w:rPr>
        <w:t xml:space="preserve"> mm TL)</w:t>
      </w:r>
      <w:r>
        <w:rPr>
          <w:color w:val="auto"/>
        </w:rPr>
        <w:t>,</w:t>
      </w:r>
      <w:r w:rsidR="00366EF0" w:rsidRPr="00850DBC">
        <w:rPr>
          <w:color w:val="auto"/>
        </w:rPr>
        <w:t xml:space="preserve"> during 2017 was associated with </w:t>
      </w:r>
      <w:r w:rsidR="00B253E6" w:rsidRPr="00850DBC">
        <w:rPr>
          <w:color w:val="auto"/>
        </w:rPr>
        <w:t>a hypoxic</w:t>
      </w:r>
      <w:r w:rsidR="00366EF0" w:rsidRPr="00850DBC">
        <w:rPr>
          <w:color w:val="auto"/>
        </w:rPr>
        <w:t xml:space="preserve"> blackwater event in the LMR (Ye </w:t>
      </w:r>
      <w:r w:rsidR="00366EF0" w:rsidRPr="00BE1769">
        <w:rPr>
          <w:i/>
          <w:iCs/>
          <w:color w:val="auto"/>
        </w:rPr>
        <w:t>et al.</w:t>
      </w:r>
      <w:r w:rsidR="00366EF0" w:rsidRPr="00850DBC">
        <w:rPr>
          <w:color w:val="auto"/>
        </w:rPr>
        <w:t xml:space="preserve"> 2018). </w:t>
      </w:r>
      <w:r w:rsidR="0003690A">
        <w:rPr>
          <w:color w:val="auto"/>
        </w:rPr>
        <w:t>F</w:t>
      </w:r>
      <w:r w:rsidR="0003690A" w:rsidRPr="00850DBC">
        <w:rPr>
          <w:color w:val="auto"/>
        </w:rPr>
        <w:t xml:space="preserve">ollowing this </w:t>
      </w:r>
      <w:r w:rsidR="0003690A">
        <w:rPr>
          <w:color w:val="auto"/>
        </w:rPr>
        <w:t xml:space="preserve">widespread </w:t>
      </w:r>
      <w:r w:rsidR="0003690A" w:rsidRPr="00850DBC">
        <w:rPr>
          <w:color w:val="auto"/>
        </w:rPr>
        <w:t>blackwater event</w:t>
      </w:r>
      <w:r w:rsidR="0003690A">
        <w:rPr>
          <w:color w:val="auto"/>
        </w:rPr>
        <w:t>,</w:t>
      </w:r>
      <w:r w:rsidR="0003690A" w:rsidRPr="00850DBC">
        <w:t xml:space="preserve"> </w:t>
      </w:r>
      <w:r w:rsidR="0003690A">
        <w:rPr>
          <w:color w:val="auto"/>
        </w:rPr>
        <w:t>d</w:t>
      </w:r>
      <w:r w:rsidR="0003690A" w:rsidRPr="00850DBC">
        <w:rPr>
          <w:color w:val="auto"/>
        </w:rPr>
        <w:t xml:space="preserve">eclines in the abundance of adult Murray cod </w:t>
      </w:r>
      <w:r w:rsidR="0003690A">
        <w:rPr>
          <w:color w:val="auto"/>
        </w:rPr>
        <w:t>were also</w:t>
      </w:r>
      <w:r w:rsidR="0003690A" w:rsidRPr="00850DBC">
        <w:rPr>
          <w:color w:val="auto"/>
        </w:rPr>
        <w:t xml:space="preserve"> </w:t>
      </w:r>
      <w:r w:rsidR="0003690A">
        <w:rPr>
          <w:color w:val="auto"/>
        </w:rPr>
        <w:t>o</w:t>
      </w:r>
      <w:r w:rsidR="0003690A" w:rsidRPr="00850DBC">
        <w:rPr>
          <w:color w:val="auto"/>
        </w:rPr>
        <w:t xml:space="preserve">bserved </w:t>
      </w:r>
      <w:r w:rsidR="0003690A" w:rsidRPr="00850DBC">
        <w:t>throughout the Murray River and some of its tributaries (e.g. Lachlan River, Murrumbidgee River, Edward–Wakool River system) (Dyer</w:t>
      </w:r>
      <w:r w:rsidR="00B253E6" w:rsidRPr="00850DBC">
        <w:t xml:space="preserve"> </w:t>
      </w:r>
      <w:r w:rsidR="00B253E6" w:rsidRPr="00BE1769">
        <w:rPr>
          <w:i/>
          <w:iCs/>
        </w:rPr>
        <w:t>et al.</w:t>
      </w:r>
      <w:r w:rsidR="00B253E6" w:rsidRPr="00850DBC">
        <w:t xml:space="preserve"> 2017; </w:t>
      </w:r>
      <w:proofErr w:type="spellStart"/>
      <w:r w:rsidR="00B253E6" w:rsidRPr="00850DBC">
        <w:t>Wassens</w:t>
      </w:r>
      <w:proofErr w:type="spellEnd"/>
      <w:r w:rsidR="00B253E6" w:rsidRPr="00850DBC">
        <w:t xml:space="preserve"> </w:t>
      </w:r>
      <w:r w:rsidR="00B253E6" w:rsidRPr="00BE1769">
        <w:rPr>
          <w:i/>
          <w:iCs/>
        </w:rPr>
        <w:t>et al.</w:t>
      </w:r>
      <w:r w:rsidR="00B253E6" w:rsidRPr="00850DBC">
        <w:t xml:space="preserve"> 2017; Watts </w:t>
      </w:r>
      <w:r w:rsidR="00B253E6" w:rsidRPr="00BE1769">
        <w:rPr>
          <w:i/>
          <w:iCs/>
        </w:rPr>
        <w:t>et al.</w:t>
      </w:r>
      <w:r w:rsidR="00B253E6" w:rsidRPr="00850DBC">
        <w:t xml:space="preserve"> 2017</w:t>
      </w:r>
      <w:r>
        <w:t xml:space="preserve">; </w:t>
      </w:r>
      <w:r w:rsidR="007D4C71">
        <w:t xml:space="preserve">Stoffels </w:t>
      </w:r>
      <w:r w:rsidR="007D4C71" w:rsidRPr="00BE1769">
        <w:rPr>
          <w:i/>
          <w:iCs/>
        </w:rPr>
        <w:t>et al.</w:t>
      </w:r>
      <w:r w:rsidR="007D4C71">
        <w:t xml:space="preserve"> 2018</w:t>
      </w:r>
      <w:r w:rsidR="00B253E6" w:rsidRPr="00850DBC">
        <w:t>)</w:t>
      </w:r>
      <w:r w:rsidR="00B253E6" w:rsidRPr="00850DBC">
        <w:rPr>
          <w:color w:val="auto"/>
        </w:rPr>
        <w:t>.</w:t>
      </w:r>
      <w:r w:rsidR="007D4C71">
        <w:rPr>
          <w:color w:val="auto"/>
        </w:rPr>
        <w:t xml:space="preserve"> After 2017, abundance of Murray cod increased to a peak in 2020, driven predominantly by new</w:t>
      </w:r>
      <w:r w:rsidR="008E786A">
        <w:rPr>
          <w:color w:val="auto"/>
        </w:rPr>
        <w:t>ly</w:t>
      </w:r>
      <w:r w:rsidR="007D4C71">
        <w:rPr>
          <w:color w:val="auto"/>
        </w:rPr>
        <w:t xml:space="preserve"> recruit</w:t>
      </w:r>
      <w:r w:rsidR="008E786A">
        <w:rPr>
          <w:color w:val="auto"/>
        </w:rPr>
        <w:t xml:space="preserve">ed </w:t>
      </w:r>
      <w:r w:rsidR="007D4C71">
        <w:rPr>
          <w:color w:val="auto"/>
        </w:rPr>
        <w:t xml:space="preserve">YOY. </w:t>
      </w:r>
      <w:r w:rsidR="007D4C71" w:rsidRPr="00850DBC">
        <w:rPr>
          <w:color w:val="auto"/>
        </w:rPr>
        <w:t>Length frequency distributions showed a broad size distribution of Murray cod from 2015–2020, comprised of juveniles (including YOY), sub-adults and adults. In 2019 and 2020, YOY dominated the sampled population (≥67%) and cohorts from recent recruitment events (e.g. age 1+ and ~3+) were also apparent</w:t>
      </w:r>
      <w:r w:rsidR="00B10E73">
        <w:rPr>
          <w:color w:val="auto"/>
        </w:rPr>
        <w:t xml:space="preserve"> in 2020</w:t>
      </w:r>
      <w:r w:rsidR="007D4C71" w:rsidRPr="00850DBC">
        <w:rPr>
          <w:color w:val="auto"/>
        </w:rPr>
        <w:t xml:space="preserve">. This contrasts </w:t>
      </w:r>
      <w:r w:rsidR="008E786A">
        <w:rPr>
          <w:color w:val="auto"/>
        </w:rPr>
        <w:t>with</w:t>
      </w:r>
      <w:r w:rsidR="007D4C71" w:rsidRPr="00850DBC">
        <w:rPr>
          <w:color w:val="auto"/>
        </w:rPr>
        <w:t xml:space="preserve"> the Millennium </w:t>
      </w:r>
      <w:r w:rsidR="004207AA">
        <w:rPr>
          <w:color w:val="auto"/>
        </w:rPr>
        <w:t>D</w:t>
      </w:r>
      <w:r w:rsidR="007D4C71" w:rsidRPr="00850DBC">
        <w:rPr>
          <w:color w:val="auto"/>
        </w:rPr>
        <w:t>rought period (2003–2009) whe</w:t>
      </w:r>
      <w:r w:rsidR="008E786A">
        <w:rPr>
          <w:color w:val="auto"/>
        </w:rPr>
        <w:t>n</w:t>
      </w:r>
      <w:r w:rsidR="007D4C71" w:rsidRPr="00850DBC">
        <w:rPr>
          <w:color w:val="auto"/>
        </w:rPr>
        <w:t xml:space="preserve"> length frequency distributions in the main channel of the LMR were dominated by adults &gt;800 mm TL, indicating a lack of recent recruitment (Zampatti </w:t>
      </w:r>
      <w:r w:rsidR="007D4C71" w:rsidRPr="00BE1769">
        <w:rPr>
          <w:i/>
          <w:iCs/>
          <w:color w:val="auto"/>
        </w:rPr>
        <w:t>et al.</w:t>
      </w:r>
      <w:r w:rsidR="007D4C71" w:rsidRPr="00850DBC">
        <w:rPr>
          <w:color w:val="auto"/>
        </w:rPr>
        <w:t xml:space="preserve"> 2014). The contemporary length frequency distributions in the LMR main channel indicate population resilience to environmental perturbations such as hypoxic blackwater events.</w:t>
      </w:r>
      <w:r w:rsidR="00633054">
        <w:rPr>
          <w:color w:val="auto"/>
        </w:rPr>
        <w:t xml:space="preserve"> </w:t>
      </w:r>
    </w:p>
    <w:p w14:paraId="624BAAE4" w14:textId="77777777" w:rsidR="007F69C2" w:rsidRPr="00AA5E78" w:rsidRDefault="007F69C2" w:rsidP="007F69C2">
      <w:pPr>
        <w:pStyle w:val="Heading3"/>
      </w:pPr>
      <w:r w:rsidRPr="00AA5E78">
        <w:t>Management implications</w:t>
      </w:r>
    </w:p>
    <w:p w14:paraId="0BE7C89E" w14:textId="2D946F3D" w:rsidR="007F69C2" w:rsidRPr="00AA5E78" w:rsidRDefault="0003690A" w:rsidP="007F69C2">
      <w:r w:rsidRPr="00AA5E78">
        <w:t xml:space="preserve">Murray cod show a preference for lotic habitats and in the LMR, the extent of lotic habitat available during </w:t>
      </w:r>
      <w:r>
        <w:t>spawning and early life stages</w:t>
      </w:r>
      <w:r w:rsidRPr="00AA5E78">
        <w:t xml:space="preserve"> may be important for </w:t>
      </w:r>
      <w:r>
        <w:t xml:space="preserve">the </w:t>
      </w:r>
      <w:r w:rsidRPr="00AA5E78">
        <w:t xml:space="preserve">magnitude </w:t>
      </w:r>
      <w:r>
        <w:t xml:space="preserve">of spawning </w:t>
      </w:r>
      <w:r w:rsidRPr="00AA5E78">
        <w:t xml:space="preserve">and subsequent recruitment. In 2019-20, environmental water delivered as freshes during October–early November </w:t>
      </w:r>
      <w:r>
        <w:t xml:space="preserve">increased the longitudinal extent of lotic habitats </w:t>
      </w:r>
      <w:r w:rsidR="00CC2169">
        <w:t>-</w:t>
      </w:r>
      <w:r>
        <w:t xml:space="preserve"> </w:t>
      </w:r>
      <w:r w:rsidRPr="00AA5E78">
        <w:t xml:space="preserve">defined as mean cross-sectional velocity &gt;0.3 m/s </w:t>
      </w:r>
      <w:r w:rsidR="00CC2169">
        <w:t>-</w:t>
      </w:r>
      <w:r>
        <w:t xml:space="preserve"> </w:t>
      </w:r>
      <w:r w:rsidR="00CC2169">
        <w:t>i</w:t>
      </w:r>
      <w:r>
        <w:t>n the LMR by 10%</w:t>
      </w:r>
      <w:r w:rsidRPr="00AA5E78">
        <w:t xml:space="preserve"> for at least 30 days. Specifically, downstream of Locks 4 (</w:t>
      </w:r>
      <w:r>
        <w:t>W</w:t>
      </w:r>
      <w:r w:rsidRPr="00AA5E78">
        <w:t>eir</w:t>
      </w:r>
      <w:r>
        <w:t xml:space="preserve"> P</w:t>
      </w:r>
      <w:r w:rsidRPr="00AA5E78">
        <w:t>ool 3) and 3 (</w:t>
      </w:r>
      <w:r>
        <w:t>W</w:t>
      </w:r>
      <w:r w:rsidRPr="00AA5E78">
        <w:t>eir</w:t>
      </w:r>
      <w:r>
        <w:t xml:space="preserve"> P</w:t>
      </w:r>
      <w:r w:rsidRPr="00AA5E78">
        <w:t xml:space="preserve">ool 2), the peak of the spring pulse </w:t>
      </w:r>
      <w:r>
        <w:t>was associated with an increase of lotic habitat area</w:t>
      </w:r>
      <w:r w:rsidRPr="00AA5E78">
        <w:t xml:space="preserve">, relative to </w:t>
      </w:r>
      <w:r>
        <w:t>without</w:t>
      </w:r>
      <w:r w:rsidRPr="00AA5E78">
        <w:t xml:space="preserve"> C</w:t>
      </w:r>
      <w:r>
        <w:t>ommonwealth environmental water</w:t>
      </w:r>
      <w:r w:rsidRPr="00AA5E78">
        <w:t>, two-</w:t>
      </w:r>
      <w:proofErr w:type="gramStart"/>
      <w:r w:rsidRPr="00AA5E78">
        <w:t>fold</w:t>
      </w:r>
      <w:proofErr w:type="gramEnd"/>
      <w:r w:rsidRPr="00AA5E78">
        <w:t xml:space="preserve"> and five-fold, respectively </w:t>
      </w:r>
      <w:r w:rsidR="007F69C2" w:rsidRPr="00AA5E78">
        <w:t>(</w:t>
      </w:r>
      <w:r w:rsidR="007F69C2" w:rsidRPr="00AA5E78">
        <w:fldChar w:fldCharType="begin"/>
      </w:r>
      <w:r w:rsidR="007F69C2" w:rsidRPr="00AA5E78">
        <w:instrText xml:space="preserve"> REF _Ref57899510 \h </w:instrText>
      </w:r>
      <w:r w:rsidR="007F69C2">
        <w:instrText xml:space="preserve"> \* MERGEFORMAT </w:instrText>
      </w:r>
      <w:r w:rsidR="007F69C2" w:rsidRPr="00AA5E78">
        <w:fldChar w:fldCharType="separate"/>
      </w:r>
      <w:r w:rsidR="006045CA" w:rsidRPr="00A34010">
        <w:t xml:space="preserve">Figure </w:t>
      </w:r>
      <w:r w:rsidR="006045CA">
        <w:rPr>
          <w:noProof/>
        </w:rPr>
        <w:t>56</w:t>
      </w:r>
      <w:r w:rsidR="007F69C2" w:rsidRPr="00AA5E78">
        <w:fldChar w:fldCharType="end"/>
      </w:r>
      <w:r w:rsidR="007F69C2" w:rsidRPr="00AA5E78">
        <w:t xml:space="preserve">).  </w:t>
      </w:r>
    </w:p>
    <w:p w14:paraId="56081C6E" w14:textId="2D73205D" w:rsidR="007F69C2" w:rsidRPr="00AA5E78" w:rsidRDefault="007C2D10" w:rsidP="007F69C2">
      <w:bookmarkStart w:id="297" w:name="_Hlk59546817"/>
      <w:r w:rsidRPr="00AA5E78">
        <w:t xml:space="preserve">Murray cod condition </w:t>
      </w:r>
      <w:r>
        <w:t>appeared</w:t>
      </w:r>
      <w:r w:rsidRPr="00AA5E78">
        <w:t xml:space="preserve"> to be influenced by large-scale flow events (e.g. floods) rather than localised or smaller scale deliveries (e.g. small freshes). As </w:t>
      </w:r>
      <w:r w:rsidR="007F69C2" w:rsidRPr="00AA5E78">
        <w:t xml:space="preserve">such, flow pulses </w:t>
      </w:r>
      <w:r w:rsidR="007F69C2">
        <w:t xml:space="preserve">may </w:t>
      </w:r>
      <w:r w:rsidR="007F69C2" w:rsidRPr="00AA5E78">
        <w:t xml:space="preserve">support enhanced recruitment of Murray cod </w:t>
      </w:r>
      <w:r w:rsidR="007F69C2">
        <w:t xml:space="preserve">more so </w:t>
      </w:r>
      <w:r w:rsidR="007F69C2" w:rsidRPr="00AA5E78">
        <w:t xml:space="preserve">through expansion of lotic habitat </w:t>
      </w:r>
      <w:r w:rsidR="007F69C2">
        <w:t>favoured for</w:t>
      </w:r>
      <w:r w:rsidR="007F69C2" w:rsidRPr="00AA5E78">
        <w:t xml:space="preserve"> spawning and </w:t>
      </w:r>
      <w:r w:rsidR="007F69C2">
        <w:t xml:space="preserve">by </w:t>
      </w:r>
      <w:r w:rsidR="007F69C2" w:rsidRPr="00AA5E78">
        <w:t>early</w:t>
      </w:r>
      <w:r w:rsidR="007F69C2">
        <w:t xml:space="preserve"> life stages</w:t>
      </w:r>
      <w:r w:rsidR="007F69C2" w:rsidRPr="00AA5E78">
        <w:t xml:space="preserve"> rather than productivity benefits. Nonetheless, further analysis and comparison of otolith daily growth increments will inform on finer temporal-scale influence of flow on growth.  </w:t>
      </w:r>
    </w:p>
    <w:bookmarkEnd w:id="297"/>
    <w:p w14:paraId="1037894C" w14:textId="77777777" w:rsidR="007F69C2" w:rsidRPr="00AA5E78" w:rsidRDefault="007F69C2" w:rsidP="007F69C2">
      <w:r w:rsidRPr="00AA5E78">
        <w:t xml:space="preserve">In addition to the </w:t>
      </w:r>
      <w:r>
        <w:t>delivery</w:t>
      </w:r>
      <w:r w:rsidRPr="00AA5E78">
        <w:t xml:space="preserve"> of environmental</w:t>
      </w:r>
      <w:r>
        <w:t xml:space="preserve"> water</w:t>
      </w:r>
      <w:r w:rsidRPr="00AA5E78">
        <w:t>, other actions that support the maintenance/enhancement of lotic habitats in the LMR (e.g. weir</w:t>
      </w:r>
      <w:r>
        <w:t xml:space="preserve"> </w:t>
      </w:r>
      <w:r w:rsidRPr="00AA5E78">
        <w:t xml:space="preserve">pool lowering) may further benefit Murray cod recruitment and population resilience. </w:t>
      </w:r>
    </w:p>
    <w:p w14:paraId="667140E1" w14:textId="77777777" w:rsidR="007F69C2" w:rsidRDefault="007F69C2" w:rsidP="007F69C2">
      <w:pPr>
        <w:pStyle w:val="Heading3"/>
      </w:pPr>
      <w:r>
        <w:t>Conclusion</w:t>
      </w:r>
    </w:p>
    <w:p w14:paraId="7B349051" w14:textId="7391C2F6" w:rsidR="007F69C2" w:rsidRPr="000E3E7B" w:rsidRDefault="000E3E7B" w:rsidP="007D4C71">
      <w:r>
        <w:t>Strong recruitment of Murray cod to YOY was observed in the LMR during 2019-20. While environmental water likely had negligible influence on the growth and condition of Murray cod, as the major volumes of water were delivered outside the period of growth (November–May), an increase in the extent of favourable (lotic) habitat during the spawning and early larval period may have played a key role in supporting spawning and recruitment in 2019-20. Given the early stage of our investigations for this indicator, e</w:t>
      </w:r>
      <w:r w:rsidRPr="00823981">
        <w:t>valuation of the contribution of C</w:t>
      </w:r>
      <w:r>
        <w:t>ommonwealth environmental water</w:t>
      </w:r>
      <w:r w:rsidRPr="00823981">
        <w:t xml:space="preserve"> towards </w:t>
      </w:r>
      <w:r w:rsidR="009D6DB9">
        <w:t xml:space="preserve">growth, </w:t>
      </w:r>
      <w:proofErr w:type="gramStart"/>
      <w:r w:rsidR="009D6DB9">
        <w:t>condition</w:t>
      </w:r>
      <w:proofErr w:type="gramEnd"/>
      <w:r w:rsidR="009D6DB9">
        <w:t xml:space="preserve"> and </w:t>
      </w:r>
      <w:r>
        <w:t>recruitment in 2019</w:t>
      </w:r>
      <w:r w:rsidR="009D6DB9">
        <w:t>-</w:t>
      </w:r>
      <w:r>
        <w:t xml:space="preserve">20, </w:t>
      </w:r>
      <w:r w:rsidR="00FB5EF1">
        <w:t>was conservatively designated as unknown. In future years, a more robust evaluation will be informed by multiple years of data (including otolith increment analysis), and results of the Selected Area research project and Basin-scale research and evaluation.</w:t>
      </w:r>
    </w:p>
    <w:p w14:paraId="3052D299" w14:textId="02AB97E1" w:rsidR="007E575F" w:rsidRDefault="002428EA" w:rsidP="006C34C6">
      <w:pPr>
        <w:jc w:val="center"/>
        <w:rPr>
          <w:color w:val="auto"/>
        </w:rPr>
      </w:pPr>
      <w:r w:rsidRPr="002428EA">
        <w:rPr>
          <w:noProof/>
        </w:rPr>
        <w:drawing>
          <wp:inline distT="0" distB="0" distL="0" distR="0" wp14:anchorId="3FA873A7" wp14:editId="6ADB85DE">
            <wp:extent cx="5229225" cy="7324725"/>
            <wp:effectExtent l="0" t="0" r="9525"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5229225" cy="7324725"/>
                    </a:xfrm>
                    <a:prstGeom prst="rect">
                      <a:avLst/>
                    </a:prstGeom>
                    <a:noFill/>
                    <a:ln>
                      <a:noFill/>
                    </a:ln>
                  </pic:spPr>
                </pic:pic>
              </a:graphicData>
            </a:graphic>
          </wp:inline>
        </w:drawing>
      </w:r>
    </w:p>
    <w:p w14:paraId="5B5C9834" w14:textId="2D8DFDE0" w:rsidR="00846CBB" w:rsidRDefault="00A34010" w:rsidP="000E3E7B">
      <w:pPr>
        <w:pStyle w:val="Caption"/>
        <w:rPr>
          <w:rFonts w:eastAsiaTheme="majorEastAsia" w:cstheme="majorBidi"/>
          <w:b w:val="0"/>
          <w:bCs w:val="0"/>
          <w:color w:val="44546A" w:themeColor="text2"/>
          <w:sz w:val="26"/>
          <w:szCs w:val="26"/>
        </w:rPr>
      </w:pPr>
      <w:bookmarkStart w:id="298" w:name="_Ref57899510"/>
      <w:bookmarkStart w:id="299" w:name="_Toc69387720"/>
      <w:r w:rsidRPr="00A34010">
        <w:t xml:space="preserve">Figure </w:t>
      </w:r>
      <w:r w:rsidR="006C38E9">
        <w:fldChar w:fldCharType="begin"/>
      </w:r>
      <w:r w:rsidR="006C38E9">
        <w:instrText xml:space="preserve"> SEQ Figure \* ARABIC </w:instrText>
      </w:r>
      <w:r w:rsidR="006C38E9">
        <w:fldChar w:fldCharType="separate"/>
      </w:r>
      <w:r w:rsidR="00940312">
        <w:rPr>
          <w:noProof/>
        </w:rPr>
        <w:t>56</w:t>
      </w:r>
      <w:r w:rsidR="006C38E9">
        <w:rPr>
          <w:noProof/>
        </w:rPr>
        <w:fldChar w:fldCharType="end"/>
      </w:r>
      <w:bookmarkEnd w:id="298"/>
      <w:r w:rsidR="006C34C6" w:rsidRPr="00A34010">
        <w:t>. Increases in lotic habitat in the weir pools below Lock 3 and Lock 4</w:t>
      </w:r>
      <w:r w:rsidR="002428EA">
        <w:t xml:space="preserve"> (r</w:t>
      </w:r>
      <w:r w:rsidR="006C34C6" w:rsidRPr="00A34010">
        <w:t>efer to Section 2.1 for details</w:t>
      </w:r>
      <w:r w:rsidR="002428EA">
        <w:t>) with the peak spawning period of 17 October–11 November 2019, based on back-calculated daily ages, indicated by a grey shaded bar</w:t>
      </w:r>
      <w:r w:rsidR="006C34C6" w:rsidRPr="00A34010">
        <w:t>.</w:t>
      </w:r>
      <w:bookmarkEnd w:id="299"/>
      <w:r w:rsidR="00846CBB">
        <w:br w:type="page"/>
      </w:r>
    </w:p>
    <w:p w14:paraId="703A0BE6" w14:textId="2299B7DA" w:rsidR="00914280" w:rsidRDefault="00914280" w:rsidP="00914280">
      <w:pPr>
        <w:pStyle w:val="Heading2"/>
      </w:pPr>
      <w:bookmarkStart w:id="300" w:name="_Ref56693925"/>
      <w:bookmarkStart w:id="301" w:name="_Ref56693948"/>
      <w:bookmarkStart w:id="302" w:name="_Ref56694021"/>
      <w:bookmarkStart w:id="303" w:name="_Toc69309245"/>
      <w:r>
        <w:t xml:space="preserve">Fish </w:t>
      </w:r>
      <w:bookmarkEnd w:id="270"/>
      <w:bookmarkEnd w:id="271"/>
      <w:r w:rsidR="0058193C">
        <w:t>Assemblage</w:t>
      </w:r>
      <w:bookmarkEnd w:id="272"/>
      <w:bookmarkEnd w:id="273"/>
      <w:bookmarkEnd w:id="274"/>
      <w:bookmarkEnd w:id="300"/>
      <w:bookmarkEnd w:id="301"/>
      <w:bookmarkEnd w:id="302"/>
      <w:bookmarkEnd w:id="303"/>
    </w:p>
    <w:p w14:paraId="7DE7660B" w14:textId="77777777" w:rsidR="00914280" w:rsidRPr="0000477E" w:rsidRDefault="00914280" w:rsidP="00914280">
      <w:pPr>
        <w:pStyle w:val="Heading3"/>
      </w:pPr>
      <w:r w:rsidRPr="0000477E">
        <w:t>Background</w:t>
      </w:r>
    </w:p>
    <w:p w14:paraId="22AFC3A3" w14:textId="38CD0D45" w:rsidR="00474420" w:rsidRDefault="00FD1C3B" w:rsidP="000858BA">
      <w:pPr>
        <w:rPr>
          <w:lang w:val="en-US"/>
        </w:rPr>
      </w:pPr>
      <w:r>
        <w:rPr>
          <w:lang w:val="en-US"/>
        </w:rPr>
        <w:t>In 2020</w:t>
      </w:r>
      <w:r w:rsidR="00FA168A">
        <w:rPr>
          <w:lang w:val="en-US"/>
        </w:rPr>
        <w:t>,</w:t>
      </w:r>
      <w:r w:rsidR="00FA168A" w:rsidRPr="00CD1C9C">
        <w:rPr>
          <w:lang w:val="en-US"/>
        </w:rPr>
        <w:t xml:space="preserve"> we collected fish assemblage data</w:t>
      </w:r>
      <w:r w:rsidR="00FA168A">
        <w:rPr>
          <w:lang w:val="en-US"/>
        </w:rPr>
        <w:t xml:space="preserve"> in the main channel</w:t>
      </w:r>
      <w:r w:rsidR="00FA168A" w:rsidRPr="00CD1C9C">
        <w:rPr>
          <w:lang w:val="en-US"/>
        </w:rPr>
        <w:t xml:space="preserve"> </w:t>
      </w:r>
      <w:r w:rsidR="00FA168A">
        <w:rPr>
          <w:lang w:val="en-US"/>
        </w:rPr>
        <w:t xml:space="preserve">of the LMR </w:t>
      </w:r>
      <w:r w:rsidR="00FA168A" w:rsidRPr="00CD1C9C">
        <w:rPr>
          <w:lang w:val="en-US"/>
        </w:rPr>
        <w:t>to inform Basin-scale evaluation of fish community responses to Commonwealth environmental water</w:t>
      </w:r>
      <w:r w:rsidR="00FA168A">
        <w:rPr>
          <w:lang w:val="en-US"/>
        </w:rPr>
        <w:t>. Th</w:t>
      </w:r>
      <w:r w:rsidR="00EC6A54">
        <w:rPr>
          <w:lang w:val="en-US"/>
        </w:rPr>
        <w:t>e</w:t>
      </w:r>
      <w:r w:rsidR="00FA168A">
        <w:rPr>
          <w:lang w:val="en-US"/>
        </w:rPr>
        <w:t xml:space="preserve"> evaluation </w:t>
      </w:r>
      <w:r>
        <w:rPr>
          <w:lang w:val="en-US"/>
        </w:rPr>
        <w:t xml:space="preserve">of these responses </w:t>
      </w:r>
      <w:r w:rsidR="00EC6A54">
        <w:rPr>
          <w:lang w:val="en-US"/>
        </w:rPr>
        <w:t>under the LTIM Project (2015–2019) was</w:t>
      </w:r>
      <w:r w:rsidR="00FA168A">
        <w:rPr>
          <w:lang w:val="en-US"/>
        </w:rPr>
        <w:t xml:space="preserve"> undertaken by </w:t>
      </w:r>
      <w:r w:rsidR="00FA168A" w:rsidRPr="00CD1C9C">
        <w:rPr>
          <w:lang w:val="en-US"/>
        </w:rPr>
        <w:t xml:space="preserve">the Centre for Freshwater Ecosystems at La Trobe </w:t>
      </w:r>
      <w:r w:rsidR="00B01B96" w:rsidRPr="00CD1C9C">
        <w:rPr>
          <w:lang w:val="en-US"/>
        </w:rPr>
        <w:t>University</w:t>
      </w:r>
      <w:r w:rsidR="00B01B96">
        <w:rPr>
          <w:lang w:val="en-US"/>
        </w:rPr>
        <w:t xml:space="preserve"> (</w:t>
      </w:r>
      <w:r w:rsidR="009D6DB9">
        <w:rPr>
          <w:lang w:val="en-US"/>
        </w:rPr>
        <w:t xml:space="preserve">King </w:t>
      </w:r>
      <w:r w:rsidR="009D6DB9" w:rsidRPr="00A914D6">
        <w:rPr>
          <w:i/>
          <w:iCs/>
          <w:lang w:val="en-US"/>
        </w:rPr>
        <w:t>et al.</w:t>
      </w:r>
      <w:r w:rsidR="009D6DB9">
        <w:rPr>
          <w:lang w:val="en-US"/>
        </w:rPr>
        <w:t xml:space="preserve"> 2020</w:t>
      </w:r>
      <w:r w:rsidR="00B01B96">
        <w:rPr>
          <w:lang w:val="en-US"/>
        </w:rPr>
        <w:t xml:space="preserve">), </w:t>
      </w:r>
      <w:r w:rsidR="00EC6A54">
        <w:rPr>
          <w:lang w:val="en-US"/>
        </w:rPr>
        <w:t>while the evaluation under the MER Project (2020</w:t>
      </w:r>
      <w:r w:rsidR="00490062">
        <w:rPr>
          <w:lang w:val="en-US"/>
        </w:rPr>
        <w:t>–</w:t>
      </w:r>
      <w:r w:rsidR="00EC6A54">
        <w:rPr>
          <w:lang w:val="en-US"/>
        </w:rPr>
        <w:t xml:space="preserve">2022) is being </w:t>
      </w:r>
      <w:r w:rsidR="00B01B96">
        <w:rPr>
          <w:lang w:val="en-US"/>
        </w:rPr>
        <w:t xml:space="preserve">undertaken </w:t>
      </w:r>
      <w:r w:rsidR="00B01B96" w:rsidRPr="0066617A">
        <w:rPr>
          <w:lang w:val="en-US"/>
        </w:rPr>
        <w:t>by</w:t>
      </w:r>
      <w:r w:rsidR="00A914D6">
        <w:rPr>
          <w:lang w:val="en-US"/>
        </w:rPr>
        <w:t xml:space="preserve"> a team of fish ecologists</w:t>
      </w:r>
      <w:r w:rsidR="00DD4655">
        <w:rPr>
          <w:lang w:val="en-US"/>
        </w:rPr>
        <w:t xml:space="preserve"> and biometricians</w:t>
      </w:r>
      <w:r w:rsidR="00A914D6">
        <w:rPr>
          <w:lang w:val="en-US"/>
        </w:rPr>
        <w:t xml:space="preserve">, led by the </w:t>
      </w:r>
      <w:r w:rsidR="00A914D6" w:rsidRPr="00A914D6">
        <w:rPr>
          <w:lang w:val="en-US"/>
        </w:rPr>
        <w:t xml:space="preserve">Arthur </w:t>
      </w:r>
      <w:proofErr w:type="spellStart"/>
      <w:r w:rsidR="00A914D6" w:rsidRPr="00A914D6">
        <w:rPr>
          <w:lang w:val="en-US"/>
        </w:rPr>
        <w:t>Rylah</w:t>
      </w:r>
      <w:proofErr w:type="spellEnd"/>
      <w:r w:rsidR="00A914D6" w:rsidRPr="00A914D6">
        <w:rPr>
          <w:lang w:val="en-US"/>
        </w:rPr>
        <w:t xml:space="preserve"> Institute for Environmental Research</w:t>
      </w:r>
      <w:r w:rsidR="00A914D6">
        <w:rPr>
          <w:lang w:val="en-US"/>
        </w:rPr>
        <w:t xml:space="preserve"> (ARI)</w:t>
      </w:r>
      <w:r w:rsidR="00B01B96" w:rsidRPr="0066617A">
        <w:rPr>
          <w:lang w:val="en-US"/>
        </w:rPr>
        <w:t>.</w:t>
      </w:r>
    </w:p>
    <w:p w14:paraId="546E96CD" w14:textId="27353BAF" w:rsidR="00474420" w:rsidRPr="00474420" w:rsidRDefault="00474420" w:rsidP="00FB0F60">
      <w:pPr>
        <w:rPr>
          <w:i/>
          <w:u w:val="single"/>
          <w:lang w:val="en-US"/>
        </w:rPr>
      </w:pPr>
      <w:r w:rsidRPr="00474420">
        <w:rPr>
          <w:i/>
          <w:u w:val="single"/>
          <w:lang w:val="en-US"/>
        </w:rPr>
        <w:t>Objectives</w:t>
      </w:r>
    </w:p>
    <w:p w14:paraId="67423D16" w14:textId="59D9380E" w:rsidR="007F7577" w:rsidRDefault="00FA168A" w:rsidP="00FB0F60">
      <w:r>
        <w:rPr>
          <w:lang w:val="en-US"/>
        </w:rPr>
        <w:t xml:space="preserve">In this </w:t>
      </w:r>
      <w:r w:rsidR="007C2D10">
        <w:rPr>
          <w:lang w:val="en-US"/>
        </w:rPr>
        <w:t>section</w:t>
      </w:r>
      <w:r>
        <w:rPr>
          <w:lang w:val="en-US"/>
        </w:rPr>
        <w:t>, o</w:t>
      </w:r>
      <w:r w:rsidRPr="00CD1C9C">
        <w:rPr>
          <w:lang w:val="en-US"/>
        </w:rPr>
        <w:t xml:space="preserve">ur objectives </w:t>
      </w:r>
      <w:r>
        <w:rPr>
          <w:lang w:val="en-US"/>
        </w:rPr>
        <w:t>are</w:t>
      </w:r>
      <w:r w:rsidRPr="00CD1C9C">
        <w:rPr>
          <w:lang w:val="en-US"/>
        </w:rPr>
        <w:t xml:space="preserve"> to: (1) </w:t>
      </w:r>
      <w:r>
        <w:rPr>
          <w:lang w:val="en-US"/>
        </w:rPr>
        <w:t>p</w:t>
      </w:r>
      <w:r w:rsidRPr="00CD1C9C">
        <w:rPr>
          <w:lang w:val="en-US"/>
        </w:rPr>
        <w:t xml:space="preserve">rovide summary statistics of the catch rates and population demographics for nominated species; (2) </w:t>
      </w:r>
      <w:r>
        <w:rPr>
          <w:lang w:val="en-US"/>
        </w:rPr>
        <w:t>d</w:t>
      </w:r>
      <w:r w:rsidRPr="00CD1C9C">
        <w:rPr>
          <w:lang w:val="en-US"/>
        </w:rPr>
        <w:t>escribe temporal variation in fish assemblage and population structure from 2015–20</w:t>
      </w:r>
      <w:r w:rsidR="00FD1C3B">
        <w:rPr>
          <w:lang w:val="en-US"/>
        </w:rPr>
        <w:t>20</w:t>
      </w:r>
      <w:r w:rsidRPr="00CD1C9C">
        <w:rPr>
          <w:lang w:val="en-US"/>
        </w:rPr>
        <w:t xml:space="preserve">; and (3) </w:t>
      </w:r>
      <w:r>
        <w:rPr>
          <w:lang w:val="en-US"/>
        </w:rPr>
        <w:t>d</w:t>
      </w:r>
      <w:r w:rsidRPr="00CD1C9C">
        <w:rPr>
          <w:lang w:val="en-US"/>
        </w:rPr>
        <w:t xml:space="preserve">iscuss key findings based on published research </w:t>
      </w:r>
      <w:r w:rsidR="00B01B96" w:rsidRPr="00CD1C9C">
        <w:rPr>
          <w:lang w:val="en-US"/>
        </w:rPr>
        <w:t xml:space="preserve">and </w:t>
      </w:r>
      <w:r w:rsidR="00B01B96">
        <w:rPr>
          <w:lang w:val="en-US"/>
        </w:rPr>
        <w:t>a contemporary</w:t>
      </w:r>
      <w:r w:rsidR="00B01B96" w:rsidRPr="00CD1C9C">
        <w:rPr>
          <w:lang w:val="en-US"/>
        </w:rPr>
        <w:t xml:space="preserve"> understanding </w:t>
      </w:r>
      <w:r w:rsidRPr="00CD1C9C">
        <w:rPr>
          <w:lang w:val="en-US"/>
        </w:rPr>
        <w:t>of fish life histories and population dynamics in the LMR.</w:t>
      </w:r>
      <w:r>
        <w:rPr>
          <w:lang w:val="en-US"/>
        </w:rPr>
        <w:t xml:space="preserve"> </w:t>
      </w:r>
      <w:r w:rsidRPr="004039D1">
        <w:rPr>
          <w:lang w:val="en-US"/>
        </w:rPr>
        <w:t>Our interpretations of the data for this indicator do not infer association with environmental water delivery.</w:t>
      </w:r>
    </w:p>
    <w:p w14:paraId="68A5C7A6" w14:textId="399D6BED" w:rsidR="00914280" w:rsidRPr="0000477E" w:rsidRDefault="00914280" w:rsidP="00914280">
      <w:pPr>
        <w:pStyle w:val="Heading3"/>
      </w:pPr>
      <w:r w:rsidRPr="0000477E">
        <w:t>Methods</w:t>
      </w:r>
    </w:p>
    <w:p w14:paraId="18FAA355" w14:textId="15983DDF" w:rsidR="00FA168A" w:rsidRDefault="00FA168A" w:rsidP="00FA168A">
      <w:pPr>
        <w:rPr>
          <w:lang w:val="en-US"/>
        </w:rPr>
      </w:pPr>
      <w:r w:rsidRPr="00CD1C9C">
        <w:rPr>
          <w:lang w:val="en-US"/>
        </w:rPr>
        <w:t xml:space="preserve">During </w:t>
      </w:r>
      <w:r w:rsidR="00015260">
        <w:rPr>
          <w:lang w:val="en-US"/>
        </w:rPr>
        <w:t>March–April 2020</w:t>
      </w:r>
      <w:r w:rsidRPr="00CD1C9C">
        <w:rPr>
          <w:lang w:val="en-US"/>
        </w:rPr>
        <w:t xml:space="preserve">, small- and large-bodied fish assemblages were sampled from the gorge geomorphic zone of the </w:t>
      </w:r>
      <w:r w:rsidR="005C7926">
        <w:rPr>
          <w:lang w:val="en-US"/>
        </w:rPr>
        <w:t>LMR (</w:t>
      </w:r>
      <w:r w:rsidR="005C7926">
        <w:rPr>
          <w:lang w:val="en-US"/>
        </w:rPr>
        <w:fldChar w:fldCharType="begin"/>
      </w:r>
      <w:r w:rsidR="005C7926">
        <w:rPr>
          <w:lang w:val="en-US"/>
        </w:rPr>
        <w:instrText xml:space="preserve"> REF _Ref469926522 \h </w:instrText>
      </w:r>
      <w:r w:rsidR="005C7926">
        <w:rPr>
          <w:lang w:val="en-US"/>
        </w:rPr>
      </w:r>
      <w:r w:rsidR="005C7926">
        <w:rPr>
          <w:lang w:val="en-US"/>
        </w:rPr>
        <w:fldChar w:fldCharType="separate"/>
      </w:r>
      <w:r w:rsidR="006045CA">
        <w:t xml:space="preserve">Figure </w:t>
      </w:r>
      <w:r w:rsidR="006045CA">
        <w:rPr>
          <w:noProof/>
        </w:rPr>
        <w:t>1</w:t>
      </w:r>
      <w:r w:rsidR="005C7926">
        <w:rPr>
          <w:lang w:val="en-US"/>
        </w:rPr>
        <w:fldChar w:fldCharType="end"/>
      </w:r>
      <w:r>
        <w:rPr>
          <w:lang w:val="en-US"/>
        </w:rPr>
        <w:t>)</w:t>
      </w:r>
      <w:r w:rsidRPr="00CD1C9C">
        <w:rPr>
          <w:lang w:val="en-US"/>
        </w:rPr>
        <w:t xml:space="preserve"> using fyke nets and electrofishing, respectively. Prescribed methods </w:t>
      </w:r>
      <w:r>
        <w:rPr>
          <w:color w:val="auto"/>
          <w:lang w:val="en-US"/>
        </w:rPr>
        <w:t>(</w:t>
      </w:r>
      <w:r w:rsidRPr="00CD1C9C">
        <w:rPr>
          <w:color w:val="auto"/>
          <w:lang w:val="en-US"/>
        </w:rPr>
        <w:t xml:space="preserve">Hale </w:t>
      </w:r>
      <w:r w:rsidRPr="00CD1C9C">
        <w:rPr>
          <w:i/>
          <w:color w:val="auto"/>
          <w:lang w:val="en-US"/>
        </w:rPr>
        <w:t>et al.</w:t>
      </w:r>
      <w:r w:rsidRPr="00CD1C9C">
        <w:rPr>
          <w:color w:val="auto"/>
          <w:lang w:val="en-US"/>
        </w:rPr>
        <w:t xml:space="preserve"> 2014) were used </w:t>
      </w:r>
      <w:r>
        <w:rPr>
          <w:color w:val="auto"/>
          <w:lang w:val="en-US"/>
        </w:rPr>
        <w:t>to obtain</w:t>
      </w:r>
      <w:r w:rsidRPr="00CD1C9C">
        <w:rPr>
          <w:color w:val="auto"/>
          <w:lang w:val="en-US"/>
        </w:rPr>
        <w:t xml:space="preserve"> </w:t>
      </w:r>
      <w:r w:rsidRPr="00CD1C9C">
        <w:rPr>
          <w:lang w:val="en-US"/>
        </w:rPr>
        <w:t>population structure data for seven target species (</w:t>
      </w:r>
      <w:r>
        <w:rPr>
          <w:lang w:val="en-US"/>
        </w:rPr>
        <w:fldChar w:fldCharType="begin"/>
      </w:r>
      <w:r>
        <w:rPr>
          <w:lang w:val="en-US"/>
        </w:rPr>
        <w:instrText xml:space="preserve"> REF _Ref876789 \h </w:instrText>
      </w:r>
      <w:r>
        <w:rPr>
          <w:lang w:val="en-US"/>
        </w:rPr>
      </w:r>
      <w:r>
        <w:rPr>
          <w:lang w:val="en-US"/>
        </w:rPr>
        <w:fldChar w:fldCharType="separate"/>
      </w:r>
      <w:r w:rsidR="006045CA">
        <w:t xml:space="preserve">Figure </w:t>
      </w:r>
      <w:r w:rsidR="006045CA">
        <w:rPr>
          <w:noProof/>
        </w:rPr>
        <w:t>57</w:t>
      </w:r>
      <w:r>
        <w:rPr>
          <w:lang w:val="en-US"/>
        </w:rPr>
        <w:fldChar w:fldCharType="end"/>
      </w:r>
      <w:r w:rsidRPr="00CD1C9C">
        <w:rPr>
          <w:lang w:val="en-US"/>
        </w:rPr>
        <w:t xml:space="preserve">). Refer to </w:t>
      </w:r>
      <w:r w:rsidRPr="00B41819">
        <w:t xml:space="preserve">SARDI </w:t>
      </w:r>
      <w:r w:rsidRPr="00AC182A">
        <w:rPr>
          <w:i/>
        </w:rPr>
        <w:t>et al.</w:t>
      </w:r>
      <w:r w:rsidRPr="00B41819">
        <w:t xml:space="preserve"> (201</w:t>
      </w:r>
      <w:r w:rsidR="00B534B7">
        <w:t>9</w:t>
      </w:r>
      <w:r w:rsidRPr="00B41819">
        <w:t xml:space="preserve">) </w:t>
      </w:r>
      <w:r w:rsidRPr="00CD1C9C">
        <w:rPr>
          <w:lang w:val="en-US"/>
        </w:rPr>
        <w:t>for detailed sampling design and methodology.</w:t>
      </w:r>
      <w:r>
        <w:rPr>
          <w:lang w:val="en-US"/>
        </w:rPr>
        <w:t xml:space="preserve"> </w:t>
      </w:r>
    </w:p>
    <w:p w14:paraId="3DFE3368" w14:textId="1CC4C1DE" w:rsidR="00FA168A" w:rsidRDefault="00074BE4" w:rsidP="00FA168A">
      <w:pPr>
        <w:rPr>
          <w:noProof/>
          <w:lang w:eastAsia="en-AU"/>
        </w:rPr>
      </w:pPr>
      <w:r w:rsidRPr="003C4AE8">
        <w:rPr>
          <w:noProof/>
          <w:lang w:eastAsia="en-AU"/>
        </w:rPr>
        <w:drawing>
          <wp:inline distT="0" distB="0" distL="0" distR="0" wp14:anchorId="69C4EA00" wp14:editId="434E30EC">
            <wp:extent cx="5727700" cy="2253615"/>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5727700" cy="2253615"/>
                    </a:xfrm>
                    <a:prstGeom prst="rect">
                      <a:avLst/>
                    </a:prstGeom>
                    <a:noFill/>
                    <a:ln>
                      <a:noFill/>
                    </a:ln>
                  </pic:spPr>
                </pic:pic>
              </a:graphicData>
            </a:graphic>
          </wp:inline>
        </w:drawing>
      </w:r>
    </w:p>
    <w:p w14:paraId="5C06EC6E" w14:textId="23B55E3D" w:rsidR="00FA168A" w:rsidRPr="005A47ED" w:rsidRDefault="00FA168A" w:rsidP="00FA168A">
      <w:pPr>
        <w:pStyle w:val="Caption"/>
      </w:pPr>
      <w:bookmarkStart w:id="304" w:name="_Ref876789"/>
      <w:bookmarkStart w:id="305" w:name="_Toc3558383"/>
      <w:bookmarkStart w:id="306" w:name="_Toc69387721"/>
      <w:r>
        <w:t xml:space="preserve">Figure </w:t>
      </w:r>
      <w:r>
        <w:rPr>
          <w:noProof/>
        </w:rPr>
        <w:fldChar w:fldCharType="begin"/>
      </w:r>
      <w:r>
        <w:rPr>
          <w:noProof/>
        </w:rPr>
        <w:instrText xml:space="preserve"> SEQ Figure \* ARABIC </w:instrText>
      </w:r>
      <w:r>
        <w:rPr>
          <w:noProof/>
        </w:rPr>
        <w:fldChar w:fldCharType="separate"/>
      </w:r>
      <w:r w:rsidR="00940312">
        <w:rPr>
          <w:noProof/>
        </w:rPr>
        <w:t>57</w:t>
      </w:r>
      <w:r>
        <w:rPr>
          <w:noProof/>
        </w:rPr>
        <w:fldChar w:fldCharType="end"/>
      </w:r>
      <w:bookmarkEnd w:id="304"/>
      <w:r w:rsidRPr="005A47ED">
        <w:t xml:space="preserve">. Target species for the </w:t>
      </w:r>
      <w:r w:rsidR="008C22A9" w:rsidRPr="00607412">
        <w:t>L</w:t>
      </w:r>
      <w:r w:rsidR="008C22A9">
        <w:t xml:space="preserve">ower </w:t>
      </w:r>
      <w:r w:rsidR="008C22A9" w:rsidRPr="00607412">
        <w:t>M</w:t>
      </w:r>
      <w:r w:rsidR="008C22A9">
        <w:t xml:space="preserve">urray </w:t>
      </w:r>
      <w:r w:rsidR="008C22A9" w:rsidRPr="00607412">
        <w:t>R</w:t>
      </w:r>
      <w:r w:rsidR="008C22A9">
        <w:t>iver</w:t>
      </w:r>
      <w:r w:rsidRPr="005A47ED">
        <w:t>: (a) Murray cod and (b) freshwater catfish (equilibrium life history); (c) golden perch and (d) silver perch (periodic life hi</w:t>
      </w:r>
      <w:r>
        <w:t xml:space="preserve">story); and </w:t>
      </w:r>
      <w:r w:rsidR="00D716D6">
        <w:t>(e)</w:t>
      </w:r>
      <w:r w:rsidR="002F7BE7">
        <w:t xml:space="preserve"> </w:t>
      </w:r>
      <w:r>
        <w:t xml:space="preserve">carp </w:t>
      </w:r>
      <w:proofErr w:type="spellStart"/>
      <w:r>
        <w:t>gudgeon</w:t>
      </w:r>
      <w:proofErr w:type="spellEnd"/>
      <w:r>
        <w:t>,</w:t>
      </w:r>
      <w:r w:rsidRPr="005A47ED">
        <w:t xml:space="preserve"> (f) Murray rainbowfish</w:t>
      </w:r>
      <w:r>
        <w:t xml:space="preserve"> and (g) bony herring</w:t>
      </w:r>
      <w:r w:rsidRPr="005A47ED">
        <w:t xml:space="preserve"> (opportunistic life history).</w:t>
      </w:r>
      <w:bookmarkEnd w:id="305"/>
      <w:bookmarkEnd w:id="306"/>
    </w:p>
    <w:p w14:paraId="10A91506" w14:textId="01A12A38" w:rsidR="00FA168A" w:rsidRDefault="00FA168A" w:rsidP="00FA168A">
      <w:pPr>
        <w:rPr>
          <w:b/>
          <w:color w:val="44546A" w:themeColor="text2"/>
          <w:sz w:val="26"/>
          <w:szCs w:val="26"/>
        </w:rPr>
      </w:pPr>
      <w:r>
        <w:rPr>
          <w:lang w:val="en-US"/>
        </w:rPr>
        <w:t>Temporal variation in fish assemblage structure (species composition and abundance), between sampling years</w:t>
      </w:r>
      <w:r w:rsidR="00025F13">
        <w:rPr>
          <w:lang w:val="en-US"/>
        </w:rPr>
        <w:t xml:space="preserve"> (i.e. 2015–2020)</w:t>
      </w:r>
      <w:r>
        <w:rPr>
          <w:lang w:val="en-US"/>
        </w:rPr>
        <w:t xml:space="preserve">, was investigated using </w:t>
      </w:r>
      <w:r w:rsidRPr="00E55399">
        <w:rPr>
          <w:lang w:val="en-US"/>
        </w:rPr>
        <w:t>Non-metric Multi-Dimensional Scaling (MDS)</w:t>
      </w:r>
      <w:r>
        <w:rPr>
          <w:lang w:val="en-US"/>
        </w:rPr>
        <w:t xml:space="preserve">, permutational multivariate analysis of variance (PERMANOVA) and Similarity Percentages (SIMPER) analysis in the software package PRIMER v. </w:t>
      </w:r>
      <w:r w:rsidRPr="00531040">
        <w:rPr>
          <w:lang w:val="en-US"/>
        </w:rPr>
        <w:t>6.1.12</w:t>
      </w:r>
      <w:r>
        <w:rPr>
          <w:lang w:val="en-US"/>
        </w:rPr>
        <w:t xml:space="preserve"> (Clarke and </w:t>
      </w:r>
      <w:proofErr w:type="spellStart"/>
      <w:r>
        <w:rPr>
          <w:lang w:val="en-US"/>
        </w:rPr>
        <w:t>Gorley</w:t>
      </w:r>
      <w:proofErr w:type="spellEnd"/>
      <w:r>
        <w:rPr>
          <w:lang w:val="en-US"/>
        </w:rPr>
        <w:t xml:space="preserve"> 20</w:t>
      </w:r>
      <w:r w:rsidR="004679F4">
        <w:rPr>
          <w:lang w:val="en-US"/>
        </w:rPr>
        <w:t>15</w:t>
      </w:r>
      <w:r>
        <w:rPr>
          <w:lang w:val="en-US"/>
        </w:rPr>
        <w:t xml:space="preserve">) and PERMANOVA + v.1.02 (Anderson </w:t>
      </w:r>
      <w:r w:rsidRPr="00C673C6">
        <w:rPr>
          <w:i/>
          <w:lang w:val="en-US"/>
        </w:rPr>
        <w:t>et al.</w:t>
      </w:r>
      <w:r>
        <w:rPr>
          <w:lang w:val="en-US"/>
        </w:rPr>
        <w:t xml:space="preserve"> 2008).</w:t>
      </w:r>
      <w:r w:rsidRPr="00C673C6">
        <w:rPr>
          <w:lang w:val="en-US"/>
        </w:rPr>
        <w:t xml:space="preserve"> </w:t>
      </w:r>
      <w:r>
        <w:rPr>
          <w:lang w:val="en-US"/>
        </w:rPr>
        <w:t xml:space="preserve">To determine temporal variation in population structure, length frequency histograms were qualitatively compared </w:t>
      </w:r>
      <w:r w:rsidR="007C2D10">
        <w:rPr>
          <w:lang w:val="en-US"/>
        </w:rPr>
        <w:t>among</w:t>
      </w:r>
      <w:r>
        <w:rPr>
          <w:lang w:val="en-US"/>
        </w:rPr>
        <w:t xml:space="preserve"> sampling years.</w:t>
      </w:r>
    </w:p>
    <w:p w14:paraId="53EF66AC" w14:textId="6ECBBC10" w:rsidR="00914280" w:rsidRPr="0000477E" w:rsidRDefault="00914280" w:rsidP="00914280">
      <w:pPr>
        <w:pStyle w:val="Heading3"/>
      </w:pPr>
      <w:r w:rsidRPr="0000477E">
        <w:t>Results</w:t>
      </w:r>
    </w:p>
    <w:p w14:paraId="2242B61E" w14:textId="503715E1" w:rsidR="00914280" w:rsidRPr="00DC60AE" w:rsidRDefault="00FA168A" w:rsidP="00914280">
      <w:pPr>
        <w:rPr>
          <w:i/>
          <w:u w:val="single"/>
        </w:rPr>
      </w:pPr>
      <w:r>
        <w:rPr>
          <w:i/>
          <w:u w:val="single"/>
        </w:rPr>
        <w:t>Catch summary</w:t>
      </w:r>
      <w:r w:rsidR="00025F13">
        <w:rPr>
          <w:i/>
          <w:u w:val="single"/>
        </w:rPr>
        <w:t xml:space="preserve"> for 2020</w:t>
      </w:r>
    </w:p>
    <w:p w14:paraId="495E72FC" w14:textId="31649556" w:rsidR="00FA168A" w:rsidRPr="00AD5B88" w:rsidRDefault="00025F13" w:rsidP="00FA168A">
      <w:pPr>
        <w:rPr>
          <w:lang w:val="en-US"/>
        </w:rPr>
      </w:pPr>
      <w:r>
        <w:rPr>
          <w:lang w:val="en-US"/>
        </w:rPr>
        <w:t>A</w:t>
      </w:r>
      <w:r w:rsidR="00FA168A" w:rsidRPr="00641F42">
        <w:rPr>
          <w:lang w:val="en-US"/>
        </w:rPr>
        <w:t xml:space="preserve"> </w:t>
      </w:r>
      <w:r w:rsidR="00FA168A" w:rsidRPr="00D21FDE">
        <w:rPr>
          <w:lang w:val="en-US"/>
        </w:rPr>
        <w:t xml:space="preserve">total of </w:t>
      </w:r>
      <w:r w:rsidR="00D21FDE" w:rsidRPr="00D21FDE">
        <w:rPr>
          <w:lang w:val="en-US"/>
        </w:rPr>
        <w:t>11</w:t>
      </w:r>
      <w:r w:rsidR="00D47134" w:rsidRPr="000858BA">
        <w:rPr>
          <w:lang w:val="en-US"/>
        </w:rPr>
        <w:t>,</w:t>
      </w:r>
      <w:r w:rsidR="00D21FDE" w:rsidRPr="00D21FDE">
        <w:rPr>
          <w:lang w:val="en-US"/>
        </w:rPr>
        <w:t>773</w:t>
      </w:r>
      <w:r w:rsidR="00FA168A" w:rsidRPr="00D21FDE">
        <w:rPr>
          <w:lang w:val="en-US"/>
        </w:rPr>
        <w:t xml:space="preserve"> individuals (ind.) from eight large-bodied fish species were collected by electrofishing. </w:t>
      </w:r>
      <w:r w:rsidRPr="00D21FDE">
        <w:rPr>
          <w:lang w:val="en-US"/>
        </w:rPr>
        <w:t>B</w:t>
      </w:r>
      <w:r w:rsidR="00FA168A" w:rsidRPr="00D21FDE">
        <w:rPr>
          <w:lang w:val="en-US"/>
        </w:rPr>
        <w:t xml:space="preserve">ony herring </w:t>
      </w:r>
      <w:r w:rsidR="00645AFC" w:rsidRPr="00D21FDE">
        <w:rPr>
          <w:lang w:val="en-US"/>
        </w:rPr>
        <w:t>(</w:t>
      </w:r>
      <w:proofErr w:type="spellStart"/>
      <w:r w:rsidR="00645AFC" w:rsidRPr="00D21FDE">
        <w:rPr>
          <w:i/>
          <w:lang w:val="en-US"/>
        </w:rPr>
        <w:t>Nematalosa</w:t>
      </w:r>
      <w:proofErr w:type="spellEnd"/>
      <w:r w:rsidR="00645AFC" w:rsidRPr="00D21FDE">
        <w:rPr>
          <w:i/>
          <w:lang w:val="en-US"/>
        </w:rPr>
        <w:t xml:space="preserve"> </w:t>
      </w:r>
      <w:proofErr w:type="spellStart"/>
      <w:r w:rsidR="00645AFC" w:rsidRPr="00D21FDE">
        <w:rPr>
          <w:i/>
          <w:lang w:val="en-US"/>
        </w:rPr>
        <w:t>erebi</w:t>
      </w:r>
      <w:proofErr w:type="spellEnd"/>
      <w:r w:rsidR="00645AFC" w:rsidRPr="00D21FDE">
        <w:rPr>
          <w:lang w:val="en-US"/>
        </w:rPr>
        <w:t xml:space="preserve">) </w:t>
      </w:r>
      <w:r w:rsidR="00FA168A" w:rsidRPr="00D21FDE">
        <w:rPr>
          <w:lang w:val="en-US"/>
        </w:rPr>
        <w:t>was the most abundant species (</w:t>
      </w:r>
      <w:r w:rsidR="00FA168A" w:rsidRPr="000858BA">
        <w:rPr>
          <w:lang w:val="en-US"/>
        </w:rPr>
        <w:t>97</w:t>
      </w:r>
      <w:r w:rsidR="00FA168A" w:rsidRPr="00D21FDE">
        <w:rPr>
          <w:lang w:val="en-US"/>
        </w:rPr>
        <w:t>% of the catch</w:t>
      </w:r>
      <w:r w:rsidR="00CE6106">
        <w:rPr>
          <w:lang w:val="en-US"/>
        </w:rPr>
        <w:t xml:space="preserve"> by number</w:t>
      </w:r>
      <w:r w:rsidR="00FA168A" w:rsidRPr="00D21FDE">
        <w:rPr>
          <w:lang w:val="en-US"/>
        </w:rPr>
        <w:t>), followed by common carp (</w:t>
      </w:r>
      <w:r w:rsidR="00FA168A" w:rsidRPr="00D21FDE">
        <w:rPr>
          <w:i/>
          <w:lang w:val="en-US"/>
        </w:rPr>
        <w:t xml:space="preserve">Cyprinus </w:t>
      </w:r>
      <w:proofErr w:type="spellStart"/>
      <w:r w:rsidR="00FA168A" w:rsidRPr="00D21FDE">
        <w:rPr>
          <w:i/>
          <w:lang w:val="en-US"/>
        </w:rPr>
        <w:t>carpio</w:t>
      </w:r>
      <w:proofErr w:type="spellEnd"/>
      <w:r w:rsidR="00FA168A" w:rsidRPr="00D21FDE">
        <w:rPr>
          <w:lang w:val="en-US"/>
        </w:rPr>
        <w:t>) (</w:t>
      </w:r>
      <w:r w:rsidR="00FA168A" w:rsidRPr="000858BA">
        <w:rPr>
          <w:lang w:val="en-US"/>
        </w:rPr>
        <w:t>1</w:t>
      </w:r>
      <w:r w:rsidR="00FA168A" w:rsidRPr="00D21FDE">
        <w:rPr>
          <w:lang w:val="en-US"/>
        </w:rPr>
        <w:t>%)</w:t>
      </w:r>
      <w:r w:rsidRPr="00D21FDE">
        <w:rPr>
          <w:lang w:val="en-US"/>
        </w:rPr>
        <w:t xml:space="preserve"> </w:t>
      </w:r>
      <w:r w:rsidR="00FA168A" w:rsidRPr="00D21FDE">
        <w:rPr>
          <w:lang w:val="en-US"/>
        </w:rPr>
        <w:t>(</w:t>
      </w:r>
      <w:r w:rsidR="00FA168A" w:rsidRPr="00D21FDE">
        <w:rPr>
          <w:lang w:val="en-US"/>
        </w:rPr>
        <w:fldChar w:fldCharType="begin"/>
      </w:r>
      <w:r w:rsidR="00FA168A" w:rsidRPr="00D21FDE">
        <w:rPr>
          <w:lang w:val="en-US"/>
        </w:rPr>
        <w:instrText xml:space="preserve"> REF _Ref876802 \h  \* MERGEFORMAT </w:instrText>
      </w:r>
      <w:r w:rsidR="00FA168A" w:rsidRPr="00D21FDE">
        <w:rPr>
          <w:lang w:val="en-US"/>
        </w:rPr>
      </w:r>
      <w:r w:rsidR="00FA168A" w:rsidRPr="00D21FDE">
        <w:rPr>
          <w:lang w:val="en-US"/>
        </w:rPr>
        <w:fldChar w:fldCharType="separate"/>
      </w:r>
      <w:r w:rsidR="006045CA">
        <w:t xml:space="preserve">Figure </w:t>
      </w:r>
      <w:r w:rsidR="006045CA">
        <w:rPr>
          <w:noProof/>
        </w:rPr>
        <w:t>58</w:t>
      </w:r>
      <w:r w:rsidR="00FA168A" w:rsidRPr="00D21FDE">
        <w:rPr>
          <w:lang w:val="en-US"/>
        </w:rPr>
        <w:fldChar w:fldCharType="end"/>
      </w:r>
      <w:r w:rsidR="00FA168A" w:rsidRPr="00D21FDE">
        <w:rPr>
          <w:lang w:val="en-US"/>
        </w:rPr>
        <w:t>a).</w:t>
      </w:r>
    </w:p>
    <w:p w14:paraId="37F7E3D1" w14:textId="50470426" w:rsidR="00FB6261" w:rsidRDefault="00FA168A" w:rsidP="00003505">
      <w:pPr>
        <w:rPr>
          <w:i/>
          <w:u w:val="single"/>
        </w:rPr>
      </w:pPr>
      <w:r w:rsidRPr="00AD5B88">
        <w:rPr>
          <w:lang w:val="en-US"/>
        </w:rPr>
        <w:t xml:space="preserve">A total of </w:t>
      </w:r>
      <w:r w:rsidR="00837A6B">
        <w:rPr>
          <w:lang w:val="en-US"/>
        </w:rPr>
        <w:t>13</w:t>
      </w:r>
      <w:r w:rsidRPr="00AD5B88">
        <w:rPr>
          <w:lang w:val="en-US"/>
        </w:rPr>
        <w:t>,</w:t>
      </w:r>
      <w:r w:rsidR="00837A6B">
        <w:rPr>
          <w:lang w:val="en-US"/>
        </w:rPr>
        <w:t>729</w:t>
      </w:r>
      <w:r w:rsidRPr="00AD5B88">
        <w:rPr>
          <w:lang w:val="en-US"/>
        </w:rPr>
        <w:t xml:space="preserve"> individuals from seven small-bodied species were collected </w:t>
      </w:r>
      <w:r w:rsidR="007C2D10">
        <w:rPr>
          <w:lang w:val="en-US"/>
        </w:rPr>
        <w:t>using</w:t>
      </w:r>
      <w:r w:rsidRPr="00AD5B88">
        <w:rPr>
          <w:lang w:val="en-US"/>
        </w:rPr>
        <w:t xml:space="preserve"> fyke nets. Carp gudgeon (</w:t>
      </w:r>
      <w:proofErr w:type="spellStart"/>
      <w:r w:rsidRPr="00AD5B88">
        <w:rPr>
          <w:i/>
          <w:lang w:val="en-US"/>
        </w:rPr>
        <w:t>Hypseleotris</w:t>
      </w:r>
      <w:proofErr w:type="spellEnd"/>
      <w:r w:rsidRPr="00AD5B88">
        <w:rPr>
          <w:lang w:val="en-US"/>
        </w:rPr>
        <w:t xml:space="preserve"> spp.) was the most abundant species (</w:t>
      </w:r>
      <w:r w:rsidR="00837A6B">
        <w:rPr>
          <w:lang w:val="en-US"/>
        </w:rPr>
        <w:t>87</w:t>
      </w:r>
      <w:r w:rsidRPr="00AD5B88">
        <w:rPr>
          <w:lang w:val="en-US"/>
        </w:rPr>
        <w:t>% of catch</w:t>
      </w:r>
      <w:r w:rsidR="00CE6106">
        <w:rPr>
          <w:lang w:val="en-US"/>
        </w:rPr>
        <w:t xml:space="preserve"> by number</w:t>
      </w:r>
      <w:r w:rsidRPr="00AD5B88">
        <w:rPr>
          <w:lang w:val="en-US"/>
        </w:rPr>
        <w:t xml:space="preserve">), followed by </w:t>
      </w:r>
      <w:r w:rsidR="00837A6B">
        <w:rPr>
          <w:lang w:val="en-US"/>
        </w:rPr>
        <w:t xml:space="preserve">Murray rainbowfish </w:t>
      </w:r>
      <w:r w:rsidRPr="00AD5B88">
        <w:rPr>
          <w:lang w:val="en-US"/>
        </w:rPr>
        <w:t>(</w:t>
      </w:r>
      <w:proofErr w:type="spellStart"/>
      <w:r w:rsidR="00837A6B" w:rsidRPr="00003505">
        <w:rPr>
          <w:i/>
          <w:lang w:val="en-US"/>
        </w:rPr>
        <w:t>Melanotaenia</w:t>
      </w:r>
      <w:proofErr w:type="spellEnd"/>
      <w:r w:rsidR="00837A6B" w:rsidRPr="00003505">
        <w:rPr>
          <w:i/>
          <w:lang w:val="en-US"/>
        </w:rPr>
        <w:t xml:space="preserve"> </w:t>
      </w:r>
      <w:proofErr w:type="spellStart"/>
      <w:r w:rsidR="00837A6B" w:rsidRPr="00003505">
        <w:rPr>
          <w:i/>
          <w:lang w:val="en-US"/>
        </w:rPr>
        <w:t>fluviatilis</w:t>
      </w:r>
      <w:proofErr w:type="spellEnd"/>
      <w:r w:rsidRPr="00AD5B88">
        <w:rPr>
          <w:lang w:val="en-US"/>
        </w:rPr>
        <w:t>) (</w:t>
      </w:r>
      <w:r w:rsidR="00837A6B">
        <w:rPr>
          <w:lang w:val="en-US"/>
        </w:rPr>
        <w:t>5</w:t>
      </w:r>
      <w:r>
        <w:rPr>
          <w:lang w:val="en-US"/>
        </w:rPr>
        <w:t>%)</w:t>
      </w:r>
      <w:r w:rsidR="00837A6B">
        <w:rPr>
          <w:lang w:val="en-US"/>
        </w:rPr>
        <w:t xml:space="preserve"> and </w:t>
      </w:r>
      <w:proofErr w:type="spellStart"/>
      <w:r w:rsidR="00837A6B">
        <w:rPr>
          <w:lang w:val="en-US"/>
        </w:rPr>
        <w:t>unspecked</w:t>
      </w:r>
      <w:proofErr w:type="spellEnd"/>
      <w:r w:rsidR="00837A6B">
        <w:rPr>
          <w:lang w:val="en-US"/>
        </w:rPr>
        <w:t xml:space="preserve"> </w:t>
      </w:r>
      <w:proofErr w:type="spellStart"/>
      <w:r w:rsidR="00837A6B">
        <w:rPr>
          <w:lang w:val="en-US"/>
        </w:rPr>
        <w:t>hardyhead</w:t>
      </w:r>
      <w:proofErr w:type="spellEnd"/>
      <w:r w:rsidR="00837A6B">
        <w:rPr>
          <w:lang w:val="en-US"/>
        </w:rPr>
        <w:t xml:space="preserve"> (</w:t>
      </w:r>
      <w:proofErr w:type="spellStart"/>
      <w:r w:rsidR="00B956BB" w:rsidRPr="00003505">
        <w:rPr>
          <w:i/>
          <w:lang w:val="en-US"/>
        </w:rPr>
        <w:t>Craterocephalus</w:t>
      </w:r>
      <w:proofErr w:type="spellEnd"/>
      <w:r w:rsidR="00B956BB" w:rsidRPr="00003505">
        <w:rPr>
          <w:i/>
          <w:lang w:val="en-US"/>
        </w:rPr>
        <w:t xml:space="preserve"> </w:t>
      </w:r>
      <w:proofErr w:type="spellStart"/>
      <w:r w:rsidR="00B956BB" w:rsidRPr="00003505">
        <w:rPr>
          <w:i/>
          <w:lang w:val="en-US"/>
        </w:rPr>
        <w:t>stercusmuscarum</w:t>
      </w:r>
      <w:proofErr w:type="spellEnd"/>
      <w:r w:rsidR="00B956BB" w:rsidRPr="00003505">
        <w:rPr>
          <w:i/>
          <w:lang w:val="en-US"/>
        </w:rPr>
        <w:t xml:space="preserve"> fulvus</w:t>
      </w:r>
      <w:r w:rsidR="00837A6B">
        <w:rPr>
          <w:lang w:val="en-US"/>
        </w:rPr>
        <w:t>) (4%)</w:t>
      </w:r>
      <w:r w:rsidRPr="00AD5B88">
        <w:rPr>
          <w:lang w:val="en-US"/>
        </w:rPr>
        <w:t xml:space="preserve"> (</w:t>
      </w:r>
      <w:r w:rsidRPr="00AD5B88">
        <w:rPr>
          <w:lang w:val="en-US"/>
        </w:rPr>
        <w:fldChar w:fldCharType="begin"/>
      </w:r>
      <w:r w:rsidRPr="00AD5B88">
        <w:rPr>
          <w:lang w:val="en-US"/>
        </w:rPr>
        <w:instrText xml:space="preserve"> REF _Ref876802 \h </w:instrText>
      </w:r>
      <w:r>
        <w:rPr>
          <w:lang w:val="en-US"/>
        </w:rPr>
        <w:instrText xml:space="preserve"> \* MERGEFORMAT </w:instrText>
      </w:r>
      <w:r w:rsidRPr="00AD5B88">
        <w:rPr>
          <w:lang w:val="en-US"/>
        </w:rPr>
      </w:r>
      <w:r w:rsidRPr="00AD5B88">
        <w:rPr>
          <w:lang w:val="en-US"/>
        </w:rPr>
        <w:fldChar w:fldCharType="separate"/>
      </w:r>
      <w:r w:rsidR="006045CA">
        <w:t xml:space="preserve">Figure </w:t>
      </w:r>
      <w:r w:rsidR="006045CA">
        <w:rPr>
          <w:noProof/>
        </w:rPr>
        <w:t>58</w:t>
      </w:r>
      <w:r w:rsidRPr="00AD5B88">
        <w:rPr>
          <w:lang w:val="en-US"/>
        </w:rPr>
        <w:fldChar w:fldCharType="end"/>
      </w:r>
      <w:r w:rsidRPr="00AD5B88">
        <w:rPr>
          <w:lang w:val="en-US"/>
        </w:rPr>
        <w:t xml:space="preserve">b). </w:t>
      </w:r>
    </w:p>
    <w:p w14:paraId="726AB7AB" w14:textId="4845C734" w:rsidR="00914280" w:rsidRDefault="00914280" w:rsidP="00914280">
      <w:pPr>
        <w:rPr>
          <w:i/>
          <w:u w:val="single"/>
        </w:rPr>
      </w:pPr>
      <w:r w:rsidRPr="00DC60AE">
        <w:rPr>
          <w:i/>
          <w:u w:val="single"/>
        </w:rPr>
        <w:t>Temporal variability in fish assemblage structure</w:t>
      </w:r>
    </w:p>
    <w:p w14:paraId="653151A7" w14:textId="47BF6FA7" w:rsidR="008B2466" w:rsidRDefault="00FA168A" w:rsidP="00FA168A">
      <w:pPr>
        <w:rPr>
          <w:lang w:val="en-US"/>
        </w:rPr>
      </w:pPr>
      <w:r>
        <w:rPr>
          <w:lang w:val="en-US"/>
        </w:rPr>
        <w:t>MDS ordination of electrofishing data demonstrated separation of 2017</w:t>
      </w:r>
      <w:r w:rsidR="00844D1C">
        <w:rPr>
          <w:lang w:val="en-US"/>
        </w:rPr>
        <w:t xml:space="preserve"> samples </w:t>
      </w:r>
      <w:r>
        <w:rPr>
          <w:lang w:val="en-US"/>
        </w:rPr>
        <w:t>from</w:t>
      </w:r>
      <w:r w:rsidR="00844D1C">
        <w:rPr>
          <w:lang w:val="en-US"/>
        </w:rPr>
        <w:t xml:space="preserve"> all</w:t>
      </w:r>
      <w:r>
        <w:rPr>
          <w:lang w:val="en-US"/>
        </w:rPr>
        <w:t xml:space="preserve"> other years (</w:t>
      </w:r>
      <w:r>
        <w:rPr>
          <w:lang w:val="en-US"/>
        </w:rPr>
        <w:fldChar w:fldCharType="begin"/>
      </w:r>
      <w:r>
        <w:rPr>
          <w:lang w:val="en-US"/>
        </w:rPr>
        <w:instrText xml:space="preserve"> REF _Ref876821 \h </w:instrText>
      </w:r>
      <w:r>
        <w:rPr>
          <w:lang w:val="en-US"/>
        </w:rPr>
      </w:r>
      <w:r>
        <w:rPr>
          <w:lang w:val="en-US"/>
        </w:rPr>
        <w:fldChar w:fldCharType="separate"/>
      </w:r>
      <w:r w:rsidR="006045CA">
        <w:t xml:space="preserve">Figure </w:t>
      </w:r>
      <w:r w:rsidR="006045CA">
        <w:rPr>
          <w:noProof/>
        </w:rPr>
        <w:t>59</w:t>
      </w:r>
      <w:r>
        <w:rPr>
          <w:lang w:val="en-US"/>
        </w:rPr>
        <w:fldChar w:fldCharType="end"/>
      </w:r>
      <w:r>
        <w:rPr>
          <w:lang w:val="en-US"/>
        </w:rPr>
        <w:t xml:space="preserve">a). </w:t>
      </w:r>
      <w:r w:rsidRPr="002D3F67">
        <w:rPr>
          <w:lang w:val="en-US"/>
        </w:rPr>
        <w:t xml:space="preserve">PERMANOVA indicated that large-bodied fish assemblages were significantly different </w:t>
      </w:r>
      <w:r w:rsidR="007C2D10">
        <w:rPr>
          <w:lang w:val="en-US"/>
        </w:rPr>
        <w:t>among</w:t>
      </w:r>
      <w:r w:rsidRPr="002D3F67">
        <w:rPr>
          <w:lang w:val="en-US"/>
        </w:rPr>
        <w:t xml:space="preserve"> years (</w:t>
      </w:r>
      <w:r w:rsidRPr="002D3F67">
        <w:rPr>
          <w:i/>
          <w:lang w:val="en-US"/>
        </w:rPr>
        <w:t>Pseudo</w:t>
      </w:r>
      <w:r w:rsidRPr="002D3F67">
        <w:rPr>
          <w:i/>
          <w:lang w:val="en-US"/>
        </w:rPr>
        <w:noBreakHyphen/>
        <w:t>F</w:t>
      </w:r>
      <w:r w:rsidR="000858BA">
        <w:rPr>
          <w:vertAlign w:val="subscript"/>
          <w:lang w:val="en-US"/>
        </w:rPr>
        <w:t>5</w:t>
      </w:r>
      <w:r w:rsidRPr="002D3F67">
        <w:rPr>
          <w:vertAlign w:val="subscript"/>
          <w:lang w:val="en-US"/>
        </w:rPr>
        <w:t>,</w:t>
      </w:r>
      <w:r w:rsidR="000858BA">
        <w:rPr>
          <w:vertAlign w:val="subscript"/>
          <w:lang w:val="en-US"/>
        </w:rPr>
        <w:t>5</w:t>
      </w:r>
      <w:r>
        <w:rPr>
          <w:vertAlign w:val="subscript"/>
          <w:lang w:val="en-US"/>
        </w:rPr>
        <w:t>4</w:t>
      </w:r>
      <w:r w:rsidRPr="002D3F67">
        <w:rPr>
          <w:lang w:val="en-US"/>
        </w:rPr>
        <w:t xml:space="preserve"> =</w:t>
      </w:r>
      <w:r w:rsidR="000858BA">
        <w:rPr>
          <w:lang w:val="en-US"/>
        </w:rPr>
        <w:t>4.9401</w:t>
      </w:r>
      <w:r w:rsidRPr="002D3F67">
        <w:rPr>
          <w:lang w:val="en-US"/>
        </w:rPr>
        <w:t xml:space="preserve">, </w:t>
      </w:r>
      <w:r w:rsidR="00AB425D">
        <w:rPr>
          <w:i/>
          <w:lang w:val="en-US"/>
        </w:rPr>
        <w:t>P</w:t>
      </w:r>
      <w:r w:rsidRPr="002D3F67">
        <w:rPr>
          <w:lang w:val="en-US"/>
        </w:rPr>
        <w:t xml:space="preserve"> </w:t>
      </w:r>
      <w:r w:rsidR="00AB425D">
        <w:t>≤0.001</w:t>
      </w:r>
      <w:r w:rsidRPr="002D3F67">
        <w:rPr>
          <w:lang w:val="en-US"/>
        </w:rPr>
        <w:t xml:space="preserve">). </w:t>
      </w:r>
      <w:r>
        <w:rPr>
          <w:lang w:val="en-US"/>
        </w:rPr>
        <w:t xml:space="preserve">Pairwise comparisons revealed significant differences between </w:t>
      </w:r>
      <w:r w:rsidR="00B8120D">
        <w:rPr>
          <w:lang w:val="en-US"/>
        </w:rPr>
        <w:t xml:space="preserve">2017 and </w:t>
      </w:r>
      <w:r w:rsidR="00885C44">
        <w:rPr>
          <w:lang w:val="en-US"/>
        </w:rPr>
        <w:t>2015, 2017 and 2018, 2017 and 2019, and 2017 and 2020</w:t>
      </w:r>
      <w:r>
        <w:rPr>
          <w:lang w:val="en-US"/>
        </w:rPr>
        <w:t xml:space="preserve">, </w:t>
      </w:r>
      <w:r w:rsidR="00B8120D">
        <w:rPr>
          <w:lang w:val="en-US"/>
        </w:rPr>
        <w:t>but no</w:t>
      </w:r>
      <w:r w:rsidR="000D3BE9">
        <w:rPr>
          <w:lang w:val="en-US"/>
        </w:rPr>
        <w:t>t</w:t>
      </w:r>
      <w:r w:rsidR="00B8120D">
        <w:rPr>
          <w:lang w:val="en-US"/>
        </w:rPr>
        <w:t xml:space="preserve"> </w:t>
      </w:r>
      <w:r w:rsidR="0083426E">
        <w:rPr>
          <w:lang w:val="en-US"/>
        </w:rPr>
        <w:t xml:space="preserve">for </w:t>
      </w:r>
      <w:r w:rsidR="00B8120D">
        <w:rPr>
          <w:lang w:val="en-US"/>
        </w:rPr>
        <w:t xml:space="preserve">any other </w:t>
      </w:r>
      <w:r w:rsidR="007C2D10">
        <w:rPr>
          <w:lang w:val="en-US"/>
        </w:rPr>
        <w:t>pairs of years</w:t>
      </w:r>
      <w:r>
        <w:rPr>
          <w:lang w:val="en-US"/>
        </w:rPr>
        <w:t xml:space="preserve"> (</w:t>
      </w:r>
      <w:r w:rsidR="00002263">
        <w:rPr>
          <w:lang w:val="en-US"/>
        </w:rPr>
        <w:fldChar w:fldCharType="begin"/>
      </w:r>
      <w:r w:rsidR="00002263">
        <w:rPr>
          <w:lang w:val="en-US"/>
        </w:rPr>
        <w:instrText xml:space="preserve"> REF _Ref876821 \h </w:instrText>
      </w:r>
      <w:r w:rsidR="00002263">
        <w:rPr>
          <w:lang w:val="en-US"/>
        </w:rPr>
      </w:r>
      <w:r w:rsidR="00002263">
        <w:rPr>
          <w:lang w:val="en-US"/>
        </w:rPr>
        <w:fldChar w:fldCharType="separate"/>
      </w:r>
      <w:r w:rsidR="006045CA">
        <w:t xml:space="preserve">Figure </w:t>
      </w:r>
      <w:r w:rsidR="006045CA">
        <w:rPr>
          <w:noProof/>
        </w:rPr>
        <w:t>59</w:t>
      </w:r>
      <w:r w:rsidR="00002263">
        <w:rPr>
          <w:lang w:val="en-US"/>
        </w:rPr>
        <w:fldChar w:fldCharType="end"/>
      </w:r>
      <w:r w:rsidR="00002263">
        <w:rPr>
          <w:lang w:val="en-US"/>
        </w:rPr>
        <w:t>a</w:t>
      </w:r>
      <w:r>
        <w:rPr>
          <w:lang w:val="en-US"/>
        </w:rPr>
        <w:t>).</w:t>
      </w:r>
      <w:r w:rsidR="008B2466" w:rsidRPr="008B2466">
        <w:rPr>
          <w:lang w:val="en-US"/>
        </w:rPr>
        <w:t xml:space="preserve"> </w:t>
      </w:r>
    </w:p>
    <w:p w14:paraId="58D1F78D" w14:textId="6DF48811" w:rsidR="00FA168A" w:rsidRDefault="008B2466" w:rsidP="00FA168A">
      <w:pPr>
        <w:rPr>
          <w:lang w:val="en-US"/>
        </w:rPr>
      </w:pPr>
      <w:r>
        <w:rPr>
          <w:lang w:val="en-US"/>
        </w:rPr>
        <w:t xml:space="preserve">For </w:t>
      </w:r>
      <w:r w:rsidRPr="00157A32">
        <w:rPr>
          <w:lang w:val="en-US"/>
        </w:rPr>
        <w:t>small-bodied fish assemblages</w:t>
      </w:r>
      <w:r>
        <w:rPr>
          <w:lang w:val="en-US"/>
        </w:rPr>
        <w:t>,</w:t>
      </w:r>
      <w:r w:rsidRPr="00157A32">
        <w:rPr>
          <w:lang w:val="en-US"/>
        </w:rPr>
        <w:t xml:space="preserve"> </w:t>
      </w:r>
      <w:r>
        <w:rPr>
          <w:lang w:val="en-US"/>
        </w:rPr>
        <w:t>t</w:t>
      </w:r>
      <w:r w:rsidRPr="00157A32">
        <w:rPr>
          <w:lang w:val="en-US"/>
        </w:rPr>
        <w:t>here were significant differences</w:t>
      </w:r>
      <w:r w:rsidRPr="00E62FAB">
        <w:rPr>
          <w:lang w:val="en-US"/>
        </w:rPr>
        <w:t xml:space="preserve"> </w:t>
      </w:r>
      <w:r w:rsidR="007C2D10">
        <w:rPr>
          <w:lang w:val="en-US"/>
        </w:rPr>
        <w:t>among</w:t>
      </w:r>
      <w:r w:rsidRPr="00157A32">
        <w:rPr>
          <w:lang w:val="en-US"/>
        </w:rPr>
        <w:t xml:space="preserve"> years (</w:t>
      </w:r>
      <w:r w:rsidRPr="00157A32">
        <w:rPr>
          <w:i/>
          <w:lang w:val="en-US"/>
        </w:rPr>
        <w:t>Pseudo</w:t>
      </w:r>
      <w:r w:rsidRPr="00157A32">
        <w:rPr>
          <w:i/>
          <w:lang w:val="en-US"/>
        </w:rPr>
        <w:noBreakHyphen/>
        <w:t>F</w:t>
      </w:r>
      <w:r>
        <w:rPr>
          <w:vertAlign w:val="subscript"/>
          <w:lang w:val="en-US"/>
        </w:rPr>
        <w:t>5</w:t>
      </w:r>
      <w:r w:rsidRPr="00157A32">
        <w:rPr>
          <w:vertAlign w:val="subscript"/>
          <w:lang w:val="en-US"/>
        </w:rPr>
        <w:t>,</w:t>
      </w:r>
      <w:r>
        <w:rPr>
          <w:vertAlign w:val="subscript"/>
          <w:lang w:val="en-US"/>
        </w:rPr>
        <w:t>59</w:t>
      </w:r>
      <w:r w:rsidRPr="00157A32">
        <w:rPr>
          <w:lang w:val="en-US"/>
        </w:rPr>
        <w:t xml:space="preserve"> =</w:t>
      </w:r>
      <w:r>
        <w:rPr>
          <w:lang w:val="en-US"/>
        </w:rPr>
        <w:t>4.0628</w:t>
      </w:r>
      <w:r w:rsidRPr="00157A32">
        <w:rPr>
          <w:lang w:val="en-US"/>
        </w:rPr>
        <w:t xml:space="preserve">, </w:t>
      </w:r>
      <w:r>
        <w:rPr>
          <w:i/>
          <w:lang w:val="en-US"/>
        </w:rPr>
        <w:t>P</w:t>
      </w:r>
      <w:r>
        <w:t>≤0.001</w:t>
      </w:r>
      <w:r w:rsidRPr="00157A32">
        <w:rPr>
          <w:lang w:val="en-US"/>
        </w:rPr>
        <w:t>). PERMANOVA pair-</w:t>
      </w:r>
      <w:r>
        <w:rPr>
          <w:lang w:val="en-US"/>
        </w:rPr>
        <w:t>wise comparisons revealed significant differences in small-bodied fish assemblages between 2017 and 2016, 2017 and 2018, and 2017 and 20</w:t>
      </w:r>
      <w:r w:rsidR="0083426E">
        <w:rPr>
          <w:lang w:val="en-US"/>
        </w:rPr>
        <w:t>2</w:t>
      </w:r>
      <w:r>
        <w:rPr>
          <w:lang w:val="en-US"/>
        </w:rPr>
        <w:t xml:space="preserve">0, but not </w:t>
      </w:r>
      <w:r w:rsidR="0083426E">
        <w:rPr>
          <w:lang w:val="en-US"/>
        </w:rPr>
        <w:t xml:space="preserve">for </w:t>
      </w:r>
      <w:r>
        <w:rPr>
          <w:lang w:val="en-US"/>
        </w:rPr>
        <w:t xml:space="preserve">any other </w:t>
      </w:r>
      <w:r w:rsidR="007C2D10">
        <w:rPr>
          <w:lang w:val="en-US"/>
        </w:rPr>
        <w:t>pairs of years</w:t>
      </w:r>
      <w:r>
        <w:rPr>
          <w:lang w:val="en-US"/>
        </w:rPr>
        <w:t xml:space="preserve"> (</w:t>
      </w:r>
      <w:r w:rsidR="00002263">
        <w:rPr>
          <w:lang w:val="en-US"/>
        </w:rPr>
        <w:fldChar w:fldCharType="begin"/>
      </w:r>
      <w:r w:rsidR="00002263">
        <w:rPr>
          <w:lang w:val="en-US"/>
        </w:rPr>
        <w:instrText xml:space="preserve"> REF _Ref876821 \h </w:instrText>
      </w:r>
      <w:r w:rsidR="00002263">
        <w:rPr>
          <w:lang w:val="en-US"/>
        </w:rPr>
      </w:r>
      <w:r w:rsidR="00002263">
        <w:rPr>
          <w:lang w:val="en-US"/>
        </w:rPr>
        <w:fldChar w:fldCharType="separate"/>
      </w:r>
      <w:r w:rsidR="006045CA">
        <w:t xml:space="preserve">Figure </w:t>
      </w:r>
      <w:r w:rsidR="006045CA">
        <w:rPr>
          <w:noProof/>
        </w:rPr>
        <w:t>59</w:t>
      </w:r>
      <w:r w:rsidR="00002263">
        <w:rPr>
          <w:lang w:val="en-US"/>
        </w:rPr>
        <w:fldChar w:fldCharType="end"/>
      </w:r>
      <w:r w:rsidR="00002263">
        <w:rPr>
          <w:lang w:val="en-US"/>
        </w:rPr>
        <w:t>b</w:t>
      </w:r>
      <w:r>
        <w:rPr>
          <w:lang w:val="en-US"/>
        </w:rPr>
        <w:t>).</w:t>
      </w:r>
    </w:p>
    <w:p w14:paraId="6D67C4DC" w14:textId="77777777" w:rsidR="00490062" w:rsidRDefault="00490062" w:rsidP="00490062">
      <w:pPr>
        <w:jc w:val="center"/>
        <w:rPr>
          <w:lang w:val="en-US"/>
        </w:rPr>
      </w:pPr>
      <w:r w:rsidRPr="00AC7A61">
        <w:rPr>
          <w:noProof/>
          <w:lang w:eastAsia="en-AU"/>
        </w:rPr>
        <w:drawing>
          <wp:inline distT="0" distB="0" distL="0" distR="0" wp14:anchorId="09CD6FE1" wp14:editId="2949B8E5">
            <wp:extent cx="4781550" cy="6886575"/>
            <wp:effectExtent l="0" t="0" r="0" b="952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9" cstate="email">
                      <a:extLst>
                        <a:ext uri="{28A0092B-C50C-407E-A947-70E740481C1C}">
                          <a14:useLocalDpi xmlns:a14="http://schemas.microsoft.com/office/drawing/2010/main"/>
                        </a:ext>
                      </a:extLst>
                    </a:blip>
                    <a:srcRect t="5115" r="2334" b="2430"/>
                    <a:stretch/>
                  </pic:blipFill>
                  <pic:spPr bwMode="auto">
                    <a:xfrm>
                      <a:off x="0" y="0"/>
                      <a:ext cx="4781550" cy="6886575"/>
                    </a:xfrm>
                    <a:prstGeom prst="rect">
                      <a:avLst/>
                    </a:prstGeom>
                    <a:noFill/>
                    <a:ln>
                      <a:noFill/>
                    </a:ln>
                    <a:extLst>
                      <a:ext uri="{53640926-AAD7-44D8-BBD7-CCE9431645EC}">
                        <a14:shadowObscured xmlns:a14="http://schemas.microsoft.com/office/drawing/2010/main"/>
                      </a:ext>
                    </a:extLst>
                  </pic:spPr>
                </pic:pic>
              </a:graphicData>
            </a:graphic>
          </wp:inline>
        </w:drawing>
      </w:r>
    </w:p>
    <w:p w14:paraId="40F81F16" w14:textId="411AFFD9" w:rsidR="00490062" w:rsidRDefault="00490062" w:rsidP="00490062">
      <w:pPr>
        <w:pStyle w:val="Caption"/>
      </w:pPr>
      <w:bookmarkStart w:id="307" w:name="_Ref876802"/>
      <w:bookmarkStart w:id="308" w:name="_Toc442173730"/>
      <w:bookmarkStart w:id="309" w:name="_Toc3558384"/>
      <w:bookmarkStart w:id="310" w:name="_Toc69387722"/>
      <w:r>
        <w:t xml:space="preserve">Figure </w:t>
      </w:r>
      <w:r>
        <w:rPr>
          <w:noProof/>
        </w:rPr>
        <w:fldChar w:fldCharType="begin"/>
      </w:r>
      <w:r>
        <w:rPr>
          <w:noProof/>
        </w:rPr>
        <w:instrText xml:space="preserve"> SEQ Figure \* ARABIC </w:instrText>
      </w:r>
      <w:r>
        <w:rPr>
          <w:noProof/>
        </w:rPr>
        <w:fldChar w:fldCharType="separate"/>
      </w:r>
      <w:r w:rsidR="00940312">
        <w:rPr>
          <w:noProof/>
        </w:rPr>
        <w:t>58</w:t>
      </w:r>
      <w:r>
        <w:rPr>
          <w:noProof/>
        </w:rPr>
        <w:fldChar w:fldCharType="end"/>
      </w:r>
      <w:bookmarkEnd w:id="307"/>
      <w:r>
        <w:t xml:space="preserve">. </w:t>
      </w:r>
      <w:bookmarkEnd w:id="308"/>
      <w:r w:rsidRPr="00641F42">
        <w:t xml:space="preserve">Mean catch-per-unit-effort (CPUE) </w:t>
      </w:r>
      <w:r w:rsidRPr="00641F42">
        <w:rPr>
          <w:rFonts w:cstheme="minorHAnsi"/>
        </w:rPr>
        <w:t>±</w:t>
      </w:r>
      <w:r w:rsidRPr="00641F42">
        <w:t xml:space="preserve"> standard error of </w:t>
      </w:r>
      <w:r>
        <w:t>(</w:t>
      </w:r>
      <w:r w:rsidRPr="00641F42">
        <w:t xml:space="preserve">a) large-bodied fish species captured using electrofishing (individuals per 90 second shot) and </w:t>
      </w:r>
      <w:r>
        <w:t>(</w:t>
      </w:r>
      <w:r w:rsidRPr="00641F42">
        <w:t xml:space="preserve">b) small-bodied fish species captured using fine-mesh fyke nets (individuals per net per hour) in the gorge geomorphic zone (10 sites) of the </w:t>
      </w:r>
      <w:r w:rsidR="008C22A9" w:rsidRPr="00607412">
        <w:t>L</w:t>
      </w:r>
      <w:r w:rsidR="008C22A9">
        <w:t xml:space="preserve">ower </w:t>
      </w:r>
      <w:r w:rsidR="008C22A9" w:rsidRPr="00607412">
        <w:t>M</w:t>
      </w:r>
      <w:r w:rsidR="008C22A9">
        <w:t xml:space="preserve">urray </w:t>
      </w:r>
      <w:r w:rsidR="008C22A9" w:rsidRPr="00607412">
        <w:t>R</w:t>
      </w:r>
      <w:r w:rsidR="008C22A9">
        <w:t>iver</w:t>
      </w:r>
      <w:r w:rsidRPr="00641F42">
        <w:t xml:space="preserve"> </w:t>
      </w:r>
      <w:r>
        <w:t>in autumn from 2015–2020. Electrofishing CPUE data from five sites are presented for 2017 as other sites were sampled during winter 2017.</w:t>
      </w:r>
      <w:bookmarkEnd w:id="309"/>
      <w:r w:rsidR="00002263">
        <w:t xml:space="preserve"> See Table D17 in Appendix for statistics.</w:t>
      </w:r>
      <w:bookmarkEnd w:id="310"/>
    </w:p>
    <w:p w14:paraId="43BF4334" w14:textId="77777777" w:rsidR="00490062" w:rsidRDefault="00490062" w:rsidP="00FA168A">
      <w:pPr>
        <w:rPr>
          <w:lang w:val="en-US"/>
        </w:rPr>
      </w:pPr>
    </w:p>
    <w:p w14:paraId="3C3E555A" w14:textId="335DDA32" w:rsidR="00FA168A" w:rsidRDefault="00CD6D4F" w:rsidP="00FA168A">
      <w:pPr>
        <w:jc w:val="center"/>
      </w:pPr>
      <w:r w:rsidRPr="00CD6D4F">
        <w:rPr>
          <w:noProof/>
          <w:lang w:eastAsia="en-AU"/>
        </w:rPr>
        <w:drawing>
          <wp:inline distT="0" distB="0" distL="0" distR="0" wp14:anchorId="581FB5DB" wp14:editId="0DDF1A48">
            <wp:extent cx="4676775" cy="5638391"/>
            <wp:effectExtent l="0" t="0" r="0" b="63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4684494" cy="5647697"/>
                    </a:xfrm>
                    <a:prstGeom prst="rect">
                      <a:avLst/>
                    </a:prstGeom>
                    <a:noFill/>
                    <a:ln>
                      <a:noFill/>
                    </a:ln>
                  </pic:spPr>
                </pic:pic>
              </a:graphicData>
            </a:graphic>
          </wp:inline>
        </w:drawing>
      </w:r>
    </w:p>
    <w:p w14:paraId="3E5D2E9E" w14:textId="3F423044" w:rsidR="00FA168A" w:rsidRDefault="00FA168A" w:rsidP="00FA168A">
      <w:pPr>
        <w:pStyle w:val="Caption"/>
      </w:pPr>
      <w:bookmarkStart w:id="311" w:name="_Ref876821"/>
      <w:bookmarkStart w:id="312" w:name="_Toc3558385"/>
      <w:bookmarkStart w:id="313" w:name="_Toc69387723"/>
      <w:r>
        <w:t xml:space="preserve">Figure </w:t>
      </w:r>
      <w:r>
        <w:rPr>
          <w:noProof/>
        </w:rPr>
        <w:fldChar w:fldCharType="begin"/>
      </w:r>
      <w:r>
        <w:rPr>
          <w:noProof/>
        </w:rPr>
        <w:instrText xml:space="preserve"> SEQ Figure \* ARABIC </w:instrText>
      </w:r>
      <w:r>
        <w:rPr>
          <w:noProof/>
        </w:rPr>
        <w:fldChar w:fldCharType="separate"/>
      </w:r>
      <w:r w:rsidR="00940312">
        <w:rPr>
          <w:noProof/>
        </w:rPr>
        <w:t>59</w:t>
      </w:r>
      <w:r>
        <w:rPr>
          <w:noProof/>
        </w:rPr>
        <w:fldChar w:fldCharType="end"/>
      </w:r>
      <w:bookmarkEnd w:id="311"/>
      <w:r>
        <w:t>. Non-metric multi-dimensional scaling (MDS)</w:t>
      </w:r>
      <w:r w:rsidRPr="00962FA5">
        <w:t xml:space="preserve"> </w:t>
      </w:r>
      <w:r>
        <w:t xml:space="preserve">plot of (a) large-bodied fish assemblages sampled by electrofishing and (b) small-bodied fish assemblages sampled by fyke netting in the gorge geomorphic zone of the </w:t>
      </w:r>
      <w:r w:rsidR="008C22A9" w:rsidRPr="00607412">
        <w:t>L</w:t>
      </w:r>
      <w:r w:rsidR="008C22A9">
        <w:t xml:space="preserve">ower </w:t>
      </w:r>
      <w:r w:rsidR="008C22A9" w:rsidRPr="00607412">
        <w:t>M</w:t>
      </w:r>
      <w:r w:rsidR="008C22A9">
        <w:t xml:space="preserve">urray </w:t>
      </w:r>
      <w:r w:rsidR="008C22A9" w:rsidRPr="00607412">
        <w:t>R</w:t>
      </w:r>
      <w:r w:rsidR="008C22A9">
        <w:t>iver</w:t>
      </w:r>
      <w:r>
        <w:t xml:space="preserve"> from 2015–20</w:t>
      </w:r>
      <w:r w:rsidR="00C17882">
        <w:t>20</w:t>
      </w:r>
      <w:r>
        <w:t>. Sites (</w:t>
      </w:r>
      <w:r w:rsidRPr="00F531CD">
        <w:rPr>
          <w:i/>
        </w:rPr>
        <w:t>n</w:t>
      </w:r>
      <w:r>
        <w:t xml:space="preserve"> = 5) sampled in winter 2017 were removed from the ordination.</w:t>
      </w:r>
      <w:bookmarkEnd w:id="312"/>
      <w:bookmarkEnd w:id="313"/>
    </w:p>
    <w:p w14:paraId="675DBEEB" w14:textId="766575B5" w:rsidR="00FA168A" w:rsidRPr="00FA168A" w:rsidRDefault="00FA168A" w:rsidP="00FA168A">
      <w:pPr>
        <w:rPr>
          <w:lang w:val="en-US"/>
        </w:rPr>
      </w:pPr>
      <w:r>
        <w:rPr>
          <w:lang w:val="en-US"/>
        </w:rPr>
        <w:t>SIMPER indicated that differences between years for large-bodied fish assemblages were primarily driven by higher abundance of common carp</w:t>
      </w:r>
      <w:r w:rsidR="00B54204">
        <w:rPr>
          <w:lang w:val="en-US"/>
        </w:rPr>
        <w:t xml:space="preserve"> and goldfish</w:t>
      </w:r>
      <w:r>
        <w:rPr>
          <w:lang w:val="en-US"/>
        </w:rPr>
        <w:t xml:space="preserve"> in 2017 (</w:t>
      </w:r>
      <w:r>
        <w:rPr>
          <w:lang w:val="en-US"/>
        </w:rPr>
        <w:fldChar w:fldCharType="begin"/>
      </w:r>
      <w:r>
        <w:rPr>
          <w:lang w:val="en-US"/>
        </w:rPr>
        <w:instrText xml:space="preserve"> REF _Ref876802 \h </w:instrText>
      </w:r>
      <w:r>
        <w:rPr>
          <w:lang w:val="en-US"/>
        </w:rPr>
      </w:r>
      <w:r>
        <w:rPr>
          <w:lang w:val="en-US"/>
        </w:rPr>
        <w:fldChar w:fldCharType="separate"/>
      </w:r>
      <w:r w:rsidR="006045CA">
        <w:t xml:space="preserve">Figure </w:t>
      </w:r>
      <w:r w:rsidR="006045CA">
        <w:rPr>
          <w:noProof/>
        </w:rPr>
        <w:t>58</w:t>
      </w:r>
      <w:r>
        <w:rPr>
          <w:lang w:val="en-US"/>
        </w:rPr>
        <w:fldChar w:fldCharType="end"/>
      </w:r>
      <w:r>
        <w:rPr>
          <w:lang w:val="en-US"/>
        </w:rPr>
        <w:t>). SIMPER indicated that differences between 2017 and</w:t>
      </w:r>
      <w:r w:rsidR="00B54204">
        <w:rPr>
          <w:lang w:val="en-US"/>
        </w:rPr>
        <w:t xml:space="preserve"> other years (</w:t>
      </w:r>
      <w:proofErr w:type="gramStart"/>
      <w:r w:rsidR="00B54204">
        <w:rPr>
          <w:lang w:val="en-US"/>
        </w:rPr>
        <w:t>i.e.</w:t>
      </w:r>
      <w:proofErr w:type="gramEnd"/>
      <w:r>
        <w:rPr>
          <w:lang w:val="en-US"/>
        </w:rPr>
        <w:t xml:space="preserve"> </w:t>
      </w:r>
      <w:r w:rsidR="003538CF">
        <w:rPr>
          <w:lang w:val="en-US"/>
        </w:rPr>
        <w:t>2016</w:t>
      </w:r>
      <w:r w:rsidR="00B54204">
        <w:rPr>
          <w:lang w:val="en-US"/>
        </w:rPr>
        <w:t>,</w:t>
      </w:r>
      <w:r w:rsidR="003538CF">
        <w:rPr>
          <w:lang w:val="en-US"/>
        </w:rPr>
        <w:t xml:space="preserve"> 2018</w:t>
      </w:r>
      <w:r w:rsidR="00B54204">
        <w:rPr>
          <w:lang w:val="en-US"/>
        </w:rPr>
        <w:t xml:space="preserve"> and 2020)</w:t>
      </w:r>
      <w:r>
        <w:rPr>
          <w:lang w:val="en-US"/>
        </w:rPr>
        <w:t xml:space="preserve"> for small-bodied fish assemblages were driven by a lower relative abundance of carp gudgeon in 2017 (</w:t>
      </w:r>
      <w:r>
        <w:rPr>
          <w:lang w:val="en-US"/>
        </w:rPr>
        <w:fldChar w:fldCharType="begin"/>
      </w:r>
      <w:r>
        <w:rPr>
          <w:lang w:val="en-US"/>
        </w:rPr>
        <w:instrText xml:space="preserve"> REF _Ref876802 \h </w:instrText>
      </w:r>
      <w:r>
        <w:rPr>
          <w:lang w:val="en-US"/>
        </w:rPr>
      </w:r>
      <w:r>
        <w:rPr>
          <w:lang w:val="en-US"/>
        </w:rPr>
        <w:fldChar w:fldCharType="separate"/>
      </w:r>
      <w:r w:rsidR="006045CA">
        <w:t xml:space="preserve">Figure </w:t>
      </w:r>
      <w:r w:rsidR="006045CA">
        <w:rPr>
          <w:noProof/>
        </w:rPr>
        <w:t>58</w:t>
      </w:r>
      <w:r>
        <w:rPr>
          <w:lang w:val="en-US"/>
        </w:rPr>
        <w:fldChar w:fldCharType="end"/>
      </w:r>
      <w:r>
        <w:rPr>
          <w:lang w:val="en-US"/>
        </w:rPr>
        <w:t>).</w:t>
      </w:r>
    </w:p>
    <w:p w14:paraId="5A2263C8" w14:textId="77777777" w:rsidR="00914280" w:rsidRPr="00DC60AE" w:rsidRDefault="00914280" w:rsidP="00914280">
      <w:pPr>
        <w:rPr>
          <w:i/>
          <w:u w:val="single"/>
          <w:lang w:val="en-US"/>
        </w:rPr>
      </w:pPr>
      <w:r w:rsidRPr="00DC60AE">
        <w:rPr>
          <w:i/>
          <w:u w:val="single"/>
        </w:rPr>
        <w:t xml:space="preserve">Temporal variation in </w:t>
      </w:r>
      <w:r>
        <w:rPr>
          <w:i/>
          <w:u w:val="single"/>
        </w:rPr>
        <w:t>length</w:t>
      </w:r>
      <w:r w:rsidRPr="00DC60AE">
        <w:rPr>
          <w:i/>
          <w:u w:val="single"/>
        </w:rPr>
        <w:t>/age structure</w:t>
      </w:r>
      <w:r>
        <w:rPr>
          <w:i/>
          <w:u w:val="single"/>
        </w:rPr>
        <w:t xml:space="preserve"> of large-bodied species</w:t>
      </w:r>
    </w:p>
    <w:p w14:paraId="4C78010E" w14:textId="45D1ED06" w:rsidR="00FA168A" w:rsidRDefault="00FA168A" w:rsidP="002A7BEF">
      <w:pPr>
        <w:rPr>
          <w:lang w:val="en-US"/>
        </w:rPr>
      </w:pPr>
      <w:r>
        <w:rPr>
          <w:lang w:val="en-US"/>
        </w:rPr>
        <w:t xml:space="preserve">In </w:t>
      </w:r>
      <w:r w:rsidR="00FC6270">
        <w:rPr>
          <w:lang w:val="en-US"/>
        </w:rPr>
        <w:t>2018</w:t>
      </w:r>
      <w:r>
        <w:rPr>
          <w:lang w:val="en-US"/>
        </w:rPr>
        <w:t xml:space="preserve">, the sampled golden perch population was mostly comprised of age </w:t>
      </w:r>
      <w:r w:rsidR="00FC6270">
        <w:rPr>
          <w:lang w:val="en-US"/>
        </w:rPr>
        <w:t xml:space="preserve">6+ (23%), </w:t>
      </w:r>
      <w:r>
        <w:rPr>
          <w:lang w:val="en-US"/>
        </w:rPr>
        <w:t>7+ (51%), 8+ (19%) and 21+ (4%) fish (</w:t>
      </w:r>
      <w:r>
        <w:rPr>
          <w:lang w:val="en-US"/>
        </w:rPr>
        <w:fldChar w:fldCharType="begin"/>
      </w:r>
      <w:r>
        <w:rPr>
          <w:lang w:val="en-US"/>
        </w:rPr>
        <w:instrText xml:space="preserve"> REF _Ref876851 \h </w:instrText>
      </w:r>
      <w:r>
        <w:rPr>
          <w:lang w:val="en-US"/>
        </w:rPr>
      </w:r>
      <w:r>
        <w:rPr>
          <w:lang w:val="en-US"/>
        </w:rPr>
        <w:fldChar w:fldCharType="separate"/>
      </w:r>
      <w:r w:rsidR="006045CA">
        <w:t xml:space="preserve">Figure </w:t>
      </w:r>
      <w:r w:rsidR="006045CA">
        <w:rPr>
          <w:noProof/>
        </w:rPr>
        <w:t>60</w:t>
      </w:r>
      <w:r>
        <w:rPr>
          <w:lang w:val="en-US"/>
        </w:rPr>
        <w:fldChar w:fldCharType="end"/>
      </w:r>
      <w:r>
        <w:rPr>
          <w:lang w:val="en-US"/>
        </w:rPr>
        <w:t>)</w:t>
      </w:r>
      <w:r w:rsidR="009906A4" w:rsidRPr="009906A4">
        <w:rPr>
          <w:lang w:val="en-US"/>
        </w:rPr>
        <w:t>,</w:t>
      </w:r>
      <w:r w:rsidR="00390FA5">
        <w:rPr>
          <w:lang w:val="en-US"/>
        </w:rPr>
        <w:t xml:space="preserve"> while</w:t>
      </w:r>
      <w:r>
        <w:rPr>
          <w:lang w:val="en-US"/>
        </w:rPr>
        <w:t xml:space="preserve"> </w:t>
      </w:r>
      <w:r w:rsidR="009906A4">
        <w:rPr>
          <w:lang w:val="en-US"/>
        </w:rPr>
        <w:t>f</w:t>
      </w:r>
      <w:r w:rsidRPr="00897F87">
        <w:rPr>
          <w:lang w:val="en-US"/>
        </w:rPr>
        <w:t xml:space="preserve">reshwater catfish </w:t>
      </w:r>
      <w:r w:rsidR="009906A4" w:rsidRPr="009906A4">
        <w:rPr>
          <w:lang w:val="en-US"/>
        </w:rPr>
        <w:t>(</w:t>
      </w:r>
      <w:proofErr w:type="spellStart"/>
      <w:r w:rsidR="009906A4" w:rsidRPr="00003505">
        <w:rPr>
          <w:i/>
          <w:lang w:val="en-US"/>
        </w:rPr>
        <w:t>Tandanus</w:t>
      </w:r>
      <w:proofErr w:type="spellEnd"/>
      <w:r w:rsidR="009906A4" w:rsidRPr="00003505">
        <w:rPr>
          <w:i/>
          <w:lang w:val="en-US"/>
        </w:rPr>
        <w:t xml:space="preserve"> </w:t>
      </w:r>
      <w:proofErr w:type="spellStart"/>
      <w:r w:rsidR="009906A4" w:rsidRPr="00003505">
        <w:rPr>
          <w:i/>
          <w:lang w:val="en-US"/>
        </w:rPr>
        <w:t>tandanus</w:t>
      </w:r>
      <w:proofErr w:type="spellEnd"/>
      <w:r w:rsidR="009906A4" w:rsidRPr="009906A4">
        <w:rPr>
          <w:lang w:val="en-US"/>
        </w:rPr>
        <w:t xml:space="preserve">) </w:t>
      </w:r>
      <w:r w:rsidRPr="00897F87">
        <w:rPr>
          <w:lang w:val="en-US"/>
        </w:rPr>
        <w:t xml:space="preserve">ranged in age from </w:t>
      </w:r>
      <w:r>
        <w:rPr>
          <w:lang w:val="en-US"/>
        </w:rPr>
        <w:t>8+ to 13+ years (</w:t>
      </w:r>
      <w:r>
        <w:rPr>
          <w:lang w:val="en-US"/>
        </w:rPr>
        <w:fldChar w:fldCharType="begin"/>
      </w:r>
      <w:r>
        <w:rPr>
          <w:lang w:val="en-US"/>
        </w:rPr>
        <w:instrText xml:space="preserve"> REF _Ref876860 \h </w:instrText>
      </w:r>
      <w:r>
        <w:rPr>
          <w:lang w:val="en-US"/>
        </w:rPr>
      </w:r>
      <w:r>
        <w:rPr>
          <w:lang w:val="en-US"/>
        </w:rPr>
        <w:fldChar w:fldCharType="separate"/>
      </w:r>
      <w:r w:rsidR="006045CA">
        <w:t xml:space="preserve">Figure </w:t>
      </w:r>
      <w:r w:rsidR="006045CA">
        <w:rPr>
          <w:noProof/>
        </w:rPr>
        <w:t>62</w:t>
      </w:r>
      <w:r>
        <w:rPr>
          <w:lang w:val="en-US"/>
        </w:rPr>
        <w:fldChar w:fldCharType="end"/>
      </w:r>
      <w:r>
        <w:rPr>
          <w:lang w:val="en-US"/>
        </w:rPr>
        <w:t>).</w:t>
      </w:r>
      <w:r w:rsidR="009906A4">
        <w:rPr>
          <w:lang w:val="en-US"/>
        </w:rPr>
        <w:t xml:space="preserve"> </w:t>
      </w:r>
      <w:r w:rsidR="00B2115C">
        <w:rPr>
          <w:lang w:val="en-US"/>
        </w:rPr>
        <w:t>T</w:t>
      </w:r>
      <w:r w:rsidR="009906A4" w:rsidRPr="009906A4">
        <w:rPr>
          <w:lang w:val="en-US"/>
        </w:rPr>
        <w:t xml:space="preserve">he length distribution of </w:t>
      </w:r>
      <w:r w:rsidR="00B2115C">
        <w:rPr>
          <w:lang w:val="en-US"/>
        </w:rPr>
        <w:t>golden perch (227</w:t>
      </w:r>
      <w:r w:rsidR="00B2115C" w:rsidRPr="00B2115C">
        <w:rPr>
          <w:lang w:val="en-US"/>
        </w:rPr>
        <w:t>–4</w:t>
      </w:r>
      <w:r w:rsidR="00B2115C">
        <w:rPr>
          <w:lang w:val="en-US"/>
        </w:rPr>
        <w:t xml:space="preserve">87 mm) and </w:t>
      </w:r>
      <w:r w:rsidR="009906A4" w:rsidRPr="009906A4">
        <w:rPr>
          <w:lang w:val="en-US"/>
        </w:rPr>
        <w:t xml:space="preserve">freshwater catfish </w:t>
      </w:r>
      <w:r w:rsidR="00B2115C">
        <w:rPr>
          <w:lang w:val="en-US"/>
        </w:rPr>
        <w:t>(</w:t>
      </w:r>
      <w:r w:rsidR="009906A4">
        <w:rPr>
          <w:lang w:val="en-US"/>
        </w:rPr>
        <w:t>431</w:t>
      </w:r>
      <w:r w:rsidR="009906A4" w:rsidRPr="009906A4">
        <w:rPr>
          <w:lang w:val="en-US"/>
        </w:rPr>
        <w:t>–4</w:t>
      </w:r>
      <w:r w:rsidR="009906A4">
        <w:rPr>
          <w:lang w:val="en-US"/>
        </w:rPr>
        <w:t>53</w:t>
      </w:r>
      <w:r w:rsidR="00B2115C">
        <w:rPr>
          <w:lang w:val="en-US"/>
        </w:rPr>
        <w:t> </w:t>
      </w:r>
      <w:r w:rsidR="004263AB">
        <w:rPr>
          <w:lang w:val="en-US"/>
        </w:rPr>
        <w:t>mm</w:t>
      </w:r>
      <w:r w:rsidR="00B2115C">
        <w:rPr>
          <w:lang w:val="en-US"/>
        </w:rPr>
        <w:t>)</w:t>
      </w:r>
      <w:r w:rsidR="004263AB">
        <w:rPr>
          <w:lang w:val="en-US"/>
        </w:rPr>
        <w:t xml:space="preserve"> in 2020</w:t>
      </w:r>
      <w:r w:rsidR="00B2115C">
        <w:rPr>
          <w:lang w:val="en-US"/>
        </w:rPr>
        <w:t xml:space="preserve"> indicates the </w:t>
      </w:r>
      <w:r w:rsidR="009906A4" w:rsidRPr="009906A4">
        <w:rPr>
          <w:lang w:val="en-US"/>
        </w:rPr>
        <w:t>absence of new recruits and an ageing population</w:t>
      </w:r>
      <w:r w:rsidR="002E5281">
        <w:rPr>
          <w:lang w:val="en-US"/>
        </w:rPr>
        <w:t>.</w:t>
      </w:r>
      <w:r w:rsidR="00B2115C">
        <w:rPr>
          <w:lang w:val="en-US"/>
        </w:rPr>
        <w:t xml:space="preserve"> </w:t>
      </w:r>
      <w:r w:rsidR="00390FA5" w:rsidRPr="009906A4">
        <w:rPr>
          <w:lang w:val="en-US"/>
        </w:rPr>
        <w:t>In 2018, only one silver perch (</w:t>
      </w:r>
      <w:proofErr w:type="spellStart"/>
      <w:r w:rsidR="00390FA5" w:rsidRPr="00E0414D">
        <w:rPr>
          <w:i/>
          <w:lang w:val="en-US"/>
        </w:rPr>
        <w:t>Bidyanus</w:t>
      </w:r>
      <w:proofErr w:type="spellEnd"/>
      <w:r w:rsidR="00390FA5" w:rsidRPr="00E0414D">
        <w:rPr>
          <w:i/>
          <w:lang w:val="en-US"/>
        </w:rPr>
        <w:t xml:space="preserve"> </w:t>
      </w:r>
      <w:proofErr w:type="spellStart"/>
      <w:r w:rsidR="00390FA5" w:rsidRPr="00E0414D">
        <w:rPr>
          <w:i/>
          <w:lang w:val="en-US"/>
        </w:rPr>
        <w:t>bidyanus</w:t>
      </w:r>
      <w:proofErr w:type="spellEnd"/>
      <w:r w:rsidR="00390FA5" w:rsidRPr="009906A4">
        <w:rPr>
          <w:lang w:val="en-US"/>
        </w:rPr>
        <w:t>) was sampled (</w:t>
      </w:r>
      <w:r w:rsidR="00390FA5">
        <w:rPr>
          <w:lang w:val="en-US"/>
        </w:rPr>
        <w:t>age 1+, 151 mm fork length, FL) (</w:t>
      </w:r>
      <w:r w:rsidR="00390FA5">
        <w:rPr>
          <w:lang w:val="en-US"/>
        </w:rPr>
        <w:fldChar w:fldCharType="begin"/>
      </w:r>
      <w:r w:rsidR="00390FA5">
        <w:rPr>
          <w:lang w:val="en-US"/>
        </w:rPr>
        <w:instrText xml:space="preserve"> REF _Ref12447874 \h </w:instrText>
      </w:r>
      <w:r w:rsidR="00390FA5">
        <w:rPr>
          <w:lang w:val="en-US"/>
        </w:rPr>
      </w:r>
      <w:r w:rsidR="00390FA5">
        <w:rPr>
          <w:lang w:val="en-US"/>
        </w:rPr>
        <w:fldChar w:fldCharType="separate"/>
      </w:r>
      <w:r w:rsidR="006045CA">
        <w:t xml:space="preserve">Figure </w:t>
      </w:r>
      <w:r w:rsidR="006045CA">
        <w:rPr>
          <w:noProof/>
        </w:rPr>
        <w:t>61</w:t>
      </w:r>
      <w:r w:rsidR="00390FA5">
        <w:rPr>
          <w:lang w:val="en-US"/>
        </w:rPr>
        <w:fldChar w:fldCharType="end"/>
      </w:r>
      <w:r w:rsidR="00390FA5">
        <w:rPr>
          <w:lang w:val="en-US"/>
        </w:rPr>
        <w:t xml:space="preserve">). </w:t>
      </w:r>
      <w:r w:rsidR="00B2115C">
        <w:rPr>
          <w:lang w:val="en-US"/>
        </w:rPr>
        <w:t>In 2020,</w:t>
      </w:r>
      <w:r w:rsidR="00390FA5">
        <w:rPr>
          <w:lang w:val="en-US"/>
        </w:rPr>
        <w:t xml:space="preserve"> the capture of a small</w:t>
      </w:r>
      <w:r w:rsidR="00B2115C">
        <w:rPr>
          <w:lang w:val="en-US"/>
        </w:rPr>
        <w:t xml:space="preserve"> silver perch (97 mm FL) may suggest the presence o</w:t>
      </w:r>
      <w:r w:rsidR="00B01B96">
        <w:rPr>
          <w:lang w:val="en-US"/>
        </w:rPr>
        <w:t xml:space="preserve">f an </w:t>
      </w:r>
      <w:r w:rsidR="00BA1974">
        <w:rPr>
          <w:lang w:val="en-US"/>
        </w:rPr>
        <w:t xml:space="preserve">age </w:t>
      </w:r>
      <w:r w:rsidR="00B2115C">
        <w:rPr>
          <w:lang w:val="en-US"/>
        </w:rPr>
        <w:t>0+ cohort.</w:t>
      </w:r>
    </w:p>
    <w:p w14:paraId="0C8545FC" w14:textId="751B782F" w:rsidR="00FA168A" w:rsidRDefault="007476CB" w:rsidP="00FA168A">
      <w:bookmarkStart w:id="314" w:name="_Hlk67398764"/>
      <w:r>
        <w:rPr>
          <w:lang w:val="en-US"/>
        </w:rPr>
        <w:t xml:space="preserve">In 2018, </w:t>
      </w:r>
      <w:r w:rsidRPr="007476CB">
        <w:rPr>
          <w:lang w:val="en-US"/>
        </w:rPr>
        <w:t xml:space="preserve">the sampled Murray cod population consisted of individuals </w:t>
      </w:r>
      <w:r>
        <w:rPr>
          <w:lang w:val="en-US"/>
        </w:rPr>
        <w:t>74</w:t>
      </w:r>
      <w:r w:rsidRPr="007476CB">
        <w:rPr>
          <w:lang w:val="en-US"/>
        </w:rPr>
        <w:t>–1</w:t>
      </w:r>
      <w:r>
        <w:rPr>
          <w:lang w:val="en-US"/>
        </w:rPr>
        <w:t>40</w:t>
      </w:r>
      <w:r w:rsidRPr="007476CB">
        <w:rPr>
          <w:lang w:val="en-US"/>
        </w:rPr>
        <w:t xml:space="preserve"> mm (age 0+) and </w:t>
      </w:r>
      <w:r>
        <w:rPr>
          <w:lang w:val="en-US"/>
        </w:rPr>
        <w:t>307</w:t>
      </w:r>
      <w:r w:rsidRPr="007476CB">
        <w:rPr>
          <w:lang w:val="en-US"/>
        </w:rPr>
        <w:t>–</w:t>
      </w:r>
      <w:r>
        <w:rPr>
          <w:lang w:val="en-US"/>
        </w:rPr>
        <w:t>515</w:t>
      </w:r>
      <w:r w:rsidRPr="007476CB">
        <w:rPr>
          <w:lang w:val="en-US"/>
        </w:rPr>
        <w:t xml:space="preserve"> mm (not sacrificed, potentially age </w:t>
      </w:r>
      <w:r>
        <w:rPr>
          <w:lang w:val="en-US"/>
        </w:rPr>
        <w:t>2</w:t>
      </w:r>
      <w:r w:rsidRPr="007476CB">
        <w:rPr>
          <w:lang w:val="en-US"/>
        </w:rPr>
        <w:t>+ and/or older)</w:t>
      </w:r>
      <w:r>
        <w:rPr>
          <w:lang w:val="en-US"/>
        </w:rPr>
        <w:t xml:space="preserve">. </w:t>
      </w:r>
      <w:r w:rsidR="00BA1974">
        <w:rPr>
          <w:lang w:val="en-US"/>
        </w:rPr>
        <w:t>In 2020,</w:t>
      </w:r>
      <w:bookmarkEnd w:id="314"/>
      <w:r w:rsidR="00BA1974">
        <w:rPr>
          <w:lang w:val="en-US"/>
        </w:rPr>
        <w:t xml:space="preserve"> </w:t>
      </w:r>
      <w:r w:rsidR="00FA168A">
        <w:rPr>
          <w:lang w:val="en-US"/>
        </w:rPr>
        <w:t xml:space="preserve">the sampled population consisted of </w:t>
      </w:r>
      <w:r w:rsidR="00FA168A" w:rsidRPr="00003505">
        <w:rPr>
          <w:lang w:val="en-US"/>
        </w:rPr>
        <w:t xml:space="preserve">individuals </w:t>
      </w:r>
      <w:r w:rsidR="00390FA5" w:rsidRPr="00003505">
        <w:rPr>
          <w:lang w:val="en-US"/>
        </w:rPr>
        <w:t>59</w:t>
      </w:r>
      <w:r w:rsidR="00FA168A" w:rsidRPr="00003505">
        <w:rPr>
          <w:lang w:val="en-US"/>
        </w:rPr>
        <w:t>–1</w:t>
      </w:r>
      <w:r w:rsidR="00390FA5" w:rsidRPr="00003505">
        <w:rPr>
          <w:lang w:val="en-US"/>
        </w:rPr>
        <w:t>24</w:t>
      </w:r>
      <w:r w:rsidR="00FA168A" w:rsidRPr="00003505">
        <w:rPr>
          <w:lang w:val="en-US"/>
        </w:rPr>
        <w:t> mm (age 0+) and 51</w:t>
      </w:r>
      <w:r w:rsidR="00390FA5" w:rsidRPr="00003505">
        <w:rPr>
          <w:lang w:val="en-US"/>
        </w:rPr>
        <w:t>1–720</w:t>
      </w:r>
      <w:r w:rsidR="00FA168A" w:rsidRPr="00003505">
        <w:rPr>
          <w:lang w:val="en-US"/>
        </w:rPr>
        <w:t xml:space="preserve"> mm (potentially age 3+ </w:t>
      </w:r>
      <w:r w:rsidR="00E86173" w:rsidRPr="00003505">
        <w:rPr>
          <w:lang w:val="en-US"/>
        </w:rPr>
        <w:t>and/or older</w:t>
      </w:r>
      <w:r w:rsidR="00FA168A" w:rsidRPr="00003505">
        <w:rPr>
          <w:lang w:val="en-US"/>
        </w:rPr>
        <w:t>) (</w:t>
      </w:r>
      <w:r w:rsidR="00FA168A" w:rsidRPr="00003505">
        <w:rPr>
          <w:lang w:val="en-US"/>
        </w:rPr>
        <w:fldChar w:fldCharType="begin"/>
      </w:r>
      <w:r w:rsidR="00FA168A" w:rsidRPr="00003505">
        <w:rPr>
          <w:lang w:val="en-US"/>
        </w:rPr>
        <w:instrText xml:space="preserve"> REF _Ref876868 \h </w:instrText>
      </w:r>
      <w:r w:rsidR="00003505">
        <w:rPr>
          <w:lang w:val="en-US"/>
        </w:rPr>
        <w:instrText xml:space="preserve"> \* MERGEFORMAT </w:instrText>
      </w:r>
      <w:r w:rsidR="00FA168A" w:rsidRPr="00003505">
        <w:rPr>
          <w:lang w:val="en-US"/>
        </w:rPr>
      </w:r>
      <w:r w:rsidR="00FA168A" w:rsidRPr="00003505">
        <w:rPr>
          <w:lang w:val="en-US"/>
        </w:rPr>
        <w:fldChar w:fldCharType="separate"/>
      </w:r>
      <w:r w:rsidR="006045CA">
        <w:t xml:space="preserve">Figure </w:t>
      </w:r>
      <w:r w:rsidR="006045CA">
        <w:rPr>
          <w:noProof/>
        </w:rPr>
        <w:t>63</w:t>
      </w:r>
      <w:r w:rsidR="00FA168A" w:rsidRPr="00003505">
        <w:rPr>
          <w:lang w:val="en-US"/>
        </w:rPr>
        <w:fldChar w:fldCharType="end"/>
      </w:r>
      <w:r w:rsidR="00FA168A" w:rsidRPr="00003505">
        <w:rPr>
          <w:lang w:val="en-US"/>
        </w:rPr>
        <w:t>).</w:t>
      </w:r>
      <w:r w:rsidR="00ED59B7">
        <w:rPr>
          <w:lang w:val="en-US"/>
        </w:rPr>
        <w:t xml:space="preserve"> Similar to previous years</w:t>
      </w:r>
      <w:r>
        <w:rPr>
          <w:lang w:val="en-US"/>
        </w:rPr>
        <w:t xml:space="preserve"> (</w:t>
      </w:r>
      <w:proofErr w:type="gramStart"/>
      <w:r>
        <w:rPr>
          <w:lang w:val="en-US"/>
        </w:rPr>
        <w:t>e.g.</w:t>
      </w:r>
      <w:proofErr w:type="gramEnd"/>
      <w:r>
        <w:rPr>
          <w:lang w:val="en-US"/>
        </w:rPr>
        <w:t xml:space="preserve"> 2018)</w:t>
      </w:r>
      <w:r w:rsidR="00ED59B7">
        <w:rPr>
          <w:lang w:val="en-US"/>
        </w:rPr>
        <w:t xml:space="preserve">, in 2020, </w:t>
      </w:r>
      <w:r w:rsidR="00FA168A" w:rsidRPr="00003505">
        <w:rPr>
          <w:lang w:val="en-US"/>
        </w:rPr>
        <w:t>the sampled bony herring population</w:t>
      </w:r>
      <w:r w:rsidR="00ED59B7">
        <w:rPr>
          <w:lang w:val="en-US"/>
        </w:rPr>
        <w:t xml:space="preserve"> </w:t>
      </w:r>
      <w:r w:rsidR="00ED59B7" w:rsidRPr="00003505">
        <w:rPr>
          <w:lang w:val="en-US"/>
        </w:rPr>
        <w:t>was dominated by age 0+ fish (95%)</w:t>
      </w:r>
      <w:r w:rsidR="00ED59B7">
        <w:rPr>
          <w:lang w:val="en-US"/>
        </w:rPr>
        <w:t>, but comprised older fish and</w:t>
      </w:r>
      <w:r w:rsidR="00ED59B7" w:rsidRPr="00003505">
        <w:rPr>
          <w:lang w:val="en-US"/>
        </w:rPr>
        <w:t xml:space="preserve"> </w:t>
      </w:r>
      <w:r w:rsidR="00FA168A" w:rsidRPr="00003505">
        <w:rPr>
          <w:lang w:val="en-US"/>
        </w:rPr>
        <w:t xml:space="preserve">ranged in age from 0+ to </w:t>
      </w:r>
      <w:r w:rsidR="00003505" w:rsidRPr="00003505">
        <w:rPr>
          <w:lang w:val="en-US"/>
        </w:rPr>
        <w:t>11</w:t>
      </w:r>
      <w:r w:rsidR="00FA168A" w:rsidRPr="00003505">
        <w:rPr>
          <w:lang w:val="en-US"/>
        </w:rPr>
        <w:t>+ years (</w:t>
      </w:r>
      <w:r w:rsidR="00FA168A" w:rsidRPr="00003505">
        <w:rPr>
          <w:lang w:val="en-US"/>
        </w:rPr>
        <w:fldChar w:fldCharType="begin"/>
      </w:r>
      <w:r w:rsidR="00FA168A" w:rsidRPr="00003505">
        <w:rPr>
          <w:lang w:val="en-US"/>
        </w:rPr>
        <w:instrText xml:space="preserve"> REF _Ref12448143 \h </w:instrText>
      </w:r>
      <w:r w:rsidR="00003505">
        <w:rPr>
          <w:lang w:val="en-US"/>
        </w:rPr>
        <w:instrText xml:space="preserve"> \* MERGEFORMAT </w:instrText>
      </w:r>
      <w:r w:rsidR="00FA168A" w:rsidRPr="00003505">
        <w:rPr>
          <w:lang w:val="en-US"/>
        </w:rPr>
      </w:r>
      <w:r w:rsidR="00FA168A" w:rsidRPr="00003505">
        <w:rPr>
          <w:lang w:val="en-US"/>
        </w:rPr>
        <w:fldChar w:fldCharType="separate"/>
      </w:r>
      <w:r w:rsidR="006045CA">
        <w:t xml:space="preserve">Figure </w:t>
      </w:r>
      <w:r w:rsidR="006045CA">
        <w:rPr>
          <w:noProof/>
        </w:rPr>
        <w:t>64</w:t>
      </w:r>
      <w:r w:rsidR="00FA168A" w:rsidRPr="00003505">
        <w:rPr>
          <w:lang w:val="en-US"/>
        </w:rPr>
        <w:fldChar w:fldCharType="end"/>
      </w:r>
      <w:r w:rsidR="00FA168A" w:rsidRPr="00003505">
        <w:rPr>
          <w:lang w:val="en-US"/>
        </w:rPr>
        <w:t>).</w:t>
      </w:r>
    </w:p>
    <w:p w14:paraId="6227C710" w14:textId="5934AE96" w:rsidR="00FA168A" w:rsidRDefault="006E42C2" w:rsidP="00FA168A">
      <w:pPr>
        <w:spacing w:before="0" w:after="0" w:line="240" w:lineRule="auto"/>
        <w:jc w:val="center"/>
      </w:pPr>
      <w:r w:rsidRPr="006E42C2">
        <w:rPr>
          <w:noProof/>
          <w:lang w:eastAsia="en-AU"/>
        </w:rPr>
        <w:drawing>
          <wp:inline distT="0" distB="0" distL="0" distR="0" wp14:anchorId="43621D17" wp14:editId="0723F2FD">
            <wp:extent cx="5721708" cy="783907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1" cstate="email">
                      <a:extLst>
                        <a:ext uri="{28A0092B-C50C-407E-A947-70E740481C1C}">
                          <a14:useLocalDpi xmlns:a14="http://schemas.microsoft.com/office/drawing/2010/main"/>
                        </a:ext>
                      </a:extLst>
                    </a:blip>
                    <a:srcRect t="3463" r="1939"/>
                    <a:stretch/>
                  </pic:blipFill>
                  <pic:spPr bwMode="auto">
                    <a:xfrm>
                      <a:off x="0" y="0"/>
                      <a:ext cx="5727680" cy="7847258"/>
                    </a:xfrm>
                    <a:prstGeom prst="rect">
                      <a:avLst/>
                    </a:prstGeom>
                    <a:noFill/>
                    <a:ln>
                      <a:noFill/>
                    </a:ln>
                    <a:extLst>
                      <a:ext uri="{53640926-AAD7-44D8-BBD7-CCE9431645EC}">
                        <a14:shadowObscured xmlns:a14="http://schemas.microsoft.com/office/drawing/2010/main"/>
                      </a:ext>
                    </a:extLst>
                  </pic:spPr>
                </pic:pic>
              </a:graphicData>
            </a:graphic>
          </wp:inline>
        </w:drawing>
      </w:r>
    </w:p>
    <w:p w14:paraId="2B0CA806" w14:textId="0D173C51" w:rsidR="00FA168A" w:rsidRDefault="00FA168A" w:rsidP="00FA168A">
      <w:pPr>
        <w:pStyle w:val="Caption"/>
      </w:pPr>
      <w:bookmarkStart w:id="315" w:name="_Ref876851"/>
      <w:bookmarkStart w:id="316" w:name="_Toc3558386"/>
      <w:bookmarkStart w:id="317" w:name="_Toc69387724"/>
      <w:r>
        <w:t xml:space="preserve">Figure </w:t>
      </w:r>
      <w:r>
        <w:rPr>
          <w:noProof/>
        </w:rPr>
        <w:fldChar w:fldCharType="begin"/>
      </w:r>
      <w:r>
        <w:rPr>
          <w:noProof/>
        </w:rPr>
        <w:instrText xml:space="preserve"> SEQ Figure \* ARABIC </w:instrText>
      </w:r>
      <w:r>
        <w:rPr>
          <w:noProof/>
        </w:rPr>
        <w:fldChar w:fldCharType="separate"/>
      </w:r>
      <w:r w:rsidR="00940312">
        <w:rPr>
          <w:noProof/>
        </w:rPr>
        <w:t>60</w:t>
      </w:r>
      <w:r>
        <w:rPr>
          <w:noProof/>
        </w:rPr>
        <w:fldChar w:fldCharType="end"/>
      </w:r>
      <w:bookmarkEnd w:id="315"/>
      <w:r>
        <w:t xml:space="preserve">. </w:t>
      </w:r>
      <w:r w:rsidRPr="000C14CD">
        <w:t xml:space="preserve">Length frequency distributions </w:t>
      </w:r>
      <w:r>
        <w:t xml:space="preserve">and age structures </w:t>
      </w:r>
      <w:r w:rsidRPr="000C14CD">
        <w:t xml:space="preserve">of </w:t>
      </w:r>
      <w:r>
        <w:t>golden perch</w:t>
      </w:r>
      <w:r w:rsidRPr="00A41FBF">
        <w:t xml:space="preserve"> collected from the gorge geomorphic</w:t>
      </w:r>
      <w:r w:rsidRPr="00F0108E">
        <w:t xml:space="preserve"> zone of the </w:t>
      </w:r>
      <w:r w:rsidR="008C22A9" w:rsidRPr="00607412">
        <w:t>L</w:t>
      </w:r>
      <w:r w:rsidR="008C22A9">
        <w:t xml:space="preserve">ower </w:t>
      </w:r>
      <w:r w:rsidR="008C22A9" w:rsidRPr="00607412">
        <w:t>M</w:t>
      </w:r>
      <w:r w:rsidR="008C22A9">
        <w:t xml:space="preserve">urray </w:t>
      </w:r>
      <w:r w:rsidR="008C22A9" w:rsidRPr="00607412">
        <w:t>R</w:t>
      </w:r>
      <w:r w:rsidR="008C22A9">
        <w:t>iver</w:t>
      </w:r>
      <w:r w:rsidRPr="00F0108E">
        <w:t xml:space="preserve"> </w:t>
      </w:r>
      <w:r>
        <w:t>from</w:t>
      </w:r>
      <w:r w:rsidRPr="00F0108E">
        <w:t xml:space="preserve"> 2015</w:t>
      </w:r>
      <w:r>
        <w:t>–20</w:t>
      </w:r>
      <w:r w:rsidR="006E42C2">
        <w:t>20</w:t>
      </w:r>
      <w:r w:rsidRPr="00F0108E">
        <w:t>.</w:t>
      </w:r>
      <w:bookmarkEnd w:id="316"/>
      <w:bookmarkEnd w:id="317"/>
    </w:p>
    <w:p w14:paraId="1F96C7A5" w14:textId="7D2D57E7" w:rsidR="00FA168A" w:rsidRDefault="006E42C2" w:rsidP="00FA168A">
      <w:r w:rsidRPr="006E42C2">
        <w:rPr>
          <w:noProof/>
          <w:lang w:eastAsia="en-AU"/>
        </w:rPr>
        <w:drawing>
          <wp:inline distT="0" distB="0" distL="0" distR="0" wp14:anchorId="17A3C26D" wp14:editId="48E0CD54">
            <wp:extent cx="5791202" cy="7707086"/>
            <wp:effectExtent l="0" t="0" r="0" b="825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2" cstate="email">
                      <a:extLst>
                        <a:ext uri="{28A0092B-C50C-407E-A947-70E740481C1C}">
                          <a14:useLocalDpi xmlns:a14="http://schemas.microsoft.com/office/drawing/2010/main"/>
                        </a:ext>
                      </a:extLst>
                    </a:blip>
                    <a:srcRect t="3370" r="1778"/>
                    <a:stretch/>
                  </pic:blipFill>
                  <pic:spPr bwMode="auto">
                    <a:xfrm>
                      <a:off x="0" y="0"/>
                      <a:ext cx="5797690" cy="7715720"/>
                    </a:xfrm>
                    <a:prstGeom prst="rect">
                      <a:avLst/>
                    </a:prstGeom>
                    <a:noFill/>
                    <a:ln>
                      <a:noFill/>
                    </a:ln>
                    <a:extLst>
                      <a:ext uri="{53640926-AAD7-44D8-BBD7-CCE9431645EC}">
                        <a14:shadowObscured xmlns:a14="http://schemas.microsoft.com/office/drawing/2010/main"/>
                      </a:ext>
                    </a:extLst>
                  </pic:spPr>
                </pic:pic>
              </a:graphicData>
            </a:graphic>
          </wp:inline>
        </w:drawing>
      </w:r>
    </w:p>
    <w:p w14:paraId="7675DA22" w14:textId="686B8B7E" w:rsidR="00FA168A" w:rsidRPr="006204EB" w:rsidRDefault="00FA168A" w:rsidP="00FA168A">
      <w:pPr>
        <w:pStyle w:val="Caption"/>
      </w:pPr>
      <w:bookmarkStart w:id="318" w:name="_Ref12447874"/>
      <w:bookmarkStart w:id="319" w:name="_Toc69387725"/>
      <w:r>
        <w:t xml:space="preserve">Figure </w:t>
      </w:r>
      <w:r>
        <w:rPr>
          <w:noProof/>
        </w:rPr>
        <w:fldChar w:fldCharType="begin"/>
      </w:r>
      <w:r>
        <w:rPr>
          <w:noProof/>
        </w:rPr>
        <w:instrText xml:space="preserve"> SEQ Figure \* ARABIC </w:instrText>
      </w:r>
      <w:r>
        <w:rPr>
          <w:noProof/>
        </w:rPr>
        <w:fldChar w:fldCharType="separate"/>
      </w:r>
      <w:r w:rsidR="00940312">
        <w:rPr>
          <w:noProof/>
        </w:rPr>
        <w:t>61</w:t>
      </w:r>
      <w:r>
        <w:rPr>
          <w:noProof/>
        </w:rPr>
        <w:fldChar w:fldCharType="end"/>
      </w:r>
      <w:bookmarkEnd w:id="318"/>
      <w:r>
        <w:t xml:space="preserve">. </w:t>
      </w:r>
      <w:r w:rsidRPr="00897F87">
        <w:t xml:space="preserve">Length frequency distributions and age structures of </w:t>
      </w:r>
      <w:r>
        <w:t>silver</w:t>
      </w:r>
      <w:r w:rsidRPr="00897F87">
        <w:t xml:space="preserve"> perch collected from the gorge geomorphic zone of the </w:t>
      </w:r>
      <w:r w:rsidR="008C22A9" w:rsidRPr="00607412">
        <w:t>L</w:t>
      </w:r>
      <w:r w:rsidR="008C22A9">
        <w:t xml:space="preserve">ower </w:t>
      </w:r>
      <w:r w:rsidR="008C22A9" w:rsidRPr="00607412">
        <w:t>M</w:t>
      </w:r>
      <w:r w:rsidR="008C22A9">
        <w:t xml:space="preserve">urray </w:t>
      </w:r>
      <w:r w:rsidR="008C22A9" w:rsidRPr="00607412">
        <w:t>R</w:t>
      </w:r>
      <w:r w:rsidR="008C22A9">
        <w:t>iver</w:t>
      </w:r>
      <w:r w:rsidRPr="00897F87">
        <w:t xml:space="preserve"> from 2015–20</w:t>
      </w:r>
      <w:r w:rsidR="006E42C2">
        <w:t>20</w:t>
      </w:r>
      <w:r w:rsidRPr="00897F87">
        <w:t>.</w:t>
      </w:r>
      <w:bookmarkEnd w:id="319"/>
    </w:p>
    <w:p w14:paraId="223E3859" w14:textId="429B8CF4" w:rsidR="00FA168A" w:rsidRPr="00650E92" w:rsidRDefault="00FA168A" w:rsidP="00FA168A">
      <w:pPr>
        <w:jc w:val="center"/>
        <w:rPr>
          <w:lang w:val="en-US"/>
        </w:rPr>
      </w:pPr>
      <w:r w:rsidRPr="00631D53">
        <w:rPr>
          <w:lang w:val="en-US"/>
        </w:rPr>
        <w:t xml:space="preserve"> </w:t>
      </w:r>
      <w:r w:rsidR="004E5010" w:rsidRPr="004E5010">
        <w:rPr>
          <w:noProof/>
          <w:lang w:eastAsia="en-AU"/>
        </w:rPr>
        <w:drawing>
          <wp:inline distT="0" distB="0" distL="0" distR="0" wp14:anchorId="08A573E5" wp14:editId="063D07B3">
            <wp:extent cx="5797644" cy="7944592"/>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3" cstate="email">
                      <a:extLst>
                        <a:ext uri="{28A0092B-C50C-407E-A947-70E740481C1C}">
                          <a14:useLocalDpi xmlns:a14="http://schemas.microsoft.com/office/drawing/2010/main"/>
                        </a:ext>
                      </a:extLst>
                    </a:blip>
                    <a:srcRect t="4974" r="1780"/>
                    <a:stretch/>
                  </pic:blipFill>
                  <pic:spPr bwMode="auto">
                    <a:xfrm>
                      <a:off x="0" y="0"/>
                      <a:ext cx="5803975" cy="7953268"/>
                    </a:xfrm>
                    <a:prstGeom prst="rect">
                      <a:avLst/>
                    </a:prstGeom>
                    <a:noFill/>
                    <a:ln>
                      <a:noFill/>
                    </a:ln>
                    <a:extLst>
                      <a:ext uri="{53640926-AAD7-44D8-BBD7-CCE9431645EC}">
                        <a14:shadowObscured xmlns:a14="http://schemas.microsoft.com/office/drawing/2010/main"/>
                      </a:ext>
                    </a:extLst>
                  </pic:spPr>
                </pic:pic>
              </a:graphicData>
            </a:graphic>
          </wp:inline>
        </w:drawing>
      </w:r>
    </w:p>
    <w:p w14:paraId="48047AAF" w14:textId="5C5C080E" w:rsidR="00FA168A" w:rsidRDefault="00FA168A" w:rsidP="00FA168A">
      <w:pPr>
        <w:pStyle w:val="Caption"/>
      </w:pPr>
      <w:bookmarkStart w:id="320" w:name="_Ref876860"/>
      <w:bookmarkStart w:id="321" w:name="_Toc3558387"/>
      <w:bookmarkStart w:id="322" w:name="_Toc69387726"/>
      <w:r>
        <w:t xml:space="preserve">Figure </w:t>
      </w:r>
      <w:r>
        <w:rPr>
          <w:noProof/>
        </w:rPr>
        <w:fldChar w:fldCharType="begin"/>
      </w:r>
      <w:r>
        <w:rPr>
          <w:noProof/>
        </w:rPr>
        <w:instrText xml:space="preserve"> SEQ Figure \* ARABIC </w:instrText>
      </w:r>
      <w:r>
        <w:rPr>
          <w:noProof/>
        </w:rPr>
        <w:fldChar w:fldCharType="separate"/>
      </w:r>
      <w:r w:rsidR="00940312">
        <w:rPr>
          <w:noProof/>
        </w:rPr>
        <w:t>62</w:t>
      </w:r>
      <w:r>
        <w:rPr>
          <w:noProof/>
        </w:rPr>
        <w:fldChar w:fldCharType="end"/>
      </w:r>
      <w:bookmarkEnd w:id="320"/>
      <w:r>
        <w:t>.</w:t>
      </w:r>
      <w:r w:rsidRPr="000C14CD">
        <w:t xml:space="preserve"> Length frequency distributions </w:t>
      </w:r>
      <w:r>
        <w:t xml:space="preserve">and age structures </w:t>
      </w:r>
      <w:r w:rsidRPr="000C14CD">
        <w:t xml:space="preserve">of </w:t>
      </w:r>
      <w:r>
        <w:t>freshwater catfish</w:t>
      </w:r>
      <w:r w:rsidRPr="00A41FBF">
        <w:t xml:space="preserve"> collected from the gorge geomorphic</w:t>
      </w:r>
      <w:r w:rsidRPr="00F0108E">
        <w:t xml:space="preserve"> zone of the L</w:t>
      </w:r>
      <w:r w:rsidR="004A44FA">
        <w:t xml:space="preserve">ower </w:t>
      </w:r>
      <w:r w:rsidRPr="00F0108E">
        <w:t>M</w:t>
      </w:r>
      <w:r w:rsidR="004A44FA">
        <w:t xml:space="preserve">urray </w:t>
      </w:r>
      <w:r w:rsidRPr="00F0108E">
        <w:t>R</w:t>
      </w:r>
      <w:r w:rsidR="004A44FA">
        <w:t>iver</w:t>
      </w:r>
      <w:r w:rsidRPr="00F0108E">
        <w:t xml:space="preserve"> </w:t>
      </w:r>
      <w:r>
        <w:t>from</w:t>
      </w:r>
      <w:r w:rsidRPr="00F0108E">
        <w:t xml:space="preserve"> 2015</w:t>
      </w:r>
      <w:r>
        <w:t>–20</w:t>
      </w:r>
      <w:r w:rsidR="006E42C2">
        <w:t>20</w:t>
      </w:r>
      <w:r w:rsidRPr="00F0108E">
        <w:t>.</w:t>
      </w:r>
      <w:bookmarkEnd w:id="321"/>
      <w:bookmarkEnd w:id="322"/>
    </w:p>
    <w:p w14:paraId="6EE368EF" w14:textId="3AFF447C" w:rsidR="00FA168A" w:rsidRPr="00650E92" w:rsidRDefault="00FA168A" w:rsidP="00FA168A">
      <w:pPr>
        <w:jc w:val="center"/>
        <w:rPr>
          <w:lang w:val="en-US"/>
        </w:rPr>
      </w:pPr>
      <w:r w:rsidRPr="00631D53">
        <w:rPr>
          <w:lang w:val="en-US"/>
        </w:rPr>
        <w:t xml:space="preserve"> </w:t>
      </w:r>
      <w:r w:rsidR="009A4B79" w:rsidRPr="009A4B79">
        <w:rPr>
          <w:noProof/>
          <w:lang w:eastAsia="en-AU"/>
        </w:rPr>
        <w:drawing>
          <wp:inline distT="0" distB="0" distL="0" distR="0" wp14:anchorId="3E718804" wp14:editId="54614BC6">
            <wp:extent cx="5670647" cy="7581014"/>
            <wp:effectExtent l="0" t="0" r="6350" b="127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4" cstate="email">
                      <a:extLst>
                        <a:ext uri="{28A0092B-C50C-407E-A947-70E740481C1C}">
                          <a14:useLocalDpi xmlns:a14="http://schemas.microsoft.com/office/drawing/2010/main"/>
                        </a:ext>
                      </a:extLst>
                    </a:blip>
                    <a:srcRect t="830" r="1922" b="30775"/>
                    <a:stretch/>
                  </pic:blipFill>
                  <pic:spPr bwMode="auto">
                    <a:xfrm>
                      <a:off x="0" y="0"/>
                      <a:ext cx="5694568" cy="7612994"/>
                    </a:xfrm>
                    <a:prstGeom prst="rect">
                      <a:avLst/>
                    </a:prstGeom>
                    <a:noFill/>
                    <a:ln>
                      <a:noFill/>
                    </a:ln>
                    <a:extLst>
                      <a:ext uri="{53640926-AAD7-44D8-BBD7-CCE9431645EC}">
                        <a14:shadowObscured xmlns:a14="http://schemas.microsoft.com/office/drawing/2010/main"/>
                      </a:ext>
                    </a:extLst>
                  </pic:spPr>
                </pic:pic>
              </a:graphicData>
            </a:graphic>
          </wp:inline>
        </w:drawing>
      </w:r>
    </w:p>
    <w:p w14:paraId="253D7F1A" w14:textId="3D7E6FFB" w:rsidR="00FA168A" w:rsidRDefault="00FA168A" w:rsidP="00FA168A">
      <w:pPr>
        <w:pStyle w:val="Caption"/>
      </w:pPr>
      <w:bookmarkStart w:id="323" w:name="_Ref876868"/>
      <w:bookmarkStart w:id="324" w:name="_Toc3558388"/>
      <w:bookmarkStart w:id="325" w:name="_Toc69387727"/>
      <w:r>
        <w:t xml:space="preserve">Figure </w:t>
      </w:r>
      <w:r>
        <w:rPr>
          <w:noProof/>
        </w:rPr>
        <w:fldChar w:fldCharType="begin"/>
      </w:r>
      <w:r>
        <w:rPr>
          <w:noProof/>
        </w:rPr>
        <w:instrText xml:space="preserve"> SEQ Figure \* ARABIC </w:instrText>
      </w:r>
      <w:r>
        <w:rPr>
          <w:noProof/>
        </w:rPr>
        <w:fldChar w:fldCharType="separate"/>
      </w:r>
      <w:r w:rsidR="00940312">
        <w:rPr>
          <w:noProof/>
        </w:rPr>
        <w:t>63</w:t>
      </w:r>
      <w:r>
        <w:rPr>
          <w:noProof/>
        </w:rPr>
        <w:fldChar w:fldCharType="end"/>
      </w:r>
      <w:bookmarkEnd w:id="323"/>
      <w:r>
        <w:t>.</w:t>
      </w:r>
      <w:r w:rsidRPr="000C14CD">
        <w:t xml:space="preserve"> Length frequency distributions </w:t>
      </w:r>
      <w:r>
        <w:t xml:space="preserve">and age structures </w:t>
      </w:r>
      <w:r w:rsidRPr="000C14CD">
        <w:t xml:space="preserve">of </w:t>
      </w:r>
      <w:r>
        <w:t>Murray cod</w:t>
      </w:r>
      <w:r w:rsidRPr="00A41FBF">
        <w:t xml:space="preserve"> collected from the gorge geomorphic</w:t>
      </w:r>
      <w:r w:rsidRPr="00F0108E">
        <w:t xml:space="preserve"> zone of the L</w:t>
      </w:r>
      <w:r w:rsidR="004A44FA">
        <w:t xml:space="preserve">ower </w:t>
      </w:r>
      <w:r w:rsidRPr="00F0108E">
        <w:t>M</w:t>
      </w:r>
      <w:r w:rsidR="004A44FA">
        <w:t xml:space="preserve">urray </w:t>
      </w:r>
      <w:r w:rsidRPr="00F0108E">
        <w:t>R</w:t>
      </w:r>
      <w:r w:rsidR="004A44FA">
        <w:t>iver</w:t>
      </w:r>
      <w:r w:rsidRPr="00F0108E">
        <w:t xml:space="preserve"> </w:t>
      </w:r>
      <w:r>
        <w:t>from</w:t>
      </w:r>
      <w:r w:rsidRPr="00F0108E">
        <w:t xml:space="preserve"> 2015</w:t>
      </w:r>
      <w:r>
        <w:t>–20</w:t>
      </w:r>
      <w:r w:rsidR="004E5010">
        <w:t>20</w:t>
      </w:r>
      <w:r w:rsidRPr="00F0108E">
        <w:t>.</w:t>
      </w:r>
      <w:bookmarkEnd w:id="324"/>
      <w:r w:rsidR="009D2866">
        <w:t xml:space="preserve"> Individuals &gt;3</w:t>
      </w:r>
      <w:r w:rsidR="00EB02CE">
        <w:t>4</w:t>
      </w:r>
      <w:r w:rsidR="009D2866">
        <w:t>0 mm were not retained for ageing.</w:t>
      </w:r>
      <w:bookmarkEnd w:id="325"/>
    </w:p>
    <w:p w14:paraId="4341E009" w14:textId="77777777" w:rsidR="00FA168A" w:rsidRDefault="00FA168A" w:rsidP="00FA168A">
      <w:pPr>
        <w:spacing w:before="0" w:after="160" w:line="259" w:lineRule="auto"/>
        <w:jc w:val="left"/>
        <w:rPr>
          <w:b/>
          <w:bCs/>
          <w:color w:val="auto"/>
          <w:sz w:val="20"/>
          <w:szCs w:val="18"/>
        </w:rPr>
      </w:pPr>
      <w:r>
        <w:br w:type="page"/>
      </w:r>
    </w:p>
    <w:p w14:paraId="513CA012" w14:textId="63F5B005" w:rsidR="00FA168A" w:rsidRDefault="00003505" w:rsidP="00003505">
      <w:pPr>
        <w:pStyle w:val="Caption"/>
        <w:jc w:val="center"/>
      </w:pPr>
      <w:r w:rsidRPr="00003505">
        <w:rPr>
          <w:noProof/>
        </w:rPr>
        <w:drawing>
          <wp:inline distT="0" distB="0" distL="0" distR="0" wp14:anchorId="522B8A42" wp14:editId="2E02D79D">
            <wp:extent cx="5610225" cy="6473190"/>
            <wp:effectExtent l="0" t="0" r="9525"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5" cstate="email">
                      <a:extLst>
                        <a:ext uri="{28A0092B-C50C-407E-A947-70E740481C1C}">
                          <a14:useLocalDpi xmlns:a14="http://schemas.microsoft.com/office/drawing/2010/main"/>
                        </a:ext>
                      </a:extLst>
                    </a:blip>
                    <a:srcRect t="4093" r="2116"/>
                    <a:stretch/>
                  </pic:blipFill>
                  <pic:spPr bwMode="auto">
                    <a:xfrm>
                      <a:off x="0" y="0"/>
                      <a:ext cx="5610225" cy="6473190"/>
                    </a:xfrm>
                    <a:prstGeom prst="rect">
                      <a:avLst/>
                    </a:prstGeom>
                    <a:noFill/>
                    <a:ln>
                      <a:noFill/>
                    </a:ln>
                    <a:extLst>
                      <a:ext uri="{53640926-AAD7-44D8-BBD7-CCE9431645EC}">
                        <a14:shadowObscured xmlns:a14="http://schemas.microsoft.com/office/drawing/2010/main"/>
                      </a:ext>
                    </a:extLst>
                  </pic:spPr>
                </pic:pic>
              </a:graphicData>
            </a:graphic>
          </wp:inline>
        </w:drawing>
      </w:r>
    </w:p>
    <w:p w14:paraId="7C1F055D" w14:textId="7C52A377" w:rsidR="000759E9" w:rsidRDefault="00FA168A" w:rsidP="00FA168A">
      <w:pPr>
        <w:pStyle w:val="Caption"/>
      </w:pPr>
      <w:bookmarkStart w:id="326" w:name="_Ref12448143"/>
      <w:bookmarkStart w:id="327" w:name="_Toc69387728"/>
      <w:r>
        <w:t xml:space="preserve">Figure </w:t>
      </w:r>
      <w:r>
        <w:rPr>
          <w:noProof/>
        </w:rPr>
        <w:fldChar w:fldCharType="begin"/>
      </w:r>
      <w:r>
        <w:rPr>
          <w:noProof/>
        </w:rPr>
        <w:instrText xml:space="preserve"> SEQ Figure \* ARABIC </w:instrText>
      </w:r>
      <w:r>
        <w:rPr>
          <w:noProof/>
        </w:rPr>
        <w:fldChar w:fldCharType="separate"/>
      </w:r>
      <w:r w:rsidR="00940312">
        <w:rPr>
          <w:noProof/>
        </w:rPr>
        <w:t>64</w:t>
      </w:r>
      <w:r>
        <w:rPr>
          <w:noProof/>
        </w:rPr>
        <w:fldChar w:fldCharType="end"/>
      </w:r>
      <w:bookmarkEnd w:id="326"/>
      <w:r>
        <w:t xml:space="preserve">. </w:t>
      </w:r>
      <w:r w:rsidRPr="0024260A">
        <w:t xml:space="preserve">Length frequency distributions and age structures of </w:t>
      </w:r>
      <w:r>
        <w:t>bony herring</w:t>
      </w:r>
      <w:r w:rsidRPr="0024260A">
        <w:t xml:space="preserve"> collected from the gorge geom</w:t>
      </w:r>
      <w:r>
        <w:t xml:space="preserve">orphic zone of the </w:t>
      </w:r>
      <w:r w:rsidR="008C22A9" w:rsidRPr="00607412">
        <w:t>L</w:t>
      </w:r>
      <w:r w:rsidR="008C22A9">
        <w:t xml:space="preserve">ower </w:t>
      </w:r>
      <w:r w:rsidR="008C22A9" w:rsidRPr="00607412">
        <w:t>M</w:t>
      </w:r>
      <w:r w:rsidR="008C22A9">
        <w:t xml:space="preserve">urray </w:t>
      </w:r>
      <w:r w:rsidR="008C22A9" w:rsidRPr="00607412">
        <w:t>R</w:t>
      </w:r>
      <w:r w:rsidR="008C22A9">
        <w:t>iver</w:t>
      </w:r>
      <w:r>
        <w:t xml:space="preserve"> from 2016–20</w:t>
      </w:r>
      <w:r w:rsidR="00A218B5">
        <w:t>20</w:t>
      </w:r>
      <w:r>
        <w:t>.</w:t>
      </w:r>
      <w:bookmarkEnd w:id="327"/>
      <w:r w:rsidRPr="006F3F4D">
        <w:rPr>
          <w:lang w:val="en-US"/>
        </w:rPr>
        <w:t xml:space="preserve"> </w:t>
      </w:r>
    </w:p>
    <w:p w14:paraId="4C32B916" w14:textId="77777777" w:rsidR="00DC5D1B" w:rsidRPr="00E35C12" w:rsidRDefault="00DC5D1B" w:rsidP="00DC5D1B">
      <w:pPr>
        <w:pStyle w:val="Heading3"/>
      </w:pPr>
      <w:r>
        <w:rPr>
          <w:lang w:val="en-US"/>
        </w:rPr>
        <w:t>Evaluation</w:t>
      </w:r>
    </w:p>
    <w:p w14:paraId="47E91C2C" w14:textId="692EB65E" w:rsidR="00DC5D1B" w:rsidRDefault="00F50472" w:rsidP="00DC5D1B">
      <w:r>
        <w:t>T</w:t>
      </w:r>
      <w:r w:rsidRPr="00F50472">
        <w:t>here are no CEWO evaluation questions for this indicator for the L</w:t>
      </w:r>
      <w:r w:rsidR="008660CC">
        <w:t>ower Murray</w:t>
      </w:r>
      <w:r w:rsidRPr="00F50472">
        <w:t xml:space="preserve"> Selected Area. </w:t>
      </w:r>
      <w:r w:rsidR="00BA1974">
        <w:t xml:space="preserve">The </w:t>
      </w:r>
      <w:r w:rsidR="00BA1974" w:rsidRPr="00DC5D1B">
        <w:t>Basin-scale evaluation of fish community responses to C</w:t>
      </w:r>
      <w:r w:rsidR="00BA1974">
        <w:t>ommonwealth environmental water</w:t>
      </w:r>
      <w:r w:rsidR="00BA1974" w:rsidRPr="00DC5D1B">
        <w:t xml:space="preserve"> is being undertaken by </w:t>
      </w:r>
      <w:r w:rsidR="00A914D6" w:rsidRPr="00A914D6">
        <w:t>a team of fish ecologists</w:t>
      </w:r>
      <w:r w:rsidR="00B84C90">
        <w:t xml:space="preserve"> and biometricians</w:t>
      </w:r>
      <w:r w:rsidR="00A914D6" w:rsidRPr="00A914D6">
        <w:t>, led by the ARI</w:t>
      </w:r>
      <w:r w:rsidR="00BA1974" w:rsidRPr="00DC5D1B">
        <w:t>.</w:t>
      </w:r>
      <w:r w:rsidR="00BA1974">
        <w:t xml:space="preserve"> </w:t>
      </w:r>
      <w:r w:rsidRPr="00F50472">
        <w:t xml:space="preserve">For this report, fish monitoring data </w:t>
      </w:r>
      <w:r w:rsidR="008660CC">
        <w:t xml:space="preserve">from this standardised sampling, and additional targeted sampling for flow-cued spawners (Section </w:t>
      </w:r>
      <w:r w:rsidR="008660CC">
        <w:fldChar w:fldCharType="begin"/>
      </w:r>
      <w:r w:rsidR="008660CC">
        <w:instrText xml:space="preserve"> REF _Ref53046930 \r \h </w:instrText>
      </w:r>
      <w:r w:rsidR="008660CC">
        <w:fldChar w:fldCharType="separate"/>
      </w:r>
      <w:r w:rsidR="00241910">
        <w:t>2.6</w:t>
      </w:r>
      <w:r w:rsidR="008660CC">
        <w:fldChar w:fldCharType="end"/>
      </w:r>
      <w:r w:rsidR="008660CC">
        <w:t xml:space="preserve">) and Murray cod (Section </w:t>
      </w:r>
      <w:r w:rsidR="008660CC">
        <w:fldChar w:fldCharType="begin"/>
      </w:r>
      <w:r w:rsidR="008660CC">
        <w:instrText xml:space="preserve"> REF _Ref50027079 \r \h </w:instrText>
      </w:r>
      <w:r w:rsidR="008660CC">
        <w:fldChar w:fldCharType="separate"/>
      </w:r>
      <w:r w:rsidR="00241910">
        <w:t>2.7</w:t>
      </w:r>
      <w:r w:rsidR="008660CC">
        <w:fldChar w:fldCharType="end"/>
      </w:r>
      <w:r w:rsidR="008660CC">
        <w:t xml:space="preserve">), </w:t>
      </w:r>
      <w:r w:rsidRPr="00F50472">
        <w:t xml:space="preserve">were consolidated to evaluate a number of fish targets of </w:t>
      </w:r>
      <w:r w:rsidR="00EB02CE">
        <w:t xml:space="preserve">the </w:t>
      </w:r>
      <w:r w:rsidR="00C9054B" w:rsidRPr="00C9054B">
        <w:t xml:space="preserve">Long-Term Environmental Watering Plan (LTWP) for the South Australian Murray River </w:t>
      </w:r>
      <w:r w:rsidR="00C9054B">
        <w:t xml:space="preserve">(DEWNR 2015) </w:t>
      </w:r>
      <w:r w:rsidR="00C9054B" w:rsidRPr="00C9054B">
        <w:t xml:space="preserve">and </w:t>
      </w:r>
      <w:r w:rsidR="00C9054B">
        <w:t xml:space="preserve">the </w:t>
      </w:r>
      <w:r w:rsidR="00EB02CE">
        <w:t>Basin Plan Matter 8 Report</w:t>
      </w:r>
      <w:r w:rsidR="0055328E">
        <w:t xml:space="preserve"> (</w:t>
      </w:r>
      <w:r w:rsidR="003714B0">
        <w:t xml:space="preserve">DEW 2020) in </w:t>
      </w:r>
      <w:r w:rsidR="0055328E">
        <w:t>Appendix C</w:t>
      </w:r>
      <w:r w:rsidRPr="00F50472">
        <w:t>.</w:t>
      </w:r>
    </w:p>
    <w:p w14:paraId="30A576CA" w14:textId="76E84698" w:rsidR="000759E9" w:rsidRDefault="00914280" w:rsidP="000759E9">
      <w:pPr>
        <w:pStyle w:val="Heading3"/>
      </w:pPr>
      <w:r w:rsidRPr="0000477E">
        <w:t>Discussion</w:t>
      </w:r>
      <w:r w:rsidR="000759E9" w:rsidRPr="000759E9">
        <w:t xml:space="preserve"> </w:t>
      </w:r>
    </w:p>
    <w:p w14:paraId="68553B9E" w14:textId="77777777" w:rsidR="00FA168A" w:rsidRDefault="00FA168A" w:rsidP="00FA168A">
      <w:r>
        <w:t>D</w:t>
      </w:r>
      <w:r w:rsidRPr="007E5574">
        <w:t>uring 2014</w:t>
      </w:r>
      <w:r>
        <w:t>-</w:t>
      </w:r>
      <w:r w:rsidRPr="007E5574">
        <w:t>15 and 2015</w:t>
      </w:r>
      <w:r>
        <w:t>-</w:t>
      </w:r>
      <w:r w:rsidRPr="007E5574">
        <w:t>16</w:t>
      </w:r>
      <w:r>
        <w:t>, relatively low (&lt;15,000 ML/d</w:t>
      </w:r>
      <w:r w:rsidRPr="007E5574">
        <w:t xml:space="preserve">), stable flows predominated in the LMR. </w:t>
      </w:r>
      <w:r>
        <w:t>In these years,</w:t>
      </w:r>
      <w:r w:rsidRPr="007E5574">
        <w:t xml:space="preserve"> small-bodied fish abundance and diversity were high. Abundances of flow-cued spawning species (i.e. golden perch and silver perch) remained similar in both years</w:t>
      </w:r>
      <w:r>
        <w:t xml:space="preserve"> and overall,</w:t>
      </w:r>
      <w:r w:rsidRPr="001B257A">
        <w:t xml:space="preserve"> fish assemblage structure was characteristic of low flow</w:t>
      </w:r>
      <w:r>
        <w:t>s in the LMR</w:t>
      </w:r>
      <w:r w:rsidRPr="001B257A">
        <w:t xml:space="preserve"> </w:t>
      </w:r>
      <w:r>
        <w:t xml:space="preserve">and </w:t>
      </w:r>
      <w:r w:rsidRPr="001B257A">
        <w:t xml:space="preserve">similar to that during drought in 2007–2010 (Bice </w:t>
      </w:r>
      <w:r w:rsidRPr="001B257A">
        <w:rPr>
          <w:i/>
        </w:rPr>
        <w:t>et al.</w:t>
      </w:r>
      <w:r w:rsidRPr="001B257A">
        <w:t xml:space="preserve"> 2014).</w:t>
      </w:r>
    </w:p>
    <w:p w14:paraId="0A23739F" w14:textId="61B47A66" w:rsidR="00762590" w:rsidRDefault="00FA168A" w:rsidP="00FA168A">
      <w:r>
        <w:t>In 2017, following flooding in spring–</w:t>
      </w:r>
      <w:r w:rsidRPr="007E5574">
        <w:t>summer 2016</w:t>
      </w:r>
      <w:r>
        <w:t xml:space="preserve"> (peak flow ~94,600 ML/d)</w:t>
      </w:r>
      <w:r w:rsidRPr="007E5574">
        <w:t>, there was a significant change to the small- and large-bodied fish assemblages</w:t>
      </w:r>
      <w:r>
        <w:t>,</w:t>
      </w:r>
      <w:r w:rsidRPr="007E5574">
        <w:t xml:space="preserve"> with an overall decrease in the abundances of small-bodied species and an increase in the abundance of common carp. </w:t>
      </w:r>
      <w:r>
        <w:t>A reduction in</w:t>
      </w:r>
      <w:r w:rsidRPr="007E5574">
        <w:t xml:space="preserve"> submerged vegetation in the main channel of the LMR during 2016</w:t>
      </w:r>
      <w:r>
        <w:t>-</w:t>
      </w:r>
      <w:r w:rsidRPr="007E5574">
        <w:t xml:space="preserve">17, due to a combination of increased water depth/decreased light penetration and physical scour, likely resulted in </w:t>
      </w:r>
      <w:r>
        <w:t xml:space="preserve">a decrease in habitat availability and </w:t>
      </w:r>
      <w:r w:rsidRPr="007E5574">
        <w:t>decreased abundance of small-bodied fishes</w:t>
      </w:r>
      <w:r>
        <w:t xml:space="preserve"> (Bice </w:t>
      </w:r>
      <w:r w:rsidRPr="009D011B">
        <w:rPr>
          <w:i/>
        </w:rPr>
        <w:t>et al.</w:t>
      </w:r>
      <w:r>
        <w:t xml:space="preserve"> 2014)</w:t>
      </w:r>
      <w:r w:rsidRPr="007E5574">
        <w:t xml:space="preserve">. </w:t>
      </w:r>
      <w:r>
        <w:t>I</w:t>
      </w:r>
      <w:r w:rsidRPr="007E5574">
        <w:t>n 2017</w:t>
      </w:r>
      <w:r>
        <w:t>, i</w:t>
      </w:r>
      <w:r w:rsidRPr="007E5574">
        <w:t xml:space="preserve">ncreased abundance of </w:t>
      </w:r>
      <w:r w:rsidR="00762590" w:rsidRPr="007E5574">
        <w:t xml:space="preserve">common carp </w:t>
      </w:r>
      <w:r w:rsidR="00762590">
        <w:t>was</w:t>
      </w:r>
      <w:r w:rsidR="00762590" w:rsidRPr="007E5574">
        <w:t xml:space="preserve"> driven by a large recruitment event associated with flooding in 2016</w:t>
      </w:r>
      <w:r w:rsidR="00762590">
        <w:t>-</w:t>
      </w:r>
      <w:r w:rsidR="00762590" w:rsidRPr="007E5574">
        <w:t xml:space="preserve">17. </w:t>
      </w:r>
      <w:r w:rsidR="00040DA3" w:rsidRPr="007E5574">
        <w:t xml:space="preserve">Following a recession in water levels in summer 2017, large numbers of </w:t>
      </w:r>
      <w:r w:rsidR="0067026B">
        <w:t>YOY (</w:t>
      </w:r>
      <w:r w:rsidR="00040DA3" w:rsidRPr="007E5574">
        <w:t>age 0+</w:t>
      </w:r>
      <w:r w:rsidR="0067026B">
        <w:t>)</w:t>
      </w:r>
      <w:r w:rsidR="00040DA3" w:rsidRPr="007E5574">
        <w:t xml:space="preserve"> common carp likely entered the main channel from off-channel floodplain and wetland habitats (their typical spawning </w:t>
      </w:r>
      <w:r w:rsidR="00040DA3">
        <w:t xml:space="preserve">and nursery </w:t>
      </w:r>
      <w:r w:rsidR="00040DA3" w:rsidRPr="007E5574">
        <w:t xml:space="preserve">habitat) and were captured during sampling in autumn and winter 2017. </w:t>
      </w:r>
    </w:p>
    <w:p w14:paraId="451517D3" w14:textId="025D7874" w:rsidR="00FA168A" w:rsidRDefault="00040DA3" w:rsidP="00FA168A">
      <w:r>
        <w:t>In general, the fish</w:t>
      </w:r>
      <w:r w:rsidRPr="00C06FFF">
        <w:t xml:space="preserve"> assemblage </w:t>
      </w:r>
      <w:r>
        <w:t xml:space="preserve">in 2017 </w:t>
      </w:r>
      <w:r w:rsidRPr="00C06FFF">
        <w:t>was typical of high flow</w:t>
      </w:r>
      <w:r>
        <w:t xml:space="preserve"> conditions</w:t>
      </w:r>
      <w:r w:rsidRPr="00C06FFF">
        <w:t xml:space="preserve"> </w:t>
      </w:r>
      <w:r>
        <w:t xml:space="preserve">and </w:t>
      </w:r>
      <w:proofErr w:type="gramStart"/>
      <w:r w:rsidRPr="00C06FFF">
        <w:t>similar to</w:t>
      </w:r>
      <w:proofErr w:type="gramEnd"/>
      <w:r w:rsidRPr="00C06FFF">
        <w:t xml:space="preserve"> </w:t>
      </w:r>
      <w:r>
        <w:t xml:space="preserve">assemblages </w:t>
      </w:r>
      <w:r w:rsidR="00762590" w:rsidRPr="00C06FFF">
        <w:t xml:space="preserve">in </w:t>
      </w:r>
      <w:r w:rsidR="00762590">
        <w:t xml:space="preserve">high flow years from </w:t>
      </w:r>
      <w:r w:rsidR="00762590" w:rsidRPr="00C06FFF">
        <w:t>2010–2012</w:t>
      </w:r>
      <w:r>
        <w:t>, with the exception of low abundances of golden perch</w:t>
      </w:r>
      <w:r w:rsidRPr="00C06FFF">
        <w:t xml:space="preserve"> (Bice </w:t>
      </w:r>
      <w:r w:rsidRPr="00C06FFF">
        <w:rPr>
          <w:i/>
        </w:rPr>
        <w:t>et al.</w:t>
      </w:r>
      <w:r w:rsidRPr="00C06FFF">
        <w:t xml:space="preserve"> 2014). </w:t>
      </w:r>
      <w:r>
        <w:t>I</w:t>
      </w:r>
      <w:r w:rsidRPr="00C06FFF">
        <w:t>n 2016</w:t>
      </w:r>
      <w:r>
        <w:t>-</w:t>
      </w:r>
      <w:r w:rsidRPr="00C06FFF">
        <w:t>17</w:t>
      </w:r>
      <w:r>
        <w:t xml:space="preserve">, </w:t>
      </w:r>
      <w:r w:rsidRPr="00C06FFF">
        <w:t>recruitment of native, large-bodied flow-cued spawners (</w:t>
      </w:r>
      <w:proofErr w:type="gramStart"/>
      <w:r w:rsidRPr="00C06FFF">
        <w:t>e.g.</w:t>
      </w:r>
      <w:proofErr w:type="gramEnd"/>
      <w:r w:rsidRPr="00C06FFF">
        <w:t xml:space="preserve"> golden perch) was negligible, despite a flow regime that was </w:t>
      </w:r>
      <w:r>
        <w:t xml:space="preserve">potentially </w:t>
      </w:r>
      <w:r w:rsidRPr="00C06FFF">
        <w:t>conducive to spawning of these species</w:t>
      </w:r>
      <w:r>
        <w:t xml:space="preserve"> (</w:t>
      </w:r>
      <w:proofErr w:type="spellStart"/>
      <w:r w:rsidRPr="007E5574">
        <w:rPr>
          <w:bCs/>
        </w:rPr>
        <w:t>Mallen</w:t>
      </w:r>
      <w:proofErr w:type="spellEnd"/>
      <w:r w:rsidRPr="007E5574">
        <w:rPr>
          <w:bCs/>
        </w:rPr>
        <w:t>-Cooper and Stuart 2003; Zampatti and Leigh 2013a; 2013b</w:t>
      </w:r>
      <w:r w:rsidRPr="007E5574">
        <w:t xml:space="preserve">) </w:t>
      </w:r>
      <w:r w:rsidR="00FA168A" w:rsidRPr="007E5574">
        <w:t>(also see Section</w:t>
      </w:r>
      <w:r w:rsidR="003D3924">
        <w:t xml:space="preserve"> </w:t>
      </w:r>
      <w:r w:rsidR="003D3924">
        <w:fldChar w:fldCharType="begin"/>
      </w:r>
      <w:r w:rsidR="003D3924">
        <w:instrText xml:space="preserve"> REF _Ref53046930 \r \h </w:instrText>
      </w:r>
      <w:r w:rsidR="003D3924">
        <w:fldChar w:fldCharType="separate"/>
      </w:r>
      <w:r w:rsidR="00241910">
        <w:t>2.6</w:t>
      </w:r>
      <w:r w:rsidR="003D3924">
        <w:fldChar w:fldCharType="end"/>
      </w:r>
      <w:r w:rsidR="00FA168A">
        <w:t>)</w:t>
      </w:r>
      <w:r w:rsidR="00FA168A" w:rsidRPr="00C06FFF">
        <w:t xml:space="preserve">. </w:t>
      </w:r>
      <w:r w:rsidR="00762590">
        <w:t>It is possible, that recruitment in 2016-17 was compromised by hypoxia associated with blackwater</w:t>
      </w:r>
      <w:r w:rsidR="00762590" w:rsidRPr="00C06FFF">
        <w:t xml:space="preserve"> during the </w:t>
      </w:r>
      <w:r w:rsidR="00762590">
        <w:t>spring–early summer</w:t>
      </w:r>
      <w:r w:rsidR="00762590" w:rsidRPr="00C06FFF">
        <w:t xml:space="preserve"> spawning season</w:t>
      </w:r>
      <w:r w:rsidR="00762590">
        <w:t xml:space="preserve"> (Ye </w:t>
      </w:r>
      <w:r w:rsidR="00762590" w:rsidRPr="00684A45">
        <w:rPr>
          <w:i/>
        </w:rPr>
        <w:t>et al.</w:t>
      </w:r>
      <w:r w:rsidR="00762590">
        <w:t xml:space="preserve"> 2018)</w:t>
      </w:r>
      <w:r w:rsidR="0067026B">
        <w:t>,</w:t>
      </w:r>
      <w:r w:rsidR="00762590" w:rsidRPr="00C06FFF">
        <w:t xml:space="preserve"> imp</w:t>
      </w:r>
      <w:r w:rsidR="00762590">
        <w:t>acting</w:t>
      </w:r>
      <w:r w:rsidR="00762590" w:rsidRPr="00C06FFF">
        <w:t xml:space="preserve"> the survival of eggs and larvae.</w:t>
      </w:r>
    </w:p>
    <w:p w14:paraId="18B75BBA" w14:textId="288376BB" w:rsidR="00040DA3" w:rsidRDefault="00040DA3" w:rsidP="00040DA3">
      <w:r>
        <w:t>Following in-channel flows (up to 17,800 ML/d) in spring–early summer 2017-18,</w:t>
      </w:r>
      <w:r w:rsidRPr="004A2D68">
        <w:t xml:space="preserve"> </w:t>
      </w:r>
      <w:r>
        <w:t xml:space="preserve">small-bodied fish species composition and abundance in 2018 reverted back to that of pre-flood conditions (i.e. 2016 and 2015), </w:t>
      </w:r>
      <w:r w:rsidR="00762590">
        <w:t xml:space="preserve">likely </w:t>
      </w:r>
      <w:r>
        <w:t>due to structural and hydraulic habitats (i.e. submerged vegetation and stable water levels) conducive to small-bodied fish recruitment in the main river channel. Species composition and abundances were similar in 2019 and 2020, following comparable hydrological conditions (i.e. low, in</w:t>
      </w:r>
      <w:r w:rsidR="00F426B8">
        <w:t>-</w:t>
      </w:r>
      <w:r>
        <w:t xml:space="preserve">channel flows &lt;18,000 ML/d) in 2018-19 and 2019-20. From 2017 to 2020, the large-bodied fish assemblage trended back towards one typical of ‘low flows’ (e.g. 2016, 2015 and 2008, </w:t>
      </w:r>
      <w:r w:rsidR="00883C44">
        <w:t xml:space="preserve">Bice </w:t>
      </w:r>
      <w:r w:rsidR="00883C44" w:rsidRPr="00BE59DF">
        <w:rPr>
          <w:i/>
        </w:rPr>
        <w:t>et al.</w:t>
      </w:r>
      <w:r w:rsidR="00883C44">
        <w:t xml:space="preserve"> 2014</w:t>
      </w:r>
      <w:r w:rsidR="00762590">
        <w:t xml:space="preserve">) due to a reduction of common carp and goldfish abundance in 2019 and 2020 to levels similar to 2015 and 2016.  </w:t>
      </w:r>
    </w:p>
    <w:p w14:paraId="0D7610E1" w14:textId="1DFFD117" w:rsidR="00FA168A" w:rsidRPr="009D091B" w:rsidRDefault="00FA168A" w:rsidP="00FA168A">
      <w:r w:rsidRPr="009D091B">
        <w:t xml:space="preserve">Based on electrofishing length frequency data, no recruitment (to </w:t>
      </w:r>
      <w:r w:rsidR="0067026B">
        <w:t>YOY</w:t>
      </w:r>
      <w:r w:rsidRPr="009D091B">
        <w:t>) was observed for freshwater catfish in the LMR from 2014</w:t>
      </w:r>
      <w:r>
        <w:t>–20</w:t>
      </w:r>
      <w:r>
        <w:softHyphen/>
      </w:r>
      <w:r w:rsidR="00681EC2">
        <w:t>20</w:t>
      </w:r>
      <w:r w:rsidRPr="009D091B">
        <w:t xml:space="preserve">. In the LMR, </w:t>
      </w:r>
      <w:r>
        <w:t xml:space="preserve">the </w:t>
      </w:r>
      <w:r w:rsidRPr="009D091B">
        <w:t xml:space="preserve">spawning biomass </w:t>
      </w:r>
      <w:r>
        <w:t xml:space="preserve">of freshwater catfish may be historically low </w:t>
      </w:r>
      <w:r w:rsidRPr="009D091B">
        <w:t xml:space="preserve">(Ye </w:t>
      </w:r>
      <w:r w:rsidRPr="009D091B">
        <w:rPr>
          <w:i/>
        </w:rPr>
        <w:t>et al.</w:t>
      </w:r>
      <w:r w:rsidRPr="009D091B">
        <w:t xml:space="preserve"> 2015)</w:t>
      </w:r>
      <w:r>
        <w:t xml:space="preserve"> and their </w:t>
      </w:r>
      <w:r w:rsidRPr="009D091B">
        <w:t>recruitment dynamics are poorly understood</w:t>
      </w:r>
      <w:r w:rsidR="00C44D6C">
        <w:t>.</w:t>
      </w:r>
    </w:p>
    <w:p w14:paraId="5A1135BC" w14:textId="2C5665C0" w:rsidR="00FA168A" w:rsidRPr="00FA168A" w:rsidRDefault="00FA168A" w:rsidP="00FA168A">
      <w:r>
        <w:t xml:space="preserve">From 2015–2019, </w:t>
      </w:r>
      <w:r w:rsidR="00762590">
        <w:t xml:space="preserve">regular recruitment and similar inter-annual abundances of Murray cod (i.e. fish &lt;150 mm TL) were </w:t>
      </w:r>
      <w:r>
        <w:t xml:space="preserve">observed in the LMR, </w:t>
      </w:r>
      <w:r w:rsidR="00810140">
        <w:t>during</w:t>
      </w:r>
      <w:r>
        <w:t xml:space="preserve"> years following an in-ch</w:t>
      </w:r>
      <w:r w:rsidR="00810140">
        <w:t>annel flow pulse (15,000–18,000 </w:t>
      </w:r>
      <w:r>
        <w:t xml:space="preserve">ML/d) and a high, overbank flow (&gt;90,000 ML/d), but also during three years of low, stable, in-channel flows (&lt;12,000 ML/d). </w:t>
      </w:r>
      <w:r w:rsidR="00681EC2">
        <w:t>In 2020,</w:t>
      </w:r>
      <w:r w:rsidR="00301555">
        <w:t xml:space="preserve"> during similar hydrological conditions to 2017-18 (in-channel </w:t>
      </w:r>
      <w:r w:rsidR="00C87821">
        <w:t xml:space="preserve">spring </w:t>
      </w:r>
      <w:r w:rsidR="00301555">
        <w:t>flow pulse &lt;18,000 ML/d),</w:t>
      </w:r>
      <w:r w:rsidR="00681EC2">
        <w:t xml:space="preserve"> Murray cod abundance increased significantly, driven by the </w:t>
      </w:r>
      <w:r w:rsidR="002A7BEF">
        <w:t xml:space="preserve">increased </w:t>
      </w:r>
      <w:r w:rsidR="00681EC2">
        <w:t>abundance of new recruits</w:t>
      </w:r>
      <w:r w:rsidR="00301555">
        <w:t xml:space="preserve">. Furthermore, based on length frequencies, </w:t>
      </w:r>
      <w:r>
        <w:t>the</w:t>
      </w:r>
      <w:r w:rsidR="00301555">
        <w:t>re was evidence of</w:t>
      </w:r>
      <w:r>
        <w:t xml:space="preserve"> </w:t>
      </w:r>
      <w:r w:rsidR="00301555">
        <w:t xml:space="preserve">some </w:t>
      </w:r>
      <w:r>
        <w:t xml:space="preserve">cohorts </w:t>
      </w:r>
      <w:r w:rsidR="00301555">
        <w:t xml:space="preserve">from 2015–2019 </w:t>
      </w:r>
      <w:r>
        <w:t>persist</w:t>
      </w:r>
      <w:r w:rsidR="00301555">
        <w:t>ing</w:t>
      </w:r>
      <w:r>
        <w:t xml:space="preserve"> in the population. These results contrast with data collected from 2003–</w:t>
      </w:r>
      <w:r>
        <w:softHyphen/>
        <w:t xml:space="preserve">2010, during the Millennium Drought, when Murray cod recruitment, measured as abundance of YOY in autumn, was limited in the predominantly lentic main channel habitats of the LMR. </w:t>
      </w:r>
      <w:r w:rsidR="00762590">
        <w:t xml:space="preserve">Subsequently, recruitment was observed in high flow years from 2010–2013 (Zampatti </w:t>
      </w:r>
      <w:r w:rsidR="00762590" w:rsidRPr="00AC182A">
        <w:rPr>
          <w:i/>
        </w:rPr>
        <w:t>et al.</w:t>
      </w:r>
      <w:r w:rsidR="00762590">
        <w:t xml:space="preserve"> 2014). The mechanisms that facilitate recruitment of Murray cod (</w:t>
      </w:r>
      <w:r w:rsidR="00762590" w:rsidRPr="00E239B6">
        <w:t xml:space="preserve">to YOY) in the LMR are unclear and being explored </w:t>
      </w:r>
      <w:r w:rsidR="00762590">
        <w:t>as part of</w:t>
      </w:r>
      <w:r w:rsidR="00762590" w:rsidRPr="00E239B6">
        <w:t xml:space="preserve"> the Murray Cod Recruitment indicator </w:t>
      </w:r>
      <w:r w:rsidR="00301555" w:rsidRPr="00E239B6">
        <w:t xml:space="preserve">(Section </w:t>
      </w:r>
      <w:r w:rsidR="00301555" w:rsidRPr="00E239B6">
        <w:fldChar w:fldCharType="begin"/>
      </w:r>
      <w:r w:rsidR="00301555" w:rsidRPr="00E239B6">
        <w:instrText xml:space="preserve"> REF _Ref50027079 \r \h  \* MERGEFORMAT </w:instrText>
      </w:r>
      <w:r w:rsidR="00301555" w:rsidRPr="00E239B6">
        <w:fldChar w:fldCharType="separate"/>
      </w:r>
      <w:r w:rsidR="00025EB2">
        <w:t>2.7</w:t>
      </w:r>
      <w:r w:rsidR="00301555" w:rsidRPr="00E239B6">
        <w:fldChar w:fldCharType="end"/>
      </w:r>
      <w:r w:rsidR="00301555" w:rsidRPr="00E239B6">
        <w:t>) and associated research project (not presented in this report)</w:t>
      </w:r>
      <w:r w:rsidRPr="00E239B6">
        <w:t>.</w:t>
      </w:r>
    </w:p>
    <w:p w14:paraId="1AC5BA31" w14:textId="004FAD6C" w:rsidR="006B1102" w:rsidRDefault="006B1102" w:rsidP="006B1102">
      <w:pPr>
        <w:pStyle w:val="Heading3"/>
      </w:pPr>
      <w:r>
        <w:t>Management implications</w:t>
      </w:r>
      <w:r w:rsidRPr="000759E9">
        <w:t xml:space="preserve"> </w:t>
      </w:r>
    </w:p>
    <w:p w14:paraId="217C0BD0" w14:textId="0BB834CD" w:rsidR="006B1102" w:rsidRDefault="00040DA3" w:rsidP="006B1102">
      <w:r w:rsidRPr="006B1102">
        <w:t xml:space="preserve">Prolonged </w:t>
      </w:r>
      <w:r w:rsidR="00762590" w:rsidRPr="006B1102">
        <w:t>low, in-channel flows (&lt;</w:t>
      </w:r>
      <w:r w:rsidR="00195076">
        <w:t>20</w:t>
      </w:r>
      <w:r w:rsidR="00762590" w:rsidRPr="006B1102">
        <w:t xml:space="preserve">,000 ML/d) promote hydraulic (e.g. lentic) and structural (submerged plant) habitat conditions suitable for low flow generalist </w:t>
      </w:r>
      <w:r w:rsidR="00762590">
        <w:t>fishes</w:t>
      </w:r>
      <w:r w:rsidR="0067026B">
        <w:t xml:space="preserve"> such as </w:t>
      </w:r>
      <w:r w:rsidR="00762590" w:rsidRPr="006B1102">
        <w:t>small-bodied</w:t>
      </w:r>
      <w:r w:rsidR="0067026B">
        <w:t xml:space="preserve"> carp </w:t>
      </w:r>
      <w:proofErr w:type="spellStart"/>
      <w:r w:rsidR="0067026B">
        <w:t>gudgeon</w:t>
      </w:r>
      <w:proofErr w:type="spellEnd"/>
      <w:r w:rsidR="0067026B">
        <w:t xml:space="preserve"> and </w:t>
      </w:r>
      <w:proofErr w:type="spellStart"/>
      <w:r w:rsidR="0067026B">
        <w:rPr>
          <w:lang w:val="en-US"/>
        </w:rPr>
        <w:t>unspecked</w:t>
      </w:r>
      <w:proofErr w:type="spellEnd"/>
      <w:r w:rsidR="0067026B">
        <w:rPr>
          <w:lang w:val="en-US"/>
        </w:rPr>
        <w:t xml:space="preserve"> </w:t>
      </w:r>
      <w:proofErr w:type="spellStart"/>
      <w:r w:rsidR="0067026B">
        <w:rPr>
          <w:lang w:val="en-US"/>
        </w:rPr>
        <w:t>hardyhead</w:t>
      </w:r>
      <w:proofErr w:type="spellEnd"/>
      <w:r w:rsidR="00762590" w:rsidRPr="006B1102">
        <w:t>.</w:t>
      </w:r>
      <w:r w:rsidR="00A67EA5" w:rsidRPr="00A67EA5">
        <w:t xml:space="preserve"> </w:t>
      </w:r>
      <w:r w:rsidR="00A67EA5">
        <w:t>Conversely, i</w:t>
      </w:r>
      <w:r w:rsidR="00A67EA5" w:rsidRPr="00A67EA5">
        <w:t>n</w:t>
      </w:r>
      <w:r w:rsidR="00A67EA5">
        <w:t>-</w:t>
      </w:r>
      <w:r w:rsidR="00A67EA5" w:rsidRPr="00A67EA5">
        <w:t>channel flows &gt;20</w:t>
      </w:r>
      <w:r w:rsidR="00A67EA5">
        <w:t>,000 ML/d</w:t>
      </w:r>
      <w:r w:rsidR="00A67EA5" w:rsidRPr="00A67EA5">
        <w:t xml:space="preserve"> facilitate a shift towards more natural riverine hydraulic characteristics that </w:t>
      </w:r>
      <w:r w:rsidR="00A67EA5">
        <w:t>benefit flow-dependant species such as golden perch and Murray cod.</w:t>
      </w:r>
      <w:r w:rsidR="00762590" w:rsidRPr="006B1102">
        <w:t xml:space="preserve"> Increased variability in the annual flow regime</w:t>
      </w:r>
      <w:r w:rsidR="00762590">
        <w:t xml:space="preserve"> that includes large, overbank (&gt;45,000 ML/d) flows</w:t>
      </w:r>
      <w:r w:rsidR="00762590" w:rsidRPr="006B1102">
        <w:t xml:space="preserve"> will lead to increased recruitment of a range of species with different life histories (e.g. flow-dependant), promoting divers</w:t>
      </w:r>
      <w:r w:rsidR="00762590">
        <w:t>e fish assemblages</w:t>
      </w:r>
      <w:r w:rsidR="00762590" w:rsidRPr="006B1102">
        <w:t xml:space="preserve"> and resilience in </w:t>
      </w:r>
      <w:r w:rsidR="00762590">
        <w:t xml:space="preserve">populations. </w:t>
      </w:r>
    </w:p>
    <w:p w14:paraId="65457538" w14:textId="4DC53481" w:rsidR="00FA168A" w:rsidRDefault="003C0EBB" w:rsidP="00622990">
      <w:pPr>
        <w:pStyle w:val="Heading3"/>
      </w:pPr>
      <w:r w:rsidRPr="003C0EBB">
        <w:t>Conclusion</w:t>
      </w:r>
    </w:p>
    <w:p w14:paraId="0EB78AB2" w14:textId="77B20F0D" w:rsidR="00FA168A" w:rsidRDefault="00762590" w:rsidP="00FA168A">
      <w:r>
        <w:t>I</w:t>
      </w:r>
      <w:r w:rsidRPr="00732CA7">
        <w:t>n the main channel of the LMR</w:t>
      </w:r>
      <w:r>
        <w:t xml:space="preserve"> during</w:t>
      </w:r>
      <w:r w:rsidRPr="00732CA7">
        <w:t xml:space="preserve"> 2015 and 2016, fish assemblages were characterised by high abundances of small-bodied species and a lack of recruitment of native, large-bodied flow-cued spawners. </w:t>
      </w:r>
      <w:r>
        <w:t>F</w:t>
      </w:r>
      <w:r w:rsidRPr="00732CA7">
        <w:t xml:space="preserve">ish </w:t>
      </w:r>
      <w:r w:rsidR="00FA168A" w:rsidRPr="00732CA7">
        <w:t xml:space="preserve">assemblage structure was </w:t>
      </w:r>
      <w:proofErr w:type="gramStart"/>
      <w:r w:rsidR="00FA168A" w:rsidRPr="00732CA7">
        <w:t>similar to</w:t>
      </w:r>
      <w:proofErr w:type="gramEnd"/>
      <w:r w:rsidR="00FA168A" w:rsidRPr="00732CA7">
        <w:t xml:space="preserve"> that during drought in 2007–2010 (Bice </w:t>
      </w:r>
      <w:r w:rsidR="00FA168A" w:rsidRPr="00AC182A">
        <w:rPr>
          <w:i/>
        </w:rPr>
        <w:t>et al.</w:t>
      </w:r>
      <w:r w:rsidR="00FA168A" w:rsidRPr="00732CA7">
        <w:t xml:space="preserve"> 2014) and characteristic of a low flow scenario. Following high flows in 2016-17, </w:t>
      </w:r>
      <w:r w:rsidR="00077056">
        <w:t>the fish assemblage</w:t>
      </w:r>
      <w:r w:rsidR="00FA168A" w:rsidRPr="00732CA7">
        <w:t xml:space="preserve"> shifted towards one characterised by low abundances of small-bodied species and </w:t>
      </w:r>
      <w:r w:rsidR="00B45318">
        <w:t xml:space="preserve">high abundance of </w:t>
      </w:r>
      <w:r w:rsidR="00FA168A" w:rsidRPr="00732CA7">
        <w:t xml:space="preserve">a large-bodied species, common carp. This assemblage was more typical of high flows, </w:t>
      </w:r>
      <w:proofErr w:type="gramStart"/>
      <w:r w:rsidR="00FA168A" w:rsidRPr="00732CA7">
        <w:t>similar to</w:t>
      </w:r>
      <w:proofErr w:type="gramEnd"/>
      <w:r w:rsidR="00FA168A" w:rsidRPr="00732CA7">
        <w:t xml:space="preserve"> 2010–2012 (Bice </w:t>
      </w:r>
      <w:r w:rsidR="00FA168A" w:rsidRPr="00AC182A">
        <w:rPr>
          <w:i/>
        </w:rPr>
        <w:t>et al.</w:t>
      </w:r>
      <w:r w:rsidR="00FA168A" w:rsidRPr="00732CA7">
        <w:t xml:space="preserve"> 2014). </w:t>
      </w:r>
      <w:r w:rsidR="006069E5">
        <w:t>Nevertheless</w:t>
      </w:r>
      <w:r w:rsidR="006069E5" w:rsidRPr="00732CA7">
        <w:t>, recruitment of native, large-bodied flow-cued spawners (e.g. golden perch) was negligible in 2016-17,</w:t>
      </w:r>
      <w:r w:rsidR="00D21A7D">
        <w:t xml:space="preserve"> likely due to water hypoxia associated with the blackwater event</w:t>
      </w:r>
      <w:r w:rsidR="006069E5" w:rsidRPr="00732CA7">
        <w:t xml:space="preserve">. </w:t>
      </w:r>
      <w:r w:rsidR="006069E5">
        <w:t xml:space="preserve">During </w:t>
      </w:r>
      <w:r w:rsidR="00FA168A">
        <w:t>2018</w:t>
      </w:r>
      <w:r w:rsidR="002616BD">
        <w:t>–2020</w:t>
      </w:r>
      <w:r w:rsidR="00FA168A">
        <w:t>, a return to low, in-channel flows (&lt;18,000 ML/d) resulted in the fish assemblage trending</w:t>
      </w:r>
      <w:r w:rsidR="00FA168A" w:rsidRPr="00732CA7">
        <w:t xml:space="preserve"> back towards that of 2015 and 2016, following</w:t>
      </w:r>
      <w:r w:rsidR="00FA168A">
        <w:t>:</w:t>
      </w:r>
      <w:r w:rsidR="00FA168A" w:rsidRPr="00732CA7">
        <w:t xml:space="preserve"> an increase </w:t>
      </w:r>
      <w:r w:rsidR="00FA168A">
        <w:t>in</w:t>
      </w:r>
      <w:r w:rsidR="00FA168A" w:rsidRPr="00732CA7">
        <w:t xml:space="preserve"> small-bodied </w:t>
      </w:r>
      <w:r w:rsidR="00FA168A">
        <w:t xml:space="preserve">fish </w:t>
      </w:r>
      <w:r w:rsidR="00FA168A" w:rsidRPr="00732CA7">
        <w:t>abundance</w:t>
      </w:r>
      <w:r w:rsidR="00FA168A">
        <w:t>;</w:t>
      </w:r>
      <w:r w:rsidR="00FA168A" w:rsidRPr="00732CA7">
        <w:t xml:space="preserve"> a lack of recruitment from native, flow-cued spawners</w:t>
      </w:r>
      <w:r w:rsidR="00FA168A">
        <w:t>; and a decrease in</w:t>
      </w:r>
      <w:r w:rsidR="00FA168A" w:rsidRPr="00732CA7">
        <w:t xml:space="preserve"> common carp </w:t>
      </w:r>
      <w:r w:rsidR="002616BD">
        <w:t xml:space="preserve">and goldfish </w:t>
      </w:r>
      <w:r w:rsidR="00FA168A" w:rsidRPr="00732CA7">
        <w:t>abundance.</w:t>
      </w:r>
    </w:p>
    <w:p w14:paraId="40ED3433" w14:textId="1D732454" w:rsidR="00914280" w:rsidRDefault="003C0EBB" w:rsidP="00FA168A">
      <w:pPr>
        <w:rPr>
          <w:rFonts w:eastAsiaTheme="majorEastAsia"/>
        </w:rPr>
      </w:pPr>
      <w:r w:rsidRPr="003C0EBB">
        <w:rPr>
          <w:rFonts w:eastAsiaTheme="majorEastAsia"/>
        </w:rPr>
        <w:t xml:space="preserve"> </w:t>
      </w:r>
      <w:r w:rsidR="00914280">
        <w:br w:type="page"/>
      </w:r>
    </w:p>
    <w:p w14:paraId="7369D1C2" w14:textId="0C46315B" w:rsidR="00D9103F" w:rsidRDefault="00D9103F" w:rsidP="00914280">
      <w:pPr>
        <w:pStyle w:val="Heading1"/>
      </w:pPr>
      <w:bookmarkStart w:id="328" w:name="_Ref50131606"/>
      <w:bookmarkStart w:id="329" w:name="_Toc69309246"/>
      <w:bookmarkStart w:id="330" w:name="_Ref432499914"/>
      <w:bookmarkStart w:id="331" w:name="_Toc441838737"/>
      <w:bookmarkStart w:id="332" w:name="_Toc3558342"/>
      <w:r>
        <w:t>Contingency Monitoring</w:t>
      </w:r>
      <w:bookmarkEnd w:id="328"/>
      <w:bookmarkEnd w:id="329"/>
    </w:p>
    <w:p w14:paraId="600A0E15" w14:textId="58F36310" w:rsidR="000B3D67" w:rsidRPr="000301C5" w:rsidRDefault="00040DA3" w:rsidP="000301C5">
      <w:r w:rsidRPr="000301C5">
        <w:t>During 2019-20, contingency monitoring supplemented existing m</w:t>
      </w:r>
      <w:r>
        <w:t xml:space="preserve">onitoring of lamprey migration </w:t>
      </w:r>
      <w:r w:rsidRPr="000301C5">
        <w:t xml:space="preserve">funded under the </w:t>
      </w:r>
      <w:r>
        <w:t>TLM Program.</w:t>
      </w:r>
      <w:r w:rsidRPr="000301C5">
        <w:t xml:space="preserve"> </w:t>
      </w:r>
      <w:r>
        <w:t xml:space="preserve">These additional resources </w:t>
      </w:r>
      <w:r w:rsidRPr="000301C5">
        <w:t>ensure</w:t>
      </w:r>
      <w:r>
        <w:t>d</w:t>
      </w:r>
      <w:r w:rsidRPr="000301C5">
        <w:t xml:space="preserve"> an appropriate level of monitoring to assess abundance and movement</w:t>
      </w:r>
      <w:r>
        <w:t xml:space="preserve"> of lamprey</w:t>
      </w:r>
      <w:r w:rsidRPr="000301C5">
        <w:t xml:space="preserve">, and the contribution of Commonwealth environmental water to </w:t>
      </w:r>
      <w:r>
        <w:t xml:space="preserve">end-of-system </w:t>
      </w:r>
      <w:r w:rsidRPr="000301C5">
        <w:t xml:space="preserve">connectivity and migration of lamprey. </w:t>
      </w:r>
      <w:r w:rsidR="00916182">
        <w:t xml:space="preserve">A summary of the key findings and evaluation are presented below. Detailed methods, results and discussion are reported in Bice </w:t>
      </w:r>
      <w:r w:rsidR="00916182" w:rsidRPr="00916182">
        <w:rPr>
          <w:i/>
        </w:rPr>
        <w:t>et al.</w:t>
      </w:r>
      <w:r w:rsidR="00916182">
        <w:t xml:space="preserve"> (2020)</w:t>
      </w:r>
      <w:r w:rsidR="006A6856">
        <w:t xml:space="preserve"> (</w:t>
      </w:r>
      <w:hyperlink r:id="rId116" w:history="1">
        <w:r w:rsidR="006A6856" w:rsidRPr="00286C8F">
          <w:rPr>
            <w:rStyle w:val="Hyperlink"/>
          </w:rPr>
          <w:t>https://www.environment.gov.au/water/cewo/publications/lamprey-migration-lower-river-murray-cew-delivery-2019</w:t>
        </w:r>
      </w:hyperlink>
      <w:r w:rsidR="006A6856">
        <w:t>)</w:t>
      </w:r>
      <w:r w:rsidR="00916182">
        <w:t>.</w:t>
      </w:r>
    </w:p>
    <w:p w14:paraId="38003E18" w14:textId="77777777" w:rsidR="00F42439" w:rsidRPr="00916182" w:rsidRDefault="00F42439" w:rsidP="00F42439">
      <w:pPr>
        <w:pStyle w:val="Heading2"/>
      </w:pPr>
      <w:bookmarkStart w:id="333" w:name="_Toc50385960"/>
      <w:bookmarkStart w:id="334" w:name="_Toc69309247"/>
      <w:r>
        <w:t>Lamprey migration in 2019-20: k</w:t>
      </w:r>
      <w:r w:rsidRPr="00916182">
        <w:t>ey findings and evaluation</w:t>
      </w:r>
      <w:bookmarkEnd w:id="333"/>
      <w:bookmarkEnd w:id="334"/>
    </w:p>
    <w:p w14:paraId="49435484" w14:textId="77777777" w:rsidR="00F42439" w:rsidRDefault="00F42439" w:rsidP="00F42439">
      <w:pPr>
        <w:pStyle w:val="Heading3"/>
      </w:pPr>
      <w:r w:rsidRPr="00841506">
        <w:t>Background</w:t>
      </w:r>
    </w:p>
    <w:p w14:paraId="6F4577AE" w14:textId="244C1FEC" w:rsidR="00762590" w:rsidRDefault="00F42439" w:rsidP="00762590">
      <w:pPr>
        <w:rPr>
          <w:rFonts w:cs="Arial"/>
        </w:rPr>
      </w:pPr>
      <w:r>
        <w:t>Pouched lamprey (</w:t>
      </w:r>
      <w:proofErr w:type="spellStart"/>
      <w:r>
        <w:rPr>
          <w:i/>
        </w:rPr>
        <w:t>Geotria</w:t>
      </w:r>
      <w:proofErr w:type="spellEnd"/>
      <w:r>
        <w:rPr>
          <w:i/>
        </w:rPr>
        <w:t xml:space="preserve"> australis</w:t>
      </w:r>
      <w:r>
        <w:t>) and short-headed lamprey (</w:t>
      </w:r>
      <w:proofErr w:type="spellStart"/>
      <w:r>
        <w:rPr>
          <w:i/>
        </w:rPr>
        <w:t>Mordacia</w:t>
      </w:r>
      <w:proofErr w:type="spellEnd"/>
      <w:r>
        <w:rPr>
          <w:i/>
        </w:rPr>
        <w:t xml:space="preserve"> </w:t>
      </w:r>
      <w:proofErr w:type="spellStart"/>
      <w:r>
        <w:rPr>
          <w:i/>
        </w:rPr>
        <w:t>mordax</w:t>
      </w:r>
      <w:proofErr w:type="spellEnd"/>
      <w:r>
        <w:t>) are the only anadromous fishes native to the MDB. Their lifecycles are characterised by a parasitic marine phase, upstream spawning migrations into freshwaters followed by adult mortality, freshwater larval and juvenile development, and subsequent downstream migration to the ocean.</w:t>
      </w:r>
      <w:r>
        <w:rPr>
          <w:rFonts w:cs="Arial"/>
        </w:rPr>
        <w:t xml:space="preserve"> Historically, lamprey </w:t>
      </w:r>
      <w:proofErr w:type="gramStart"/>
      <w:r>
        <w:rPr>
          <w:rFonts w:cs="Arial"/>
        </w:rPr>
        <w:t>were</w:t>
      </w:r>
      <w:proofErr w:type="gramEnd"/>
      <w:r>
        <w:rPr>
          <w:rFonts w:cs="Arial"/>
        </w:rPr>
        <w:t xml:space="preserve"> common in the Murray</w:t>
      </w:r>
      <w:r w:rsidR="00CC0BE2">
        <w:rPr>
          <w:rFonts w:cs="Arial"/>
        </w:rPr>
        <w:t xml:space="preserve"> River</w:t>
      </w:r>
      <w:r>
        <w:rPr>
          <w:rFonts w:cs="Arial"/>
        </w:rPr>
        <w:t xml:space="preserve"> with spawning migrations potentially extending up to 2,000 km upstream, but they are</w:t>
      </w:r>
      <w:r w:rsidRPr="00361AA9">
        <w:rPr>
          <w:rFonts w:cs="Arial"/>
        </w:rPr>
        <w:t xml:space="preserve"> now rarely encountered</w:t>
      </w:r>
      <w:r>
        <w:rPr>
          <w:rFonts w:cs="Arial"/>
        </w:rPr>
        <w:t xml:space="preserve">, suggesting barriers to migration and flow regulation have impacted these species. </w:t>
      </w:r>
      <w:r w:rsidR="00762590">
        <w:rPr>
          <w:rFonts w:cs="Arial"/>
        </w:rPr>
        <w:t>In the past decade</w:t>
      </w:r>
      <w:r w:rsidR="00762590" w:rsidRPr="009D6051">
        <w:rPr>
          <w:rFonts w:cs="Arial"/>
        </w:rPr>
        <w:t xml:space="preserve"> </w:t>
      </w:r>
      <w:r w:rsidR="00762590">
        <w:rPr>
          <w:rFonts w:cs="Arial"/>
        </w:rPr>
        <w:t>in the MDB, however, a focus on restoring connectivity (e.g. fishway construction) and ecologically relevant components of flow regimes, through the delivery of environmental water, have increased opportunities for migration that may aid recovery of lamprey populations. A key objective of the delivery of Commonwealth environmental water in the southern MDB is to improve end-of-system flow and connectivity through the Murray barrages and Murray Mouth to support fish movement and expanded distributions. The migratory life histories of pouched lamprey and short-headed lamprey make these species well suited to demonstrate the achievement of these outcomes.</w:t>
      </w:r>
    </w:p>
    <w:p w14:paraId="570D4CEA" w14:textId="1FD9757B" w:rsidR="00762590" w:rsidRDefault="00762590" w:rsidP="00762590">
      <w:pPr>
        <w:rPr>
          <w:rFonts w:cs="Arial"/>
        </w:rPr>
      </w:pPr>
      <w:r>
        <w:rPr>
          <w:rFonts w:cs="Arial"/>
        </w:rPr>
        <w:t xml:space="preserve">The objective of this project in 2019 was to assess the abundance of adult lamprey migrating through fishways at the Murray barrages and to use </w:t>
      </w:r>
      <w:r w:rsidRPr="00F64047">
        <w:rPr>
          <w:rFonts w:cs="Arial"/>
        </w:rPr>
        <w:t xml:space="preserve">passive integrated transponder </w:t>
      </w:r>
      <w:r>
        <w:rPr>
          <w:rFonts w:cs="Arial"/>
        </w:rPr>
        <w:t>(PIT) telemetry to investigate subsequent upstream spawning migrations in the MDB. Specifically, the project aimed to:</w:t>
      </w:r>
    </w:p>
    <w:p w14:paraId="69F9F30C" w14:textId="77777777" w:rsidR="00762590" w:rsidRPr="00762590" w:rsidRDefault="00762590" w:rsidP="00762590">
      <w:pPr>
        <w:pStyle w:val="ListParagraph"/>
        <w:numPr>
          <w:ilvl w:val="0"/>
          <w:numId w:val="32"/>
        </w:numPr>
        <w:rPr>
          <w:rFonts w:cs="Arial"/>
        </w:rPr>
      </w:pPr>
      <w:r w:rsidRPr="00762590">
        <w:rPr>
          <w:rFonts w:cs="Arial"/>
        </w:rPr>
        <w:t xml:space="preserve">Assess the abundance of migrating lamprey at multiple fishways on the Murray barrages in winter–spring 2019, and implant individuals with PIT </w:t>
      </w:r>
      <w:proofErr w:type="gramStart"/>
      <w:r w:rsidRPr="00762590">
        <w:rPr>
          <w:rFonts w:cs="Arial"/>
        </w:rPr>
        <w:t>tags;</w:t>
      </w:r>
      <w:proofErr w:type="gramEnd"/>
    </w:p>
    <w:p w14:paraId="5C7DFB8D" w14:textId="77777777" w:rsidR="00F42439" w:rsidRDefault="00F42439" w:rsidP="00DA1F1C">
      <w:pPr>
        <w:pStyle w:val="ListParagraph"/>
        <w:numPr>
          <w:ilvl w:val="0"/>
          <w:numId w:val="32"/>
        </w:numPr>
        <w:spacing w:before="0" w:after="200"/>
        <w:ind w:left="839" w:hanging="357"/>
        <w:rPr>
          <w:rFonts w:cs="Arial"/>
        </w:rPr>
      </w:pPr>
      <w:r>
        <w:rPr>
          <w:rFonts w:cs="Arial"/>
        </w:rPr>
        <w:t>Compare abundance from winter–spring 2019 with previous years of targeted lamprey sampling in 2015–</w:t>
      </w:r>
      <w:proofErr w:type="gramStart"/>
      <w:r>
        <w:rPr>
          <w:rFonts w:cs="Arial"/>
        </w:rPr>
        <w:t>2018;</w:t>
      </w:r>
      <w:proofErr w:type="gramEnd"/>
    </w:p>
    <w:p w14:paraId="682830A7" w14:textId="50F082F6" w:rsidR="00F42439" w:rsidRDefault="00F42439" w:rsidP="00DA1F1C">
      <w:pPr>
        <w:pStyle w:val="ListParagraph"/>
        <w:numPr>
          <w:ilvl w:val="0"/>
          <w:numId w:val="32"/>
        </w:numPr>
        <w:spacing w:before="0" w:after="200"/>
        <w:ind w:left="839" w:hanging="357"/>
        <w:rPr>
          <w:rFonts w:cs="Arial"/>
        </w:rPr>
      </w:pPr>
      <w:r>
        <w:rPr>
          <w:rFonts w:cs="Arial"/>
        </w:rPr>
        <w:t>Interrogate PIT telemetry data from fishways along the Murray</w:t>
      </w:r>
      <w:r w:rsidR="00CC0BE2">
        <w:rPr>
          <w:rFonts w:cs="Arial"/>
        </w:rPr>
        <w:t xml:space="preserve"> River</w:t>
      </w:r>
      <w:r>
        <w:rPr>
          <w:rFonts w:cs="Arial"/>
        </w:rPr>
        <w:t xml:space="preserve"> to describe the </w:t>
      </w:r>
      <w:proofErr w:type="spellStart"/>
      <w:r>
        <w:rPr>
          <w:rFonts w:cs="Arial"/>
        </w:rPr>
        <w:t>spatio</w:t>
      </w:r>
      <w:proofErr w:type="spellEnd"/>
      <w:r>
        <w:rPr>
          <w:rFonts w:cs="Arial"/>
        </w:rPr>
        <w:t xml:space="preserve">-temporal characteristics of migration, including extent, </w:t>
      </w:r>
      <w:proofErr w:type="gramStart"/>
      <w:r>
        <w:rPr>
          <w:rFonts w:cs="Arial"/>
        </w:rPr>
        <w:t>timing</w:t>
      </w:r>
      <w:proofErr w:type="gramEnd"/>
      <w:r>
        <w:rPr>
          <w:rFonts w:cs="Arial"/>
        </w:rPr>
        <w:t xml:space="preserve"> and rate, as well as interaction with fishways; and</w:t>
      </w:r>
    </w:p>
    <w:p w14:paraId="68DF6E1A" w14:textId="520D3C4D" w:rsidR="00F42439" w:rsidRPr="00A62761" w:rsidRDefault="00F42439" w:rsidP="00DA1F1C">
      <w:pPr>
        <w:pStyle w:val="ListParagraph"/>
        <w:numPr>
          <w:ilvl w:val="0"/>
          <w:numId w:val="32"/>
        </w:numPr>
        <w:spacing w:before="0" w:after="200"/>
        <w:ind w:left="839" w:hanging="357"/>
        <w:rPr>
          <w:rFonts w:cs="Arial"/>
        </w:rPr>
      </w:pPr>
      <w:r>
        <w:rPr>
          <w:rFonts w:cs="Arial"/>
        </w:rPr>
        <w:t xml:space="preserve">Evaluate the contribution of Commonwealth environmental water to connectivity, and the abundance and migration of lamprey at the Murray </w:t>
      </w:r>
      <w:r w:rsidR="00DB726B">
        <w:rPr>
          <w:rFonts w:cs="Arial"/>
        </w:rPr>
        <w:t>b</w:t>
      </w:r>
      <w:r>
        <w:rPr>
          <w:rFonts w:cs="Arial"/>
        </w:rPr>
        <w:t xml:space="preserve">arrages in 2019. </w:t>
      </w:r>
    </w:p>
    <w:p w14:paraId="5E8FC9D0" w14:textId="77777777" w:rsidR="00F42439" w:rsidRDefault="00F42439" w:rsidP="00F42439">
      <w:pPr>
        <w:pStyle w:val="Heading3"/>
      </w:pPr>
      <w:r>
        <w:t>Methods</w:t>
      </w:r>
    </w:p>
    <w:p w14:paraId="4D3E1FC1" w14:textId="43CCFB1A" w:rsidR="00F42439" w:rsidRDefault="00F42439" w:rsidP="00F42439">
      <w:pPr>
        <w:rPr>
          <w:rFonts w:cs="Arial"/>
          <w:bCs/>
        </w:rPr>
      </w:pPr>
      <w:r>
        <w:t>Targeted sampling for lamprey was conducted from 9 July</w:t>
      </w:r>
      <w:r w:rsidRPr="0039138D">
        <w:rPr>
          <w:rFonts w:cs="Arial"/>
        </w:rPr>
        <w:t>–4</w:t>
      </w:r>
      <w:r>
        <w:t xml:space="preserve"> October 2019 (</w:t>
      </w:r>
      <w:r w:rsidRPr="0039138D">
        <w:rPr>
          <w:i/>
        </w:rPr>
        <w:t xml:space="preserve">n </w:t>
      </w:r>
      <w:r>
        <w:t>= 11</w:t>
      </w:r>
      <w:r w:rsidRPr="0039138D">
        <w:rPr>
          <w:rFonts w:cs="Arial"/>
        </w:rPr>
        <w:t>–</w:t>
      </w:r>
      <w:r>
        <w:t xml:space="preserve">20 sampling events per fishway) at seven vertical-slot fishways on Goolwa, </w:t>
      </w:r>
      <w:proofErr w:type="spellStart"/>
      <w:r>
        <w:t>Mundoo</w:t>
      </w:r>
      <w:proofErr w:type="spellEnd"/>
      <w:r>
        <w:t xml:space="preserve">, Boundary Creek, Ewe Island and </w:t>
      </w:r>
      <w:proofErr w:type="spellStart"/>
      <w:r>
        <w:t>Tauwitchere</w:t>
      </w:r>
      <w:proofErr w:type="spellEnd"/>
      <w:r>
        <w:t xml:space="preserve"> barrages. Additional sampling occurred on 21</w:t>
      </w:r>
      <w:r w:rsidRPr="0039138D">
        <w:rPr>
          <w:rFonts w:cs="Arial"/>
        </w:rPr>
        <w:t>–</w:t>
      </w:r>
      <w:r>
        <w:t>25 October and 18</w:t>
      </w:r>
      <w:r w:rsidRPr="0039138D">
        <w:rPr>
          <w:rFonts w:cs="Arial"/>
        </w:rPr>
        <w:t>–</w:t>
      </w:r>
      <w:r>
        <w:t xml:space="preserve">22 November at five fishways on Goolwa and </w:t>
      </w:r>
      <w:proofErr w:type="spellStart"/>
      <w:r>
        <w:t>Tauwitchere</w:t>
      </w:r>
      <w:proofErr w:type="spellEnd"/>
      <w:r>
        <w:t xml:space="preserve"> barrages, and the Hunters creek causeway, as part of </w:t>
      </w:r>
      <w:r w:rsidR="00457C19">
        <w:t>TLM</w:t>
      </w:r>
      <w:r>
        <w:t xml:space="preserve"> Program condition/intervention monitoring, and data on lamprey captures from these events are also reported. During each sampling event, fishway traps were </w:t>
      </w:r>
      <w:r w:rsidR="00762590">
        <w:t xml:space="preserve">set overnight in fishway entrances, and deployed and retrieved using </w:t>
      </w:r>
      <w:r w:rsidR="007C2D10">
        <w:t>a truck fitted with an overhead crane</w:t>
      </w:r>
      <w:r w:rsidR="00762590">
        <w:t xml:space="preserve">. Upon retrieval, all trapped fish were removed and placed into aerated holding tanks. Lamprey were sorted from the catch for processing and all remaining fish released upstream. Prior to release, lamprey </w:t>
      </w:r>
      <w:proofErr w:type="gramStart"/>
      <w:r w:rsidR="00762590">
        <w:t>were</w:t>
      </w:r>
      <w:proofErr w:type="gramEnd"/>
      <w:r w:rsidR="00762590">
        <w:t xml:space="preserve"> anaesthetised and implanted with </w:t>
      </w:r>
      <w:r w:rsidR="00FB5EF1">
        <w:t xml:space="preserve">PIT tags (Texas Instruments RI-TRP-REHP half-duplex, 3.85 x 23 mm, 0.6 g). </w:t>
      </w:r>
      <w:r w:rsidR="00762590">
        <w:t xml:space="preserve">Upstream migration through fishways on main channel weirs at Locks 1–11 was subsequently monitored with </w:t>
      </w:r>
      <w:proofErr w:type="spellStart"/>
      <w:r w:rsidR="00762590" w:rsidRPr="007E6DF6">
        <w:rPr>
          <w:rFonts w:cs="Arial"/>
          <w:bCs/>
        </w:rPr>
        <w:t>KarlTek</w:t>
      </w:r>
      <w:proofErr w:type="spellEnd"/>
      <w:r w:rsidR="00762590" w:rsidRPr="007E6DF6">
        <w:rPr>
          <w:rFonts w:cs="Arial"/>
          <w:bCs/>
        </w:rPr>
        <w:t xml:space="preserve"> KLK5000 PIT reader systems (</w:t>
      </w:r>
      <w:proofErr w:type="spellStart"/>
      <w:r w:rsidR="00762590" w:rsidRPr="007E6DF6">
        <w:rPr>
          <w:rFonts w:cs="Arial"/>
          <w:bCs/>
        </w:rPr>
        <w:t>KarlTek</w:t>
      </w:r>
      <w:proofErr w:type="spellEnd"/>
      <w:r w:rsidR="00762590" w:rsidRPr="007E6DF6">
        <w:rPr>
          <w:rFonts w:cs="Arial"/>
          <w:bCs/>
        </w:rPr>
        <w:t xml:space="preserve"> Pty Ltd, Melbourne, Australia)</w:t>
      </w:r>
      <w:r w:rsidR="00762590">
        <w:rPr>
          <w:rFonts w:cs="Arial"/>
          <w:bCs/>
        </w:rPr>
        <w:t xml:space="preserve"> and detection </w:t>
      </w:r>
      <w:r w:rsidR="007C2D10">
        <w:rPr>
          <w:rFonts w:cs="Arial"/>
          <w:bCs/>
        </w:rPr>
        <w:t>data transmitted to the MDBA PIT telemetry database</w:t>
      </w:r>
      <w:r w:rsidR="00762590">
        <w:rPr>
          <w:rFonts w:cs="Arial"/>
          <w:bCs/>
        </w:rPr>
        <w:t>.</w:t>
      </w:r>
    </w:p>
    <w:p w14:paraId="63551E3B" w14:textId="77777777" w:rsidR="00F42439" w:rsidRDefault="00F42439" w:rsidP="00F42439">
      <w:pPr>
        <w:pStyle w:val="Heading3"/>
      </w:pPr>
      <w:r>
        <w:t>Results</w:t>
      </w:r>
    </w:p>
    <w:p w14:paraId="5375A595" w14:textId="67F5C6B8" w:rsidR="00F42439" w:rsidRDefault="00F42439" w:rsidP="00F42439">
      <w:pPr>
        <w:rPr>
          <w:rFonts w:cs="Arial"/>
        </w:rPr>
      </w:pPr>
      <w:r>
        <w:t>From May</w:t>
      </w:r>
      <w:r>
        <w:rPr>
          <w:rFonts w:cs="Arial"/>
        </w:rPr>
        <w:t>–</w:t>
      </w:r>
      <w:r>
        <w:t xml:space="preserve">December 2019, discharge </w:t>
      </w:r>
      <w:r w:rsidR="00043185">
        <w:t xml:space="preserve">to </w:t>
      </w:r>
      <w:r>
        <w:t xml:space="preserve">the </w:t>
      </w:r>
      <w:r w:rsidR="00043185">
        <w:t>LMR</w:t>
      </w:r>
      <w:r>
        <w:t xml:space="preserve"> at the South Australian border (QSA) was characterised by flows &lt;8,000 ML</w:t>
      </w:r>
      <w:r w:rsidR="00043185">
        <w:t>/</w:t>
      </w:r>
      <w:r>
        <w:t>d, punctuated by conspicuous in-channel flow pulses that peaked at ~1</w:t>
      </w:r>
      <w:r w:rsidR="00BB159D">
        <w:t>1</w:t>
      </w:r>
      <w:r>
        <w:t>,000 and ~15,</w:t>
      </w:r>
      <w:r w:rsidR="00BB159D">
        <w:t>6</w:t>
      </w:r>
      <w:r>
        <w:t>00 ML</w:t>
      </w:r>
      <w:r w:rsidR="00043185">
        <w:t>/</w:t>
      </w:r>
      <w:r>
        <w:t xml:space="preserve">d in August and October, respectively. These </w:t>
      </w:r>
      <w:r w:rsidR="00043185">
        <w:t xml:space="preserve">flow </w:t>
      </w:r>
      <w:r>
        <w:t>pulse</w:t>
      </w:r>
      <w:r w:rsidR="00043185">
        <w:t>s</w:t>
      </w:r>
      <w:r>
        <w:t xml:space="preserve"> comprised a substantial proportion (66</w:t>
      </w:r>
      <w:r>
        <w:rPr>
          <w:rFonts w:cs="Arial"/>
        </w:rPr>
        <w:t>–</w:t>
      </w:r>
      <w:r>
        <w:t xml:space="preserve">70%) of Commonwealth environmental water. </w:t>
      </w:r>
      <w:bookmarkStart w:id="335" w:name="_Hlk63970084"/>
      <w:r>
        <w:t>During sampling (9 July</w:t>
      </w:r>
      <w:r>
        <w:rPr>
          <w:rFonts w:cs="Arial"/>
        </w:rPr>
        <w:t>–</w:t>
      </w:r>
      <w:r>
        <w:t xml:space="preserve">4 October), discharge from the Murray </w:t>
      </w:r>
      <w:r w:rsidR="00457C19">
        <w:t>b</w:t>
      </w:r>
      <w:r>
        <w:t>arrages ranged from 0</w:t>
      </w:r>
      <w:r>
        <w:rPr>
          <w:rFonts w:cs="Arial"/>
        </w:rPr>
        <w:t>–19</w:t>
      </w:r>
      <w:r>
        <w:t>,166 ML</w:t>
      </w:r>
      <w:r w:rsidR="00325098">
        <w:t>/</w:t>
      </w:r>
      <w:r>
        <w:t>d (mean = 3,236</w:t>
      </w:r>
      <w:r w:rsidR="00043185">
        <w:t> </w:t>
      </w:r>
      <w:r>
        <w:t>ML</w:t>
      </w:r>
      <w:r w:rsidR="00043185">
        <w:t>/</w:t>
      </w:r>
      <w:r>
        <w:t xml:space="preserve">d). </w:t>
      </w:r>
      <w:r w:rsidR="00762590">
        <w:t xml:space="preserve">All water released </w:t>
      </w:r>
      <w:r>
        <w:t xml:space="preserve">from the </w:t>
      </w:r>
      <w:r w:rsidR="00457C19">
        <w:t>b</w:t>
      </w:r>
      <w:r>
        <w:t>arrages over this period, including water to operate fishways, was Commonwealth environmental water.</w:t>
      </w:r>
    </w:p>
    <w:bookmarkEnd w:id="335"/>
    <w:p w14:paraId="635E3166" w14:textId="78AA725A" w:rsidR="00F42439" w:rsidRDefault="00F42439" w:rsidP="00F42439">
      <w:r>
        <w:t xml:space="preserve">Totals of 45 pouched lamprey (43 PIT tagged) and 16 short-headed </w:t>
      </w:r>
      <w:proofErr w:type="gramStart"/>
      <w:r>
        <w:t>lamprey</w:t>
      </w:r>
      <w:proofErr w:type="gramEnd"/>
      <w:r>
        <w:t xml:space="preserve"> (15 PIT tagged) were captured from fishways during sampling at the Murray </w:t>
      </w:r>
      <w:r w:rsidR="00C17B4F">
        <w:t>b</w:t>
      </w:r>
      <w:r>
        <w:t>arrages in winter</w:t>
      </w:r>
      <w:r>
        <w:rPr>
          <w:rFonts w:cs="Arial"/>
        </w:rPr>
        <w:t>–</w:t>
      </w:r>
      <w:r>
        <w:t xml:space="preserve">spring 2019. Pouched lamprey </w:t>
      </w:r>
      <w:proofErr w:type="gramStart"/>
      <w:r>
        <w:t>were</w:t>
      </w:r>
      <w:proofErr w:type="gramEnd"/>
      <w:r>
        <w:t xml:space="preserve"> captured from early July to early September, but migration peaked in early August, while short-headed lamprey were captured from early July to mid-November, with peak migration in early October (</w:t>
      </w:r>
      <w:r>
        <w:fldChar w:fldCharType="begin"/>
      </w:r>
      <w:r>
        <w:instrText xml:space="preserve"> REF _Ref59564597 \h </w:instrText>
      </w:r>
      <w:r>
        <w:fldChar w:fldCharType="separate"/>
      </w:r>
      <w:r w:rsidR="006045CA">
        <w:t xml:space="preserve">Figure </w:t>
      </w:r>
      <w:r w:rsidR="006045CA">
        <w:rPr>
          <w:noProof/>
        </w:rPr>
        <w:t>65</w:t>
      </w:r>
      <w:r>
        <w:fldChar w:fldCharType="end"/>
      </w:r>
      <w:r w:rsidRPr="00EE266B">
        <w:t>a).</w:t>
      </w:r>
      <w:r>
        <w:t xml:space="preserve"> The abundance of pouched lamprey was </w:t>
      </w:r>
      <w:r w:rsidR="00040DA3">
        <w:t xml:space="preserve">moderate–high </w:t>
      </w:r>
      <w:r>
        <w:t>relative to preceding years with targeted lamprey monitoring (</w:t>
      </w:r>
      <w:r>
        <w:fldChar w:fldCharType="begin"/>
      </w:r>
      <w:r>
        <w:instrText xml:space="preserve"> REF _Ref59564597 \h </w:instrText>
      </w:r>
      <w:r>
        <w:fldChar w:fldCharType="separate"/>
      </w:r>
      <w:r w:rsidR="006045CA">
        <w:t xml:space="preserve">Figure </w:t>
      </w:r>
      <w:r w:rsidR="006045CA">
        <w:rPr>
          <w:noProof/>
        </w:rPr>
        <w:t>65</w:t>
      </w:r>
      <w:r>
        <w:fldChar w:fldCharType="end"/>
      </w:r>
      <w:r>
        <w:t xml:space="preserve">b), whilst short-headed lamprey was sampled in greatest abundance since 2006. Both species were captured in greatest numbers from fishways on Goolwa and </w:t>
      </w:r>
      <w:proofErr w:type="spellStart"/>
      <w:r>
        <w:t>Mundoo</w:t>
      </w:r>
      <w:proofErr w:type="spellEnd"/>
      <w:r>
        <w:t xml:space="preserve"> barrages. </w:t>
      </w:r>
    </w:p>
    <w:p w14:paraId="2F9A01F4" w14:textId="77777777" w:rsidR="00F42439" w:rsidRDefault="00F42439" w:rsidP="00F42439"/>
    <w:p w14:paraId="4249B6B2" w14:textId="0330B527" w:rsidR="00F42439" w:rsidRDefault="006E5129" w:rsidP="00F42439">
      <w:r w:rsidRPr="006E5129">
        <w:t xml:space="preserve"> </w:t>
      </w:r>
      <w:r w:rsidR="00EB20C0">
        <w:rPr>
          <w:noProof/>
        </w:rPr>
        <w:drawing>
          <wp:inline distT="0" distB="0" distL="0" distR="0" wp14:anchorId="140830BF" wp14:editId="01F554BE">
            <wp:extent cx="5731510" cy="6635750"/>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7" r:link="rId118" cstate="email">
                      <a:extLst>
                        <a:ext uri="{28A0092B-C50C-407E-A947-70E740481C1C}">
                          <a14:useLocalDpi xmlns:a14="http://schemas.microsoft.com/office/drawing/2010/main"/>
                        </a:ext>
                      </a:extLst>
                    </a:blip>
                    <a:srcRect t="5172"/>
                    <a:stretch/>
                  </pic:blipFill>
                  <pic:spPr bwMode="auto">
                    <a:xfrm>
                      <a:off x="0" y="0"/>
                      <a:ext cx="5731510" cy="6635750"/>
                    </a:xfrm>
                    <a:prstGeom prst="rect">
                      <a:avLst/>
                    </a:prstGeom>
                    <a:noFill/>
                    <a:ln>
                      <a:noFill/>
                    </a:ln>
                    <a:extLst>
                      <a:ext uri="{53640926-AAD7-44D8-BBD7-CCE9431645EC}">
                        <a14:shadowObscured xmlns:a14="http://schemas.microsoft.com/office/drawing/2010/main"/>
                      </a:ext>
                    </a:extLst>
                  </pic:spPr>
                </pic:pic>
              </a:graphicData>
            </a:graphic>
          </wp:inline>
        </w:drawing>
      </w:r>
    </w:p>
    <w:p w14:paraId="20F2A854" w14:textId="4E525B1D" w:rsidR="00F42439" w:rsidRDefault="00F42439" w:rsidP="00F42439">
      <w:pPr>
        <w:pStyle w:val="Caption"/>
      </w:pPr>
      <w:bookmarkStart w:id="336" w:name="_Ref59564597"/>
      <w:bookmarkStart w:id="337" w:name="_Toc69387729"/>
      <w:r>
        <w:t xml:space="preserve">Figure </w:t>
      </w:r>
      <w:r w:rsidR="006C38E9">
        <w:fldChar w:fldCharType="begin"/>
      </w:r>
      <w:r w:rsidR="006C38E9">
        <w:instrText xml:space="preserve"> SEQ Figure \* ARABIC </w:instrText>
      </w:r>
      <w:r w:rsidR="006C38E9">
        <w:fldChar w:fldCharType="separate"/>
      </w:r>
      <w:r w:rsidR="00940312">
        <w:rPr>
          <w:noProof/>
        </w:rPr>
        <w:t>65</w:t>
      </w:r>
      <w:r w:rsidR="006C38E9">
        <w:rPr>
          <w:noProof/>
        </w:rPr>
        <w:fldChar w:fldCharType="end"/>
      </w:r>
      <w:bookmarkEnd w:id="336"/>
      <w:r>
        <w:t xml:space="preserve">. </w:t>
      </w:r>
      <w:r w:rsidRPr="00EE266B">
        <w:rPr>
          <w:sz w:val="19"/>
          <w:szCs w:val="19"/>
        </w:rPr>
        <w:t>a) Numbers and date of capture for pouched and short-headed lamprey in 2019, presented with total daily barrage discharge (ML</w:t>
      </w:r>
      <w:r w:rsidR="00F67E6F">
        <w:rPr>
          <w:sz w:val="19"/>
          <w:szCs w:val="19"/>
        </w:rPr>
        <w:t>/</w:t>
      </w:r>
      <w:r w:rsidRPr="00EE266B">
        <w:rPr>
          <w:sz w:val="19"/>
          <w:szCs w:val="19"/>
        </w:rPr>
        <w:t>d). Horizontal back bar represents period of targeted lamprey sampling; and b) relative abundance (lamprey per hour per trap event) of pouched lamprey sampled from various fishways from 2015</w:t>
      </w:r>
      <w:r w:rsidRPr="00EE266B">
        <w:rPr>
          <w:rFonts w:cs="Arial"/>
          <w:sz w:val="19"/>
          <w:szCs w:val="19"/>
        </w:rPr>
        <w:t>–</w:t>
      </w:r>
      <w:r w:rsidRPr="00EE266B">
        <w:rPr>
          <w:sz w:val="19"/>
          <w:szCs w:val="19"/>
        </w:rPr>
        <w:t xml:space="preserve">2019 (total numbers sampled in each year are also presented). </w:t>
      </w:r>
      <w:r>
        <w:rPr>
          <w:sz w:val="19"/>
          <w:szCs w:val="19"/>
        </w:rPr>
        <w:t xml:space="preserve">GVS1 = Goolwa vertical-slot 1, GVS2 = Goolwa vertical-slot 2, MDVS = </w:t>
      </w:r>
      <w:proofErr w:type="spellStart"/>
      <w:r>
        <w:rPr>
          <w:sz w:val="19"/>
          <w:szCs w:val="19"/>
        </w:rPr>
        <w:t>Mundoo</w:t>
      </w:r>
      <w:proofErr w:type="spellEnd"/>
      <w:r>
        <w:rPr>
          <w:sz w:val="19"/>
          <w:szCs w:val="19"/>
        </w:rPr>
        <w:t xml:space="preserve"> dual vertical-slot, BCVS = Boundary Creek vertical-slot, EIDVS = Ewe Island dual vertical-slot, TVS = </w:t>
      </w:r>
      <w:proofErr w:type="spellStart"/>
      <w:r>
        <w:rPr>
          <w:sz w:val="19"/>
          <w:szCs w:val="19"/>
        </w:rPr>
        <w:t>Tauwitchere</w:t>
      </w:r>
      <w:proofErr w:type="spellEnd"/>
      <w:r>
        <w:rPr>
          <w:sz w:val="19"/>
          <w:szCs w:val="19"/>
        </w:rPr>
        <w:t xml:space="preserve"> vertical-slot, TSVS = </w:t>
      </w:r>
      <w:proofErr w:type="spellStart"/>
      <w:r>
        <w:rPr>
          <w:sz w:val="19"/>
          <w:szCs w:val="19"/>
        </w:rPr>
        <w:t>Tauwitchere</w:t>
      </w:r>
      <w:proofErr w:type="spellEnd"/>
      <w:r>
        <w:rPr>
          <w:sz w:val="19"/>
          <w:szCs w:val="19"/>
        </w:rPr>
        <w:t xml:space="preserve"> small vertical-slot. </w:t>
      </w:r>
      <w:r w:rsidRPr="00EE266B">
        <w:rPr>
          <w:sz w:val="19"/>
          <w:szCs w:val="19"/>
        </w:rPr>
        <w:t>Note MDVS was not sampled in 2015 or 2016, while GVS2, EIDVS and BCVS were not sampled in 2015.</w:t>
      </w:r>
      <w:bookmarkEnd w:id="337"/>
    </w:p>
    <w:p w14:paraId="183053F1" w14:textId="77777777" w:rsidR="00F42439" w:rsidRDefault="00F42439" w:rsidP="00F42439"/>
    <w:p w14:paraId="11110B96" w14:textId="743AF8AC" w:rsidR="00F42439" w:rsidRDefault="00040DA3" w:rsidP="00F42439">
      <w:pPr>
        <w:rPr>
          <w:b/>
        </w:rPr>
      </w:pPr>
      <w:r>
        <w:t>Of PIT tagged individuals, 44% of pouched lamprey were subsequently detected on one or more fishway PIT reader systems along the Murray River, with extent of migration ranging from 274</w:t>
      </w:r>
      <w:r>
        <w:rPr>
          <w:rFonts w:cs="Arial"/>
        </w:rPr>
        <w:t>–</w:t>
      </w:r>
      <w:r>
        <w:t>726 km (Locks 1</w:t>
      </w:r>
      <w:r>
        <w:rPr>
          <w:rFonts w:cs="Arial"/>
        </w:rPr>
        <w:t>–</w:t>
      </w:r>
      <w:r>
        <w:t>8). Migration rates varied among individuals and reaches but were at times rapid (up to 37 km/d). Just one PIT tagged short-headed lamprey (7%) was detected after release; nonetheless, this individual was detected passing eight main channel fishways, and was last detected exiting the Lock 10 fishway (825 km from the river mouth). This represents the first known tracking data on the upstream spawning migration of this species.</w:t>
      </w:r>
    </w:p>
    <w:p w14:paraId="55F63476" w14:textId="77777777" w:rsidR="00F42439" w:rsidRDefault="00F42439" w:rsidP="00F42439">
      <w:pPr>
        <w:pStyle w:val="Heading3"/>
      </w:pPr>
      <w:r>
        <w:t>Evaluation</w:t>
      </w:r>
    </w:p>
    <w:p w14:paraId="61476AD5" w14:textId="51C0D159" w:rsidR="00F42439" w:rsidRDefault="00F42439" w:rsidP="00F42439">
      <w:r>
        <w:t xml:space="preserve">The evaluation approach, including assessment criteria, is described in the evaluation section for </w:t>
      </w:r>
      <w:r w:rsidR="006920F5">
        <w:t>Hydraulic Regime</w:t>
      </w:r>
      <w:r>
        <w:t xml:space="preserve"> (Section</w:t>
      </w:r>
      <w:r w:rsidR="006920F5">
        <w:t xml:space="preserve"> </w:t>
      </w:r>
      <w:r w:rsidR="006920F5">
        <w:fldChar w:fldCharType="begin"/>
      </w:r>
      <w:r w:rsidR="006920F5">
        <w:instrText xml:space="preserve"> REF _Ref63942940 \r \h </w:instrText>
      </w:r>
      <w:r w:rsidR="006920F5">
        <w:fldChar w:fldCharType="separate"/>
      </w:r>
      <w:r w:rsidR="00241910">
        <w:t>2.1</w:t>
      </w:r>
      <w:r w:rsidR="006920F5">
        <w:fldChar w:fldCharType="end"/>
      </w:r>
      <w:r>
        <w:t>).</w:t>
      </w:r>
    </w:p>
    <w:p w14:paraId="0BDA50AA" w14:textId="5F432DDF" w:rsidR="00F42439" w:rsidRDefault="00F42439" w:rsidP="00F42439">
      <w:pPr>
        <w:pStyle w:val="Caption"/>
      </w:pPr>
      <w:bookmarkStart w:id="338" w:name="_Toc69387752"/>
      <w:r>
        <w:t xml:space="preserve">Table </w:t>
      </w:r>
      <w:r w:rsidR="006C38E9">
        <w:fldChar w:fldCharType="begin"/>
      </w:r>
      <w:r w:rsidR="006C38E9">
        <w:instrText xml:space="preserve"> SEQ Table \* ARABIC </w:instrText>
      </w:r>
      <w:r w:rsidR="006C38E9">
        <w:fldChar w:fldCharType="separate"/>
      </w:r>
      <w:r w:rsidR="00002263">
        <w:rPr>
          <w:noProof/>
        </w:rPr>
        <w:t>23</w:t>
      </w:r>
      <w:r w:rsidR="006C38E9">
        <w:rPr>
          <w:noProof/>
        </w:rPr>
        <w:fldChar w:fldCharType="end"/>
      </w:r>
      <w:r>
        <w:t>. Lamprey Migration evaluation question and answer. CEW = Commonwealth environmental water, eWater = environmental water.</w:t>
      </w:r>
      <w:bookmarkEnd w:id="33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89"/>
        <w:gridCol w:w="6327"/>
      </w:tblGrid>
      <w:tr w:rsidR="00F42439" w:rsidRPr="0041543F" w14:paraId="0BCBD93F" w14:textId="77777777" w:rsidTr="004E1D31">
        <w:trPr>
          <w:cantSplit/>
          <w:trHeight w:val="20"/>
          <w:tblHeader/>
        </w:trPr>
        <w:tc>
          <w:tcPr>
            <w:tcW w:w="1491" w:type="pct"/>
            <w:tcBorders>
              <w:top w:val="single" w:sz="4" w:space="0" w:color="auto"/>
              <w:left w:val="single" w:sz="4" w:space="0" w:color="auto"/>
              <w:bottom w:val="single" w:sz="4" w:space="0" w:color="auto"/>
              <w:right w:val="single" w:sz="4" w:space="0" w:color="auto"/>
            </w:tcBorders>
          </w:tcPr>
          <w:p w14:paraId="515530B8" w14:textId="77777777" w:rsidR="00F42439" w:rsidRPr="0041543F" w:rsidRDefault="00F42439" w:rsidP="004E1D31">
            <w:pPr>
              <w:pStyle w:val="TableHeading"/>
              <w:jc w:val="center"/>
              <w:rPr>
                <w:sz w:val="19"/>
                <w:szCs w:val="19"/>
              </w:rPr>
            </w:pPr>
            <w:r w:rsidRPr="0041543F">
              <w:rPr>
                <w:sz w:val="19"/>
                <w:szCs w:val="19"/>
              </w:rPr>
              <w:t xml:space="preserve">CEWO evaluation questions </w:t>
            </w:r>
          </w:p>
        </w:tc>
        <w:tc>
          <w:tcPr>
            <w:tcW w:w="3509" w:type="pct"/>
            <w:tcBorders>
              <w:top w:val="single" w:sz="4" w:space="0" w:color="auto"/>
              <w:left w:val="single" w:sz="4" w:space="0" w:color="auto"/>
              <w:bottom w:val="single" w:sz="4" w:space="0" w:color="auto"/>
              <w:right w:val="single" w:sz="4" w:space="0" w:color="auto"/>
            </w:tcBorders>
          </w:tcPr>
          <w:p w14:paraId="4C3AEE11" w14:textId="77777777" w:rsidR="00F42439" w:rsidRPr="0041543F" w:rsidRDefault="00F42439" w:rsidP="004E1D31">
            <w:pPr>
              <w:pStyle w:val="TableHeading"/>
              <w:jc w:val="center"/>
              <w:rPr>
                <w:sz w:val="19"/>
                <w:szCs w:val="19"/>
              </w:rPr>
            </w:pPr>
            <w:r w:rsidRPr="0041543F">
              <w:rPr>
                <w:sz w:val="19"/>
                <w:szCs w:val="19"/>
              </w:rPr>
              <w:t xml:space="preserve">Outcomes </w:t>
            </w:r>
            <w:r w:rsidRPr="0085624C">
              <w:rPr>
                <w:sz w:val="19"/>
                <w:szCs w:val="19"/>
              </w:rPr>
              <w:t xml:space="preserve">of </w:t>
            </w:r>
            <w:r w:rsidRPr="001408FD">
              <w:rPr>
                <w:sz w:val="19"/>
                <w:szCs w:val="19"/>
              </w:rPr>
              <w:t>flow</w:t>
            </w:r>
            <w:r w:rsidRPr="0085624C">
              <w:rPr>
                <w:sz w:val="19"/>
                <w:szCs w:val="19"/>
              </w:rPr>
              <w:t xml:space="preserve"> delivery</w:t>
            </w:r>
            <w:r>
              <w:rPr>
                <w:sz w:val="19"/>
                <w:szCs w:val="19"/>
              </w:rPr>
              <w:t xml:space="preserve"> 2019-20</w:t>
            </w:r>
          </w:p>
        </w:tc>
      </w:tr>
      <w:tr w:rsidR="00F42439" w:rsidRPr="007770BB" w14:paraId="6250102D" w14:textId="77777777" w:rsidTr="004E1D31">
        <w:trPr>
          <w:cantSplit/>
          <w:trHeight w:val="20"/>
        </w:trPr>
        <w:tc>
          <w:tcPr>
            <w:tcW w:w="1491" w:type="pct"/>
            <w:tcBorders>
              <w:left w:val="single" w:sz="4" w:space="0" w:color="auto"/>
              <w:bottom w:val="single" w:sz="4" w:space="0" w:color="auto"/>
              <w:right w:val="single" w:sz="4" w:space="0" w:color="auto"/>
            </w:tcBorders>
          </w:tcPr>
          <w:p w14:paraId="2659FBE9" w14:textId="479D1673" w:rsidR="00F42439" w:rsidRPr="00721D5A" w:rsidRDefault="00F42439" w:rsidP="004E1D31">
            <w:pPr>
              <w:pStyle w:val="TableHeading"/>
              <w:jc w:val="left"/>
              <w:rPr>
                <w:b w:val="0"/>
                <w:bCs/>
                <w:sz w:val="19"/>
                <w:szCs w:val="19"/>
              </w:rPr>
            </w:pPr>
            <w:r w:rsidRPr="00721D5A">
              <w:rPr>
                <w:b w:val="0"/>
                <w:bCs/>
                <w:sz w:val="19"/>
                <w:szCs w:val="19"/>
              </w:rPr>
              <w:t xml:space="preserve">What did Commonwealth environmental water contribute to connectivity and the migration of lamprey at the Murray </w:t>
            </w:r>
            <w:r w:rsidR="002931E8">
              <w:rPr>
                <w:b w:val="0"/>
                <w:bCs/>
                <w:sz w:val="19"/>
                <w:szCs w:val="19"/>
              </w:rPr>
              <w:t>b</w:t>
            </w:r>
            <w:r w:rsidRPr="00721D5A">
              <w:rPr>
                <w:b w:val="0"/>
                <w:bCs/>
                <w:sz w:val="19"/>
                <w:szCs w:val="19"/>
              </w:rPr>
              <w:t>arrages in winter–spring 2019?</w:t>
            </w:r>
          </w:p>
        </w:tc>
        <w:tc>
          <w:tcPr>
            <w:tcW w:w="3509" w:type="pct"/>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521F20F" w14:textId="1954F5A3" w:rsidR="00F42439" w:rsidRDefault="00F42439" w:rsidP="004E1D31">
            <w:pPr>
              <w:rPr>
                <w:b/>
                <w:sz w:val="19"/>
                <w:szCs w:val="19"/>
              </w:rPr>
            </w:pPr>
            <w:bookmarkStart w:id="339" w:name="_Hlk63967115"/>
            <w:r>
              <w:t>In winter</w:t>
            </w:r>
            <w:r>
              <w:rPr>
                <w:rFonts w:cs="Arial"/>
              </w:rPr>
              <w:t>–</w:t>
            </w:r>
            <w:r>
              <w:t xml:space="preserve">spring 2019, releases of CEW from the Murray </w:t>
            </w:r>
            <w:r w:rsidR="002931E8">
              <w:t>b</w:t>
            </w:r>
            <w:r>
              <w:t>arrages represented 100% of discharge, including that for fishway operation. This facilitated connectivity between freshwater, estuarine and marine environments, and contributed substantially to beneficial migration outcomes for lamprey. This included moderate–high abundances of pouched and short-headed lamprey</w:t>
            </w:r>
            <w:r w:rsidR="00FC2A22">
              <w:t>, relative to previous years,</w:t>
            </w:r>
            <w:r>
              <w:t xml:space="preserve"> passing the Murray </w:t>
            </w:r>
            <w:r w:rsidR="002931E8">
              <w:t>b</w:t>
            </w:r>
            <w:r>
              <w:t>arrages</w:t>
            </w:r>
            <w:r w:rsidR="00FC2A22">
              <w:t xml:space="preserve"> on</w:t>
            </w:r>
            <w:r>
              <w:t xml:space="preserve"> migrations that continued for 100’s of kilometres upstream.</w:t>
            </w:r>
            <w:bookmarkEnd w:id="339"/>
          </w:p>
        </w:tc>
      </w:tr>
    </w:tbl>
    <w:p w14:paraId="34896950" w14:textId="77777777" w:rsidR="00F42439" w:rsidRPr="006B04FA" w:rsidRDefault="00F42439" w:rsidP="00F42439">
      <w:pPr>
        <w:pStyle w:val="NoSpacing"/>
        <w:rPr>
          <w:rFonts w:ascii="Century Gothic" w:hAnsi="Century Gothic"/>
          <w:sz w:val="4"/>
          <w:szCs w:val="4"/>
        </w:rPr>
      </w:pPr>
    </w:p>
    <w:p w14:paraId="1699E92C" w14:textId="77777777" w:rsidR="00F42439" w:rsidRPr="00BF0490" w:rsidRDefault="00F42439" w:rsidP="00F42439">
      <w:pPr>
        <w:spacing w:before="0" w:after="0" w:line="240" w:lineRule="auto"/>
        <w:jc w:val="left"/>
        <w:rPr>
          <w:color w:val="auto"/>
          <w:kern w:val="0"/>
          <w:sz w:val="19"/>
          <w:szCs w:val="19"/>
          <w:lang w:val="en-US" w:bidi="en-US"/>
        </w:rPr>
      </w:pPr>
      <w:r w:rsidRPr="00BF0490">
        <w:rPr>
          <w:color w:val="auto"/>
          <w:kern w:val="0"/>
          <w:sz w:val="19"/>
          <w:szCs w:val="19"/>
          <w:lang w:val="en-US" w:bidi="en-US"/>
        </w:rPr>
        <w:t>Contribution (to what extent CEW contributed towards the outcome, with the significance of the outcome considered):</w:t>
      </w:r>
    </w:p>
    <w:tbl>
      <w:tblPr>
        <w:tblW w:w="7278" w:type="dxa"/>
        <w:tblLook w:val="04A0" w:firstRow="1" w:lastRow="0" w:firstColumn="1" w:lastColumn="0" w:noHBand="0" w:noVBand="1"/>
      </w:tblPr>
      <w:tblGrid>
        <w:gridCol w:w="222"/>
        <w:gridCol w:w="1066"/>
        <w:gridCol w:w="222"/>
        <w:gridCol w:w="1069"/>
        <w:gridCol w:w="222"/>
        <w:gridCol w:w="1704"/>
        <w:gridCol w:w="222"/>
        <w:gridCol w:w="727"/>
        <w:gridCol w:w="222"/>
        <w:gridCol w:w="1144"/>
        <w:gridCol w:w="222"/>
        <w:gridCol w:w="1210"/>
      </w:tblGrid>
      <w:tr w:rsidR="00F42439" w:rsidRPr="00BF0490" w14:paraId="49B04937" w14:textId="77777777" w:rsidTr="004E1D31">
        <w:tc>
          <w:tcPr>
            <w:tcW w:w="222" w:type="dxa"/>
            <w:shd w:val="clear" w:color="auto" w:fill="D9D9D9" w:themeFill="background1" w:themeFillShade="D9"/>
          </w:tcPr>
          <w:p w14:paraId="2992FEEC" w14:textId="77777777" w:rsidR="00F42439" w:rsidRPr="00BF0490" w:rsidRDefault="00F42439" w:rsidP="004E1D31">
            <w:pPr>
              <w:contextualSpacing/>
              <w:rPr>
                <w:sz w:val="19"/>
                <w:szCs w:val="19"/>
              </w:rPr>
            </w:pPr>
          </w:p>
        </w:tc>
        <w:tc>
          <w:tcPr>
            <w:tcW w:w="1066" w:type="dxa"/>
            <w:vAlign w:val="center"/>
          </w:tcPr>
          <w:p w14:paraId="074A7795" w14:textId="77777777" w:rsidR="00F42439" w:rsidRPr="00BF0490" w:rsidRDefault="00F42439" w:rsidP="004E1D31">
            <w:pPr>
              <w:contextualSpacing/>
              <w:rPr>
                <w:sz w:val="19"/>
                <w:szCs w:val="19"/>
              </w:rPr>
            </w:pPr>
            <w:r w:rsidRPr="00BF0490">
              <w:rPr>
                <w:sz w:val="19"/>
                <w:szCs w:val="19"/>
              </w:rPr>
              <w:t>Unknown</w:t>
            </w:r>
          </w:p>
        </w:tc>
        <w:tc>
          <w:tcPr>
            <w:tcW w:w="222" w:type="dxa"/>
            <w:shd w:val="clear" w:color="auto" w:fill="FF0000"/>
            <w:vAlign w:val="center"/>
          </w:tcPr>
          <w:p w14:paraId="4EDA4C6B" w14:textId="77777777" w:rsidR="00F42439" w:rsidRPr="00BF0490" w:rsidRDefault="00F42439" w:rsidP="004E1D31">
            <w:pPr>
              <w:contextualSpacing/>
              <w:rPr>
                <w:sz w:val="19"/>
                <w:szCs w:val="19"/>
              </w:rPr>
            </w:pPr>
          </w:p>
        </w:tc>
        <w:tc>
          <w:tcPr>
            <w:tcW w:w="1069" w:type="dxa"/>
            <w:vAlign w:val="center"/>
          </w:tcPr>
          <w:p w14:paraId="27B2950A" w14:textId="77777777" w:rsidR="00F42439" w:rsidRPr="00BF0490" w:rsidRDefault="00F42439" w:rsidP="004E1D31">
            <w:pPr>
              <w:contextualSpacing/>
              <w:rPr>
                <w:sz w:val="19"/>
                <w:szCs w:val="19"/>
              </w:rPr>
            </w:pPr>
            <w:r w:rsidRPr="00BF0490">
              <w:rPr>
                <w:sz w:val="19"/>
                <w:szCs w:val="19"/>
              </w:rPr>
              <w:t>Negative</w:t>
            </w:r>
          </w:p>
        </w:tc>
        <w:tc>
          <w:tcPr>
            <w:tcW w:w="222" w:type="dxa"/>
            <w:shd w:val="clear" w:color="auto" w:fill="E2EFD9" w:themeFill="accent6" w:themeFillTint="33"/>
            <w:vAlign w:val="center"/>
          </w:tcPr>
          <w:p w14:paraId="090C7741" w14:textId="77777777" w:rsidR="00F42439" w:rsidRPr="00BF0490" w:rsidRDefault="00F42439" w:rsidP="004E1D31">
            <w:pPr>
              <w:contextualSpacing/>
              <w:rPr>
                <w:sz w:val="19"/>
                <w:szCs w:val="19"/>
              </w:rPr>
            </w:pPr>
          </w:p>
        </w:tc>
        <w:tc>
          <w:tcPr>
            <w:tcW w:w="1704" w:type="dxa"/>
            <w:vAlign w:val="center"/>
          </w:tcPr>
          <w:p w14:paraId="3E47AB31" w14:textId="77777777" w:rsidR="00F42439" w:rsidRPr="00BF0490" w:rsidRDefault="00F42439" w:rsidP="004E1D31">
            <w:pPr>
              <w:contextualSpacing/>
              <w:rPr>
                <w:sz w:val="19"/>
                <w:szCs w:val="19"/>
              </w:rPr>
            </w:pPr>
            <w:r w:rsidRPr="00BF0490">
              <w:rPr>
                <w:sz w:val="19"/>
                <w:szCs w:val="19"/>
              </w:rPr>
              <w:t>None/negligible</w:t>
            </w:r>
          </w:p>
        </w:tc>
        <w:tc>
          <w:tcPr>
            <w:tcW w:w="222" w:type="dxa"/>
            <w:shd w:val="clear" w:color="auto" w:fill="A8D08D" w:themeFill="accent6" w:themeFillTint="99"/>
            <w:vAlign w:val="center"/>
          </w:tcPr>
          <w:p w14:paraId="5E7F4194" w14:textId="77777777" w:rsidR="00F42439" w:rsidRPr="00BF0490" w:rsidRDefault="00F42439" w:rsidP="004E1D31">
            <w:pPr>
              <w:contextualSpacing/>
              <w:rPr>
                <w:sz w:val="19"/>
                <w:szCs w:val="19"/>
              </w:rPr>
            </w:pPr>
          </w:p>
        </w:tc>
        <w:tc>
          <w:tcPr>
            <w:tcW w:w="727" w:type="dxa"/>
            <w:vAlign w:val="center"/>
          </w:tcPr>
          <w:p w14:paraId="5303AF3E" w14:textId="77777777" w:rsidR="00F42439" w:rsidRPr="00BF0490" w:rsidRDefault="00F42439" w:rsidP="004E1D31">
            <w:pPr>
              <w:contextualSpacing/>
              <w:rPr>
                <w:sz w:val="19"/>
                <w:szCs w:val="19"/>
              </w:rPr>
            </w:pPr>
            <w:r w:rsidRPr="00BF0490">
              <w:rPr>
                <w:sz w:val="19"/>
                <w:szCs w:val="19"/>
              </w:rPr>
              <w:t>Minor</w:t>
            </w:r>
          </w:p>
        </w:tc>
        <w:tc>
          <w:tcPr>
            <w:tcW w:w="222" w:type="dxa"/>
            <w:shd w:val="clear" w:color="auto" w:fill="70AD47" w:themeFill="accent6"/>
            <w:vAlign w:val="center"/>
          </w:tcPr>
          <w:p w14:paraId="4F66CD9E" w14:textId="77777777" w:rsidR="00F42439" w:rsidRPr="00BF0490" w:rsidRDefault="00F42439" w:rsidP="004E1D31">
            <w:pPr>
              <w:contextualSpacing/>
              <w:rPr>
                <w:sz w:val="19"/>
                <w:szCs w:val="19"/>
              </w:rPr>
            </w:pPr>
          </w:p>
        </w:tc>
        <w:tc>
          <w:tcPr>
            <w:tcW w:w="1144" w:type="dxa"/>
            <w:vAlign w:val="center"/>
          </w:tcPr>
          <w:p w14:paraId="35EAF60C" w14:textId="77777777" w:rsidR="00F42439" w:rsidRPr="00BF0490" w:rsidRDefault="00F42439" w:rsidP="004E1D31">
            <w:pPr>
              <w:contextualSpacing/>
              <w:rPr>
                <w:sz w:val="19"/>
                <w:szCs w:val="19"/>
              </w:rPr>
            </w:pPr>
            <w:r w:rsidRPr="00BF0490">
              <w:rPr>
                <w:sz w:val="19"/>
                <w:szCs w:val="19"/>
              </w:rPr>
              <w:t>Moderate</w:t>
            </w:r>
          </w:p>
        </w:tc>
        <w:tc>
          <w:tcPr>
            <w:tcW w:w="222" w:type="dxa"/>
            <w:shd w:val="clear" w:color="auto" w:fill="5B9BD5" w:themeFill="accent1"/>
          </w:tcPr>
          <w:p w14:paraId="11EE076C" w14:textId="77777777" w:rsidR="00F42439" w:rsidRPr="00BF0490" w:rsidRDefault="00F42439" w:rsidP="004E1D31">
            <w:pPr>
              <w:contextualSpacing/>
              <w:rPr>
                <w:sz w:val="19"/>
                <w:szCs w:val="19"/>
              </w:rPr>
            </w:pPr>
          </w:p>
        </w:tc>
        <w:tc>
          <w:tcPr>
            <w:tcW w:w="236" w:type="dxa"/>
            <w:vAlign w:val="center"/>
          </w:tcPr>
          <w:p w14:paraId="739F84A3" w14:textId="77777777" w:rsidR="00F42439" w:rsidRPr="00BF0490" w:rsidRDefault="00F42439" w:rsidP="004E1D31">
            <w:pPr>
              <w:contextualSpacing/>
              <w:jc w:val="left"/>
              <w:rPr>
                <w:sz w:val="19"/>
                <w:szCs w:val="19"/>
              </w:rPr>
            </w:pPr>
            <w:r w:rsidRPr="00BF0490">
              <w:rPr>
                <w:sz w:val="19"/>
                <w:szCs w:val="19"/>
              </w:rPr>
              <w:t>Substantial</w:t>
            </w:r>
          </w:p>
        </w:tc>
      </w:tr>
    </w:tbl>
    <w:p w14:paraId="0AF5A152" w14:textId="77777777" w:rsidR="00F42439" w:rsidRPr="00B86051" w:rsidRDefault="00F42439" w:rsidP="00F42439"/>
    <w:p w14:paraId="38A28932" w14:textId="77777777" w:rsidR="00F42439" w:rsidRDefault="00F42439" w:rsidP="00F42439">
      <w:pPr>
        <w:pStyle w:val="Heading3"/>
      </w:pPr>
      <w:r>
        <w:t>Discussion and management implications</w:t>
      </w:r>
    </w:p>
    <w:p w14:paraId="4CD6B5ED" w14:textId="77777777" w:rsidR="00762590" w:rsidRDefault="00762590" w:rsidP="00762590">
      <w:pPr>
        <w:rPr>
          <w:rFonts w:cs="Arial"/>
        </w:rPr>
      </w:pPr>
      <w:r w:rsidRPr="00CF27EA">
        <w:rPr>
          <w:rFonts w:cs="Arial"/>
        </w:rPr>
        <w:t xml:space="preserve">Data collected in this and allied monitoring projects </w:t>
      </w:r>
      <w:r>
        <w:rPr>
          <w:rFonts w:cs="Arial"/>
        </w:rPr>
        <w:t xml:space="preserve">have improved knowledge on the migration of lamprey in the MDB and </w:t>
      </w:r>
      <w:r w:rsidRPr="00CF27EA">
        <w:rPr>
          <w:rFonts w:cs="Arial"/>
        </w:rPr>
        <w:t xml:space="preserve">may be used to inform </w:t>
      </w:r>
      <w:r>
        <w:rPr>
          <w:rFonts w:cs="Arial"/>
        </w:rPr>
        <w:t>future Commonwealth environmental water delivery</w:t>
      </w:r>
      <w:r w:rsidRPr="00CF27EA">
        <w:rPr>
          <w:rFonts w:cs="Arial"/>
        </w:rPr>
        <w:t xml:space="preserve"> and </w:t>
      </w:r>
      <w:r>
        <w:rPr>
          <w:rFonts w:cs="Arial"/>
        </w:rPr>
        <w:t>infra</w:t>
      </w:r>
      <w:r w:rsidRPr="00CF27EA">
        <w:rPr>
          <w:rFonts w:cs="Arial"/>
        </w:rPr>
        <w:t xml:space="preserve">structure management. </w:t>
      </w:r>
      <w:r>
        <w:rPr>
          <w:rFonts w:cs="Arial"/>
        </w:rPr>
        <w:t>This includes the following:</w:t>
      </w:r>
    </w:p>
    <w:p w14:paraId="31E457B2" w14:textId="77777777" w:rsidR="00FB5EF1" w:rsidRDefault="00FB5EF1" w:rsidP="00FB5EF1">
      <w:pPr>
        <w:pStyle w:val="ListParagraph"/>
        <w:numPr>
          <w:ilvl w:val="0"/>
          <w:numId w:val="30"/>
        </w:numPr>
        <w:spacing w:before="0" w:after="200"/>
        <w:ind w:left="714" w:hanging="357"/>
        <w:rPr>
          <w:rFonts w:cs="Arial"/>
        </w:rPr>
      </w:pPr>
      <w:r>
        <w:rPr>
          <w:rFonts w:cs="Arial"/>
        </w:rPr>
        <w:t>In a contemporary context, lamprey migrations in the Murray River still occur over vast distances (100s to &gt;1,000 km), supported by fishways and Commonwealth environmental water delivery.</w:t>
      </w:r>
    </w:p>
    <w:p w14:paraId="20052600" w14:textId="77777777" w:rsidR="00FB5EF1" w:rsidRDefault="00FB5EF1" w:rsidP="00FB5EF1">
      <w:pPr>
        <w:pStyle w:val="ListParagraph"/>
        <w:numPr>
          <w:ilvl w:val="0"/>
          <w:numId w:val="30"/>
        </w:numPr>
        <w:spacing w:before="0" w:after="200"/>
        <w:ind w:left="714" w:hanging="357"/>
        <w:rPr>
          <w:rFonts w:cs="Arial"/>
        </w:rPr>
      </w:pPr>
      <w:r>
        <w:rPr>
          <w:rFonts w:cs="Arial"/>
        </w:rPr>
        <w:t>At the Murray barrages, timing of pouched lamprey migration extends from June–September (peak July–August) and short-headed lamprey from July–November (peak September–October). These are key periods for flow management to promote lamprey migration.</w:t>
      </w:r>
    </w:p>
    <w:p w14:paraId="008F9BC8" w14:textId="29C9EDE9" w:rsidR="00FB5EF1" w:rsidRPr="00FE2DB6" w:rsidRDefault="00FB5EF1" w:rsidP="00FB5EF1">
      <w:pPr>
        <w:pStyle w:val="ListParagraph"/>
        <w:numPr>
          <w:ilvl w:val="0"/>
          <w:numId w:val="30"/>
        </w:numPr>
        <w:spacing w:before="0" w:after="200"/>
        <w:ind w:left="714" w:hanging="357"/>
        <w:rPr>
          <w:rFonts w:cs="Arial"/>
        </w:rPr>
      </w:pPr>
      <w:r>
        <w:rPr>
          <w:rFonts w:cs="Arial"/>
        </w:rPr>
        <w:t>Gr</w:t>
      </w:r>
      <w:bookmarkStart w:id="340" w:name="_Hlk63971938"/>
      <w:r>
        <w:rPr>
          <w:rFonts w:cs="Arial"/>
        </w:rPr>
        <w:t xml:space="preserve">eatest abundances of migrating pouched lamprey have been sampled during years of moderate </w:t>
      </w:r>
      <w:r>
        <w:t xml:space="preserve">winter–spring </w:t>
      </w:r>
      <w:r>
        <w:rPr>
          <w:rFonts w:cs="Arial"/>
        </w:rPr>
        <w:t>barrage discharge (mean daily discharge ≥2,500 </w:t>
      </w:r>
      <w:r>
        <w:t xml:space="preserve">ML/d) with short periods of peak discharge of ~15,000 ML/d. </w:t>
      </w:r>
      <w:bookmarkEnd w:id="340"/>
      <w:r>
        <w:t>Abundance during higher winter barrage discharge (often unregulated) remains unknown mostly due to difficultly of sampling. Nevertheless, the hydrographs delivered in winter–spring 2015, 2017 and 2019 likely represent appropriate templates for future environmental water planning.</w:t>
      </w:r>
    </w:p>
    <w:p w14:paraId="2057E99A" w14:textId="77777777" w:rsidR="00FB5EF1" w:rsidRDefault="00FB5EF1" w:rsidP="00FB5EF1">
      <w:pPr>
        <w:pStyle w:val="ListParagraph"/>
        <w:numPr>
          <w:ilvl w:val="0"/>
          <w:numId w:val="30"/>
        </w:numPr>
        <w:spacing w:before="0" w:after="200"/>
        <w:ind w:left="714" w:hanging="357"/>
        <w:rPr>
          <w:rFonts w:cs="Arial"/>
        </w:rPr>
      </w:pPr>
      <w:r>
        <w:t xml:space="preserve">Importantly, winter–spring 2015, 2017 and 2019 </w:t>
      </w:r>
      <w:bookmarkStart w:id="341" w:name="_Hlk63974986"/>
      <w:r>
        <w:t xml:space="preserve">comprised multi-site watering events that were supported by return flows </w:t>
      </w:r>
      <w:bookmarkEnd w:id="341"/>
      <w:r>
        <w:t>from delivery of Commonwealth environmental water in the Goulburn River. The delivery of Commonwealth environmental water is critical to maintaining barrage discharge and connectivity during years of low flow</w:t>
      </w:r>
      <w:r>
        <w:rPr>
          <w:rFonts w:cs="Arial"/>
        </w:rPr>
        <w:t xml:space="preserve">. Additionally, such water may comprise cues critical to the upstream migration of lamprey (e.g. </w:t>
      </w:r>
      <w:proofErr w:type="spellStart"/>
      <w:r>
        <w:rPr>
          <w:rFonts w:cs="Arial"/>
        </w:rPr>
        <w:t>ammocoete</w:t>
      </w:r>
      <w:proofErr w:type="spellEnd"/>
      <w:r>
        <w:rPr>
          <w:rFonts w:cs="Arial"/>
        </w:rPr>
        <w:t xml:space="preserve"> pheromones).</w:t>
      </w:r>
    </w:p>
    <w:p w14:paraId="67A97749" w14:textId="77777777" w:rsidR="00FB5EF1" w:rsidRDefault="00FB5EF1" w:rsidP="00FB5EF1">
      <w:pPr>
        <w:pStyle w:val="ListParagraph"/>
        <w:numPr>
          <w:ilvl w:val="0"/>
          <w:numId w:val="30"/>
        </w:numPr>
        <w:spacing w:before="0" w:after="200"/>
        <w:ind w:left="714" w:hanging="357"/>
        <w:rPr>
          <w:rFonts w:cs="Arial"/>
        </w:rPr>
      </w:pPr>
      <w:r>
        <w:rPr>
          <w:rFonts w:cs="Arial"/>
        </w:rPr>
        <w:t xml:space="preserve">Lamprey primarily pass upstream via fishways on Goolwa, </w:t>
      </w:r>
      <w:proofErr w:type="spellStart"/>
      <w:r>
        <w:rPr>
          <w:rFonts w:cs="Arial"/>
        </w:rPr>
        <w:t>Mundoo</w:t>
      </w:r>
      <w:proofErr w:type="spellEnd"/>
      <w:r>
        <w:rPr>
          <w:rFonts w:cs="Arial"/>
        </w:rPr>
        <w:t xml:space="preserve"> and </w:t>
      </w:r>
      <w:proofErr w:type="spellStart"/>
      <w:r>
        <w:rPr>
          <w:rFonts w:cs="Arial"/>
        </w:rPr>
        <w:t>Tauwitchere</w:t>
      </w:r>
      <w:proofErr w:type="spellEnd"/>
      <w:r>
        <w:rPr>
          <w:rFonts w:cs="Arial"/>
        </w:rPr>
        <w:t xml:space="preserve"> barrages. Abundances tend to be greater at the Goolwa and </w:t>
      </w:r>
      <w:proofErr w:type="spellStart"/>
      <w:r>
        <w:rPr>
          <w:rFonts w:cs="Arial"/>
        </w:rPr>
        <w:t>Mundoo</w:t>
      </w:r>
      <w:proofErr w:type="spellEnd"/>
      <w:r>
        <w:rPr>
          <w:rFonts w:cs="Arial"/>
        </w:rPr>
        <w:t xml:space="preserve"> fishways, likely due to their proximity to the Murray Mouth and greater influence of discharge from these barrages/fishways on downstream salinities. As such, during times of limited water availability, winter–spring releases that specifically target lamprey migration could be prioritised to Goolwa and </w:t>
      </w:r>
      <w:proofErr w:type="spellStart"/>
      <w:r>
        <w:rPr>
          <w:rFonts w:cs="Arial"/>
        </w:rPr>
        <w:t>Mundoo</w:t>
      </w:r>
      <w:proofErr w:type="spellEnd"/>
      <w:r>
        <w:rPr>
          <w:rFonts w:cs="Arial"/>
        </w:rPr>
        <w:t xml:space="preserve"> barrages to maximise attraction.</w:t>
      </w:r>
    </w:p>
    <w:p w14:paraId="613283BD" w14:textId="77777777" w:rsidR="00F42439" w:rsidRDefault="00F42439" w:rsidP="00F42439">
      <w:pPr>
        <w:rPr>
          <w:rFonts w:cs="Arial"/>
        </w:rPr>
      </w:pPr>
      <w:r>
        <w:rPr>
          <w:rFonts w:cs="Arial"/>
        </w:rPr>
        <w:t>Despite advances in knowledge, the general life histories of pouched lamprey and short-headed lamprey in the MDB remain poorly understood. Specific knowledge gaps for future research to better support Commonwealth environmental water delivery include:</w:t>
      </w:r>
    </w:p>
    <w:p w14:paraId="69F4CF56" w14:textId="29AC757A" w:rsidR="00F42439" w:rsidRDefault="00F42439" w:rsidP="004E21B9">
      <w:pPr>
        <w:pStyle w:val="ListParagraph"/>
        <w:numPr>
          <w:ilvl w:val="0"/>
          <w:numId w:val="31"/>
        </w:numPr>
        <w:spacing w:before="0" w:after="200"/>
        <w:ind w:left="777" w:hanging="357"/>
        <w:rPr>
          <w:rFonts w:cs="Arial"/>
        </w:rPr>
      </w:pPr>
      <w:r>
        <w:rPr>
          <w:rFonts w:cs="Arial"/>
        </w:rPr>
        <w:t>Identifying specific localities (</w:t>
      </w:r>
      <w:proofErr w:type="gramStart"/>
      <w:r>
        <w:rPr>
          <w:rFonts w:cs="Arial"/>
        </w:rPr>
        <w:t>i.e.</w:t>
      </w:r>
      <w:proofErr w:type="gramEnd"/>
      <w:r>
        <w:rPr>
          <w:rFonts w:cs="Arial"/>
        </w:rPr>
        <w:t xml:space="preserve"> streams and river reaches) that provide spawning and nursery habitats for pouched lamprey and short-headed lamprey in the MDB</w:t>
      </w:r>
      <w:r w:rsidR="0084014F">
        <w:rPr>
          <w:rFonts w:cs="Arial"/>
        </w:rPr>
        <w:t>;</w:t>
      </w:r>
      <w:r>
        <w:rPr>
          <w:rFonts w:cs="Arial"/>
        </w:rPr>
        <w:t xml:space="preserve"> </w:t>
      </w:r>
    </w:p>
    <w:p w14:paraId="6FC302BC" w14:textId="6BD5F24E" w:rsidR="00F42439" w:rsidRDefault="00F42439" w:rsidP="004E21B9">
      <w:pPr>
        <w:pStyle w:val="ListParagraph"/>
        <w:numPr>
          <w:ilvl w:val="0"/>
          <w:numId w:val="31"/>
        </w:numPr>
        <w:spacing w:before="0" w:after="200"/>
        <w:ind w:left="777" w:hanging="357"/>
        <w:rPr>
          <w:rFonts w:cs="Arial"/>
        </w:rPr>
      </w:pPr>
      <w:r>
        <w:rPr>
          <w:rFonts w:cs="Arial"/>
        </w:rPr>
        <w:t xml:space="preserve">Investigating the influence of flow magnitude, </w:t>
      </w:r>
      <w:proofErr w:type="gramStart"/>
      <w:r>
        <w:rPr>
          <w:rFonts w:cs="Arial"/>
        </w:rPr>
        <w:t>source</w:t>
      </w:r>
      <w:proofErr w:type="gramEnd"/>
      <w:r>
        <w:rPr>
          <w:rFonts w:cs="Arial"/>
        </w:rPr>
        <w:t xml:space="preserve"> and longitudinal integrity of flows on lamprey upstream riverine migrations, including ultimate destination</w:t>
      </w:r>
      <w:r w:rsidR="0084014F">
        <w:rPr>
          <w:rFonts w:cs="Arial"/>
        </w:rPr>
        <w:t>; and</w:t>
      </w:r>
    </w:p>
    <w:p w14:paraId="274CE71A" w14:textId="77777777" w:rsidR="00F42439" w:rsidRDefault="00F42439" w:rsidP="004E21B9">
      <w:pPr>
        <w:pStyle w:val="ListParagraph"/>
        <w:numPr>
          <w:ilvl w:val="0"/>
          <w:numId w:val="31"/>
        </w:numPr>
        <w:spacing w:before="0" w:after="200"/>
        <w:ind w:left="777" w:hanging="357"/>
        <w:rPr>
          <w:rFonts w:cs="Arial"/>
        </w:rPr>
      </w:pPr>
      <w:r>
        <w:rPr>
          <w:rFonts w:cs="Arial"/>
        </w:rPr>
        <w:t xml:space="preserve">Investigating the downstream migrations of </w:t>
      </w:r>
      <w:proofErr w:type="spellStart"/>
      <w:r>
        <w:rPr>
          <w:rFonts w:cs="Arial"/>
        </w:rPr>
        <w:t>macrophthalmia</w:t>
      </w:r>
      <w:proofErr w:type="spellEnd"/>
      <w:r>
        <w:rPr>
          <w:rFonts w:cs="Arial"/>
        </w:rPr>
        <w:t xml:space="preserve"> (sub-adults) </w:t>
      </w:r>
      <w:proofErr w:type="gramStart"/>
      <w:r>
        <w:rPr>
          <w:rFonts w:cs="Arial"/>
        </w:rPr>
        <w:t>with regard to</w:t>
      </w:r>
      <w:proofErr w:type="gramEnd"/>
      <w:r>
        <w:rPr>
          <w:rFonts w:cs="Arial"/>
        </w:rPr>
        <w:t xml:space="preserve"> timing, distance, cues and interaction with potential barriers.</w:t>
      </w:r>
      <w:bookmarkEnd w:id="259"/>
    </w:p>
    <w:p w14:paraId="4C4A8D36" w14:textId="77777777" w:rsidR="00F42439" w:rsidRDefault="00F42439" w:rsidP="00F42439">
      <w:pPr>
        <w:spacing w:before="0" w:after="200" w:line="360" w:lineRule="auto"/>
        <w:rPr>
          <w:rFonts w:cs="Arial"/>
        </w:rPr>
      </w:pPr>
    </w:p>
    <w:p w14:paraId="6318365E" w14:textId="0635050C" w:rsidR="00CB4086" w:rsidRDefault="00CB4086">
      <w:pPr>
        <w:spacing w:before="0" w:after="160" w:line="259" w:lineRule="auto"/>
        <w:jc w:val="left"/>
        <w:rPr>
          <w:rFonts w:cs="Arial"/>
        </w:rPr>
      </w:pPr>
      <w:r>
        <w:rPr>
          <w:rFonts w:cs="Arial"/>
        </w:rPr>
        <w:br w:type="page"/>
      </w:r>
    </w:p>
    <w:p w14:paraId="7EC82C72" w14:textId="77777777" w:rsidR="00883C44" w:rsidRDefault="00883C44" w:rsidP="00883C44">
      <w:pPr>
        <w:pStyle w:val="Heading1"/>
      </w:pPr>
      <w:bookmarkStart w:id="342" w:name="_Toc64646552"/>
      <w:bookmarkStart w:id="343" w:name="_Toc69309248"/>
      <w:bookmarkEnd w:id="330"/>
      <w:bookmarkEnd w:id="331"/>
      <w:bookmarkEnd w:id="332"/>
      <w:r w:rsidRPr="00A32F9D">
        <w:t xml:space="preserve">Synthesis and </w:t>
      </w:r>
      <w:r>
        <w:t>E</w:t>
      </w:r>
      <w:r w:rsidRPr="00A32F9D">
        <w:t>valuation</w:t>
      </w:r>
      <w:bookmarkEnd w:id="342"/>
      <w:bookmarkEnd w:id="343"/>
    </w:p>
    <w:p w14:paraId="48394C9F" w14:textId="6F36B5E4" w:rsidR="00C06C1F" w:rsidRPr="00C50B8F" w:rsidRDefault="00040DA3" w:rsidP="00C06C1F">
      <w:pPr>
        <w:rPr>
          <w:rStyle w:val="CharChar7"/>
          <w:rFonts w:eastAsiaTheme="majorEastAsia" w:cs="Times New Roman"/>
          <w:color w:val="000000"/>
          <w:sz w:val="21"/>
          <w:szCs w:val="21"/>
        </w:rPr>
      </w:pPr>
      <w:r w:rsidRPr="00C50B8F">
        <w:rPr>
          <w:szCs w:val="21"/>
        </w:rPr>
        <w:t>To assess ecological response to Commonwealth environmental water in the Lower Murray, a series of evaluation questions were investigated</w:t>
      </w:r>
      <w:r>
        <w:rPr>
          <w:szCs w:val="21"/>
        </w:rPr>
        <w:t>, which were earlier</w:t>
      </w:r>
      <w:r w:rsidRPr="00C50B8F">
        <w:rPr>
          <w:szCs w:val="21"/>
        </w:rPr>
        <w:t xml:space="preserve"> adapted from Basin-scale questions (</w:t>
      </w:r>
      <w:r w:rsidRPr="00C50B8F">
        <w:rPr>
          <w:rFonts w:cs="Frutiger LT Std 45 Light"/>
          <w:spacing w:val="5"/>
          <w:szCs w:val="21"/>
        </w:rPr>
        <w:t xml:space="preserve">SARDI </w:t>
      </w:r>
      <w:r w:rsidRPr="00C50B8F">
        <w:rPr>
          <w:rFonts w:cs="Frutiger LT Std 45 Light"/>
          <w:i/>
          <w:spacing w:val="5"/>
          <w:szCs w:val="21"/>
        </w:rPr>
        <w:t>et al.</w:t>
      </w:r>
      <w:r w:rsidRPr="00C50B8F">
        <w:rPr>
          <w:rFonts w:cs="Frutiger LT Std 45 Light"/>
          <w:spacing w:val="5"/>
          <w:szCs w:val="21"/>
        </w:rPr>
        <w:t xml:space="preserve"> 2019</w:t>
      </w:r>
      <w:r w:rsidRPr="00C50B8F">
        <w:rPr>
          <w:szCs w:val="21"/>
        </w:rPr>
        <w:t xml:space="preserve">). The contribution of environmental water to Hydraulic Regime, </w:t>
      </w:r>
      <w:r>
        <w:rPr>
          <w:szCs w:val="21"/>
        </w:rPr>
        <w:t xml:space="preserve">and </w:t>
      </w:r>
      <w:r w:rsidRPr="00C50B8F">
        <w:rPr>
          <w:szCs w:val="21"/>
        </w:rPr>
        <w:t xml:space="preserve">Matter Transport and Coorong Habitat was assessed throughout the year using a modelling approach, whereas indicators of </w:t>
      </w:r>
      <w:r>
        <w:rPr>
          <w:szCs w:val="21"/>
        </w:rPr>
        <w:t xml:space="preserve">specific </w:t>
      </w:r>
      <w:r w:rsidRPr="00C50B8F">
        <w:rPr>
          <w:szCs w:val="21"/>
        </w:rPr>
        <w:t xml:space="preserve">ecological responses </w:t>
      </w:r>
      <w:r w:rsidR="00C06C1F" w:rsidRPr="00C50B8F">
        <w:rPr>
          <w:szCs w:val="21"/>
        </w:rPr>
        <w:t xml:space="preserve">(Stream Metabolism and Water Quality, </w:t>
      </w:r>
      <w:r w:rsidR="00ED756C">
        <w:rPr>
          <w:szCs w:val="21"/>
        </w:rPr>
        <w:t xml:space="preserve">Littoral </w:t>
      </w:r>
      <w:r w:rsidR="00C06C1F" w:rsidRPr="00C50B8F">
        <w:rPr>
          <w:szCs w:val="21"/>
        </w:rPr>
        <w:t xml:space="preserve">Vegetation, </w:t>
      </w:r>
      <w:proofErr w:type="spellStart"/>
      <w:r w:rsidR="00C06C1F" w:rsidRPr="00C50B8F">
        <w:rPr>
          <w:szCs w:val="21"/>
        </w:rPr>
        <w:t>Microinvertebrates</w:t>
      </w:r>
      <w:proofErr w:type="spellEnd"/>
      <w:r w:rsidR="00C06C1F" w:rsidRPr="00C50B8F">
        <w:rPr>
          <w:szCs w:val="21"/>
        </w:rPr>
        <w:t>, Flow-cued Spawning Fish Recruitment, Murray Cod Recruitment and Lamprey Migration) were assessed through empirical monitoring during targeted seasons.</w:t>
      </w:r>
      <w:r w:rsidR="00C06C1F">
        <w:rPr>
          <w:szCs w:val="21"/>
        </w:rPr>
        <w:t xml:space="preserve"> This annual report for </w:t>
      </w:r>
      <w:r w:rsidR="00C06C1F" w:rsidRPr="00E94609">
        <w:rPr>
          <w:szCs w:val="21"/>
        </w:rPr>
        <w:t xml:space="preserve">the </w:t>
      </w:r>
      <w:r w:rsidR="00C06C1F">
        <w:rPr>
          <w:szCs w:val="21"/>
        </w:rPr>
        <w:t>MER</w:t>
      </w:r>
      <w:r w:rsidR="00C06C1F" w:rsidRPr="00E94609">
        <w:rPr>
          <w:szCs w:val="21"/>
        </w:rPr>
        <w:t xml:space="preserve"> Project</w:t>
      </w:r>
      <w:r w:rsidR="00C06C1F">
        <w:rPr>
          <w:szCs w:val="21"/>
        </w:rPr>
        <w:t xml:space="preserve"> focuses on the evaluation of </w:t>
      </w:r>
      <w:r w:rsidR="00C06C1F" w:rsidRPr="00E94609">
        <w:rPr>
          <w:szCs w:val="21"/>
        </w:rPr>
        <w:t xml:space="preserve">Commonwealth environmental water delivery during </w:t>
      </w:r>
      <w:r w:rsidR="00C06C1F">
        <w:rPr>
          <w:szCs w:val="21"/>
        </w:rPr>
        <w:t xml:space="preserve">2019-20, with </w:t>
      </w:r>
      <w:r w:rsidR="00C06C1F" w:rsidRPr="00E94609">
        <w:rPr>
          <w:szCs w:val="21"/>
        </w:rPr>
        <w:t xml:space="preserve">ecological outcomes </w:t>
      </w:r>
      <w:r w:rsidR="00025EB2">
        <w:rPr>
          <w:szCs w:val="21"/>
        </w:rPr>
        <w:t>for all years (2014-15 to 2019-20)</w:t>
      </w:r>
      <w:r w:rsidR="00C06C1F">
        <w:rPr>
          <w:szCs w:val="21"/>
        </w:rPr>
        <w:t xml:space="preserve"> presented, building on the findings from the LTIM Project</w:t>
      </w:r>
      <w:r w:rsidR="00C06C1F" w:rsidRPr="00E94609">
        <w:rPr>
          <w:szCs w:val="21"/>
        </w:rPr>
        <w:t xml:space="preserve"> (</w:t>
      </w:r>
      <w:r w:rsidR="00F1653C">
        <w:rPr>
          <w:szCs w:val="21"/>
        </w:rPr>
        <w:fldChar w:fldCharType="begin"/>
      </w:r>
      <w:r w:rsidR="00F1653C">
        <w:rPr>
          <w:szCs w:val="21"/>
        </w:rPr>
        <w:instrText xml:space="preserve"> REF _Ref506912378 \h </w:instrText>
      </w:r>
      <w:r w:rsidR="00F1653C">
        <w:rPr>
          <w:szCs w:val="21"/>
        </w:rPr>
      </w:r>
      <w:r w:rsidR="00F1653C">
        <w:rPr>
          <w:szCs w:val="21"/>
        </w:rPr>
        <w:fldChar w:fldCharType="separate"/>
      </w:r>
      <w:r w:rsidR="006045CA" w:rsidRPr="00F55DF6">
        <w:t xml:space="preserve">Table </w:t>
      </w:r>
      <w:r w:rsidR="006045CA">
        <w:rPr>
          <w:noProof/>
        </w:rPr>
        <w:t>24</w:t>
      </w:r>
      <w:r w:rsidR="00F1653C">
        <w:rPr>
          <w:szCs w:val="21"/>
        </w:rPr>
        <w:fldChar w:fldCharType="end"/>
      </w:r>
      <w:r w:rsidR="00C06C1F" w:rsidRPr="00E94609">
        <w:rPr>
          <w:szCs w:val="21"/>
        </w:rPr>
        <w:t xml:space="preserve">). </w:t>
      </w:r>
    </w:p>
    <w:p w14:paraId="546C293C" w14:textId="55D304A3" w:rsidR="00040DA3" w:rsidRDefault="00D87BD1" w:rsidP="00040DA3">
      <w:pPr>
        <w:rPr>
          <w:bCs/>
          <w:szCs w:val="21"/>
          <w:lang w:eastAsia="en-AU"/>
        </w:rPr>
      </w:pPr>
      <w:r>
        <w:rPr>
          <w:bCs/>
          <w:szCs w:val="21"/>
          <w:lang w:eastAsia="en-AU"/>
        </w:rPr>
        <w:t xml:space="preserve">The year </w:t>
      </w:r>
      <w:r w:rsidR="00040DA3" w:rsidRPr="00E94609">
        <w:rPr>
          <w:bCs/>
          <w:szCs w:val="21"/>
          <w:lang w:eastAsia="en-AU"/>
        </w:rPr>
        <w:t>201</w:t>
      </w:r>
      <w:r w:rsidR="00040DA3">
        <w:rPr>
          <w:bCs/>
          <w:szCs w:val="21"/>
          <w:lang w:eastAsia="en-AU"/>
        </w:rPr>
        <w:t>9-20</w:t>
      </w:r>
      <w:r w:rsidR="00040DA3" w:rsidRPr="00E94609">
        <w:rPr>
          <w:bCs/>
          <w:szCs w:val="21"/>
          <w:lang w:eastAsia="en-AU"/>
        </w:rPr>
        <w:t xml:space="preserve"> was a </w:t>
      </w:r>
      <w:r w:rsidR="00040DA3">
        <w:rPr>
          <w:bCs/>
          <w:szCs w:val="21"/>
          <w:lang w:eastAsia="en-AU"/>
        </w:rPr>
        <w:t>climatically and h</w:t>
      </w:r>
      <w:r w:rsidR="00040DA3" w:rsidRPr="00E94609">
        <w:rPr>
          <w:bCs/>
          <w:szCs w:val="21"/>
          <w:lang w:eastAsia="en-AU"/>
        </w:rPr>
        <w:t xml:space="preserve">ydrologically dry year. </w:t>
      </w:r>
      <w:r w:rsidR="00040DA3">
        <w:rPr>
          <w:bCs/>
          <w:szCs w:val="21"/>
          <w:lang w:eastAsia="en-AU"/>
        </w:rPr>
        <w:t>W</w:t>
      </w:r>
      <w:r w:rsidR="00040DA3" w:rsidRPr="00E94609">
        <w:rPr>
          <w:szCs w:val="21"/>
          <w:lang w:eastAsia="en-AU"/>
        </w:rPr>
        <w:t>ithout environmental water</w:t>
      </w:r>
      <w:r w:rsidR="00040DA3">
        <w:rPr>
          <w:szCs w:val="21"/>
          <w:lang w:eastAsia="en-AU"/>
        </w:rPr>
        <w:t>, f</w:t>
      </w:r>
      <w:r w:rsidR="00040DA3" w:rsidRPr="00E94609">
        <w:rPr>
          <w:szCs w:val="21"/>
          <w:lang w:eastAsia="en-AU"/>
        </w:rPr>
        <w:t xml:space="preserve">low to South Australia would have </w:t>
      </w:r>
      <w:r w:rsidR="00883C44" w:rsidRPr="00E94609">
        <w:rPr>
          <w:szCs w:val="21"/>
          <w:lang w:eastAsia="en-AU"/>
        </w:rPr>
        <w:t xml:space="preserve">been </w:t>
      </w:r>
      <w:r w:rsidR="00FB5EF1">
        <w:rPr>
          <w:szCs w:val="21"/>
          <w:lang w:eastAsia="en-AU"/>
        </w:rPr>
        <w:t xml:space="preserve">limited to </w:t>
      </w:r>
      <w:r w:rsidR="00883C44">
        <w:rPr>
          <w:szCs w:val="21"/>
          <w:lang w:eastAsia="en-AU"/>
        </w:rPr>
        <w:t xml:space="preserve">entitlement flow (i.e. </w:t>
      </w:r>
      <w:r w:rsidR="00883C44" w:rsidRPr="00E94609">
        <w:rPr>
          <w:szCs w:val="21"/>
          <w:lang w:eastAsia="en-AU"/>
        </w:rPr>
        <w:t>~</w:t>
      </w:r>
      <w:r w:rsidR="00883C44">
        <w:rPr>
          <w:szCs w:val="21"/>
          <w:lang w:eastAsia="en-AU"/>
        </w:rPr>
        <w:t>3</w:t>
      </w:r>
      <w:r w:rsidR="00883C44" w:rsidRPr="00E94609">
        <w:rPr>
          <w:szCs w:val="21"/>
          <w:lang w:eastAsia="en-AU"/>
        </w:rPr>
        <w:t>,</w:t>
      </w:r>
      <w:r w:rsidR="00883C44">
        <w:rPr>
          <w:szCs w:val="21"/>
          <w:lang w:eastAsia="en-AU"/>
        </w:rPr>
        <w:t>0</w:t>
      </w:r>
      <w:r w:rsidR="00883C44" w:rsidRPr="00E94609">
        <w:rPr>
          <w:szCs w:val="21"/>
          <w:lang w:eastAsia="en-AU"/>
        </w:rPr>
        <w:t>00–</w:t>
      </w:r>
      <w:r w:rsidR="00883C44">
        <w:rPr>
          <w:szCs w:val="21"/>
          <w:lang w:eastAsia="en-AU"/>
        </w:rPr>
        <w:t>7</w:t>
      </w:r>
      <w:r w:rsidR="00883C44" w:rsidRPr="00E94609">
        <w:rPr>
          <w:szCs w:val="21"/>
          <w:lang w:eastAsia="en-AU"/>
        </w:rPr>
        <w:t>,000</w:t>
      </w:r>
      <w:r w:rsidR="00DD4655">
        <w:rPr>
          <w:szCs w:val="21"/>
          <w:lang w:eastAsia="en-AU"/>
        </w:rPr>
        <w:t> </w:t>
      </w:r>
      <w:r w:rsidR="00883C44" w:rsidRPr="00E94609">
        <w:rPr>
          <w:szCs w:val="21"/>
          <w:lang w:eastAsia="en-AU"/>
        </w:rPr>
        <w:t xml:space="preserve">ML/d) </w:t>
      </w:r>
      <w:r w:rsidR="00040DA3">
        <w:rPr>
          <w:szCs w:val="21"/>
          <w:lang w:eastAsia="en-AU"/>
        </w:rPr>
        <w:t>throughout the year.</w:t>
      </w:r>
      <w:r w:rsidR="00040DA3" w:rsidRPr="00E94609">
        <w:rPr>
          <w:szCs w:val="21"/>
          <w:lang w:eastAsia="en-AU"/>
        </w:rPr>
        <w:t xml:space="preserve"> A </w:t>
      </w:r>
      <w:r w:rsidR="00040DA3" w:rsidRPr="00E94609">
        <w:rPr>
          <w:rFonts w:eastAsiaTheme="majorEastAsia"/>
          <w:szCs w:val="21"/>
          <w:lang w:eastAsia="en-AU"/>
        </w:rPr>
        <w:t xml:space="preserve">total of </w:t>
      </w:r>
      <w:r w:rsidR="00040DA3" w:rsidRPr="00E94609">
        <w:rPr>
          <w:szCs w:val="21"/>
          <w:lang w:eastAsia="en-AU"/>
        </w:rPr>
        <w:t>~</w:t>
      </w:r>
      <w:r w:rsidR="00040DA3">
        <w:rPr>
          <w:szCs w:val="21"/>
          <w:lang w:eastAsia="en-AU"/>
        </w:rPr>
        <w:t>750</w:t>
      </w:r>
      <w:r w:rsidR="00040DA3" w:rsidRPr="00E94609">
        <w:rPr>
          <w:szCs w:val="21"/>
          <w:lang w:eastAsia="en-AU"/>
        </w:rPr>
        <w:t xml:space="preserve"> GL of </w:t>
      </w:r>
      <w:r w:rsidR="00040DA3" w:rsidRPr="00E94609">
        <w:rPr>
          <w:rFonts w:eastAsiaTheme="majorEastAsia"/>
          <w:szCs w:val="21"/>
          <w:lang w:eastAsia="en-AU"/>
        </w:rPr>
        <w:t xml:space="preserve">Commonwealth environmental water was delivered to the LMR </w:t>
      </w:r>
      <w:r w:rsidR="00040DA3">
        <w:rPr>
          <w:rFonts w:eastAsiaTheme="majorEastAsia"/>
          <w:szCs w:val="21"/>
          <w:lang w:eastAsia="en-AU"/>
        </w:rPr>
        <w:t>during</w:t>
      </w:r>
      <w:r w:rsidR="00040DA3" w:rsidRPr="00E94609">
        <w:rPr>
          <w:rFonts w:eastAsiaTheme="majorEastAsia"/>
          <w:szCs w:val="21"/>
          <w:lang w:eastAsia="en-AU"/>
        </w:rPr>
        <w:t xml:space="preserve"> this year, </w:t>
      </w:r>
      <w:r w:rsidR="00040DA3" w:rsidRPr="00E94609">
        <w:rPr>
          <w:szCs w:val="21"/>
          <w:lang w:eastAsia="en-AU"/>
        </w:rPr>
        <w:t>in conjunction with other sources of environmental water (</w:t>
      </w:r>
      <w:r w:rsidR="00040DA3">
        <w:rPr>
          <w:szCs w:val="21"/>
          <w:lang w:eastAsia="en-AU"/>
        </w:rPr>
        <w:t>~180</w:t>
      </w:r>
      <w:r w:rsidR="00040DA3" w:rsidRPr="00E94609">
        <w:rPr>
          <w:szCs w:val="21"/>
          <w:lang w:eastAsia="en-AU"/>
        </w:rPr>
        <w:t xml:space="preserve"> </w:t>
      </w:r>
      <w:proofErr w:type="gramStart"/>
      <w:r w:rsidR="00040DA3" w:rsidRPr="00E94609">
        <w:rPr>
          <w:szCs w:val="21"/>
          <w:lang w:eastAsia="en-AU"/>
        </w:rPr>
        <w:t>GL</w:t>
      </w:r>
      <w:r w:rsidR="00040DA3">
        <w:rPr>
          <w:szCs w:val="21"/>
          <w:lang w:eastAsia="en-AU"/>
        </w:rPr>
        <w:t>;</w:t>
      </w:r>
      <w:proofErr w:type="gramEnd"/>
      <w:r w:rsidR="00040DA3" w:rsidRPr="00E94609">
        <w:rPr>
          <w:szCs w:val="21"/>
          <w:lang w:eastAsia="en-AU"/>
        </w:rPr>
        <w:t xml:space="preserve"> </w:t>
      </w:r>
      <w:r w:rsidR="00040DA3">
        <w:rPr>
          <w:szCs w:val="21"/>
          <w:lang w:eastAsia="en-AU"/>
        </w:rPr>
        <w:t>i.e.</w:t>
      </w:r>
      <w:r w:rsidR="00040DA3" w:rsidRPr="00E94609">
        <w:rPr>
          <w:szCs w:val="21"/>
          <w:lang w:eastAsia="en-AU"/>
        </w:rPr>
        <w:t xml:space="preserve"> T</w:t>
      </w:r>
      <w:r w:rsidR="00040DA3">
        <w:rPr>
          <w:szCs w:val="21"/>
          <w:lang w:eastAsia="en-AU"/>
        </w:rPr>
        <w:t>LM, VEWH and RMIF</w:t>
      </w:r>
      <w:r w:rsidR="00040DA3" w:rsidRPr="00E94609">
        <w:rPr>
          <w:szCs w:val="21"/>
          <w:lang w:eastAsia="en-AU"/>
        </w:rPr>
        <w:t xml:space="preserve">). </w:t>
      </w:r>
      <w:r w:rsidR="00040DA3">
        <w:rPr>
          <w:szCs w:val="21"/>
          <w:lang w:eastAsia="en-AU"/>
        </w:rPr>
        <w:t>Commonwealth environmental water represented a 3</w:t>
      </w:r>
      <w:r w:rsidR="00347B71">
        <w:rPr>
          <w:szCs w:val="21"/>
          <w:lang w:eastAsia="en-AU"/>
        </w:rPr>
        <w:t>2</w:t>
      </w:r>
      <w:r w:rsidR="00040DA3">
        <w:rPr>
          <w:szCs w:val="21"/>
          <w:lang w:eastAsia="en-AU"/>
        </w:rPr>
        <w:t xml:space="preserve">% increase in total flow volume in the LMR, which improved </w:t>
      </w:r>
      <w:r w:rsidR="00040DA3" w:rsidRPr="00540A63">
        <w:rPr>
          <w:szCs w:val="21"/>
          <w:lang w:eastAsia="en-AU"/>
        </w:rPr>
        <w:t>longitudinal hydrological connectivity</w:t>
      </w:r>
      <w:r w:rsidR="00040DA3">
        <w:rPr>
          <w:szCs w:val="21"/>
          <w:lang w:eastAsia="en-AU"/>
        </w:rPr>
        <w:t xml:space="preserve"> and </w:t>
      </w:r>
      <w:r w:rsidR="00040DA3" w:rsidRPr="00540A63">
        <w:rPr>
          <w:szCs w:val="21"/>
          <w:lang w:eastAsia="en-AU"/>
        </w:rPr>
        <w:t xml:space="preserve">met the Basin-wide Environmental Water Strategy target </w:t>
      </w:r>
      <w:r w:rsidR="00883C44" w:rsidRPr="00540A63">
        <w:rPr>
          <w:szCs w:val="21"/>
          <w:lang w:eastAsia="en-AU"/>
        </w:rPr>
        <w:t>(30% increase in flows in the Murray River)</w:t>
      </w:r>
      <w:r w:rsidR="00040DA3" w:rsidRPr="00540A63">
        <w:rPr>
          <w:szCs w:val="21"/>
          <w:lang w:eastAsia="en-AU"/>
        </w:rPr>
        <w:t>.</w:t>
      </w:r>
      <w:r w:rsidR="00040DA3">
        <w:rPr>
          <w:szCs w:val="21"/>
          <w:lang w:eastAsia="en-AU"/>
        </w:rPr>
        <w:t xml:space="preserve"> Environmental water created </w:t>
      </w:r>
      <w:bookmarkStart w:id="344" w:name="_Hlk66709440"/>
      <w:r w:rsidR="00040DA3">
        <w:rPr>
          <w:szCs w:val="21"/>
          <w:lang w:eastAsia="en-AU"/>
        </w:rPr>
        <w:t>two distinct in-channel flow pulses</w:t>
      </w:r>
      <w:r w:rsidR="00040DA3">
        <w:rPr>
          <w:bCs/>
          <w:szCs w:val="21"/>
          <w:lang w:eastAsia="en-AU"/>
        </w:rPr>
        <w:t xml:space="preserve">: a winter flow </w:t>
      </w:r>
      <w:r w:rsidR="00883C44">
        <w:rPr>
          <w:bCs/>
          <w:szCs w:val="21"/>
          <w:lang w:eastAsia="en-AU"/>
        </w:rPr>
        <w:t>pulse peaking in late July (11,000 ML/d) and a spring flow pulse peaking around mid-October (15,600 ML/d) 2019</w:t>
      </w:r>
      <w:bookmarkEnd w:id="344"/>
      <w:r w:rsidR="00883C44">
        <w:rPr>
          <w:bCs/>
          <w:szCs w:val="21"/>
          <w:lang w:eastAsia="en-AU"/>
        </w:rPr>
        <w:t xml:space="preserve">, and </w:t>
      </w:r>
      <w:r w:rsidR="00040DA3">
        <w:rPr>
          <w:bCs/>
          <w:szCs w:val="21"/>
          <w:lang w:eastAsia="en-AU"/>
        </w:rPr>
        <w:t xml:space="preserve">provided flows during </w:t>
      </w:r>
      <w:r w:rsidR="00040DA3" w:rsidRPr="00804871">
        <w:rPr>
          <w:bCs/>
          <w:szCs w:val="21"/>
          <w:lang w:eastAsia="en-AU"/>
        </w:rPr>
        <w:t>summer–late autumn</w:t>
      </w:r>
      <w:r w:rsidR="00040DA3">
        <w:rPr>
          <w:bCs/>
          <w:szCs w:val="21"/>
          <w:lang w:eastAsia="en-AU"/>
        </w:rPr>
        <w:t xml:space="preserve"> to maintain water levels of the Lower Lakes and support barrage releases.</w:t>
      </w:r>
    </w:p>
    <w:p w14:paraId="5476C1BB" w14:textId="2A558A4B" w:rsidR="00040DA3" w:rsidRDefault="00040DA3" w:rsidP="00040DA3">
      <w:pPr>
        <w:rPr>
          <w:szCs w:val="21"/>
          <w:lang w:eastAsia="en-AU"/>
        </w:rPr>
      </w:pPr>
      <w:r>
        <w:rPr>
          <w:szCs w:val="21"/>
          <w:lang w:eastAsia="en-AU"/>
        </w:rPr>
        <w:t xml:space="preserve">Winter flow to South Australia between mid-July and mid-August 2019, supported by return flows of </w:t>
      </w:r>
      <w:r w:rsidRPr="00E94609">
        <w:rPr>
          <w:bCs/>
          <w:szCs w:val="21"/>
          <w:lang w:eastAsia="en-AU"/>
        </w:rPr>
        <w:t>Commonwealth environmental water</w:t>
      </w:r>
      <w:r>
        <w:rPr>
          <w:szCs w:val="21"/>
          <w:lang w:eastAsia="en-AU"/>
        </w:rPr>
        <w:t xml:space="preserve"> from the Goulburn River</w:t>
      </w:r>
      <w:r>
        <w:rPr>
          <w:bCs/>
          <w:szCs w:val="21"/>
          <w:lang w:eastAsia="en-AU"/>
        </w:rPr>
        <w:t>,</w:t>
      </w:r>
      <w:r w:rsidRPr="00E94609">
        <w:rPr>
          <w:bCs/>
          <w:szCs w:val="21"/>
          <w:lang w:eastAsia="en-AU"/>
        </w:rPr>
        <w:t xml:space="preserve"> </w:t>
      </w:r>
      <w:r>
        <w:rPr>
          <w:bCs/>
          <w:szCs w:val="21"/>
          <w:lang w:eastAsia="en-AU"/>
        </w:rPr>
        <w:t>maintained mean daily barrage releases of ~2,500 ML/d with intermittent pulses of up to</w:t>
      </w:r>
      <w:r w:rsidRPr="00F6759D">
        <w:rPr>
          <w:bCs/>
          <w:szCs w:val="21"/>
          <w:lang w:eastAsia="en-AU"/>
        </w:rPr>
        <w:t xml:space="preserve"> ~15,000 ML/d.</w:t>
      </w:r>
      <w:r w:rsidRPr="006703A6">
        <w:rPr>
          <w:szCs w:val="21"/>
          <w:lang w:eastAsia="en-AU"/>
        </w:rPr>
        <w:t xml:space="preserve"> </w:t>
      </w:r>
      <w:r>
        <w:rPr>
          <w:szCs w:val="21"/>
          <w:lang w:eastAsia="en-AU"/>
        </w:rPr>
        <w:t xml:space="preserve">Barrage flows (including fishway releases), of which 100% was Commonwealth environmental water, continued into spring, which </w:t>
      </w:r>
      <w:r w:rsidRPr="00C37588">
        <w:rPr>
          <w:szCs w:val="21"/>
          <w:lang w:eastAsia="en-AU"/>
        </w:rPr>
        <w:t>facilitated connectivity between freshwater, estuarine and marine environments</w:t>
      </w:r>
      <w:r>
        <w:rPr>
          <w:szCs w:val="21"/>
          <w:lang w:eastAsia="en-AU"/>
        </w:rPr>
        <w:t>. In</w:t>
      </w:r>
      <w:r w:rsidRPr="00C37588">
        <w:rPr>
          <w:szCs w:val="21"/>
          <w:lang w:eastAsia="en-AU"/>
        </w:rPr>
        <w:t xml:space="preserve"> winter–spring 2019</w:t>
      </w:r>
      <w:r>
        <w:rPr>
          <w:szCs w:val="21"/>
          <w:lang w:eastAsia="en-AU"/>
        </w:rPr>
        <w:t>,</w:t>
      </w:r>
      <w:r w:rsidRPr="00C37588">
        <w:rPr>
          <w:szCs w:val="21"/>
          <w:lang w:eastAsia="en-AU"/>
        </w:rPr>
        <w:t xml:space="preserve"> </w:t>
      </w:r>
      <w:r>
        <w:rPr>
          <w:szCs w:val="21"/>
          <w:lang w:eastAsia="en-AU"/>
        </w:rPr>
        <w:t xml:space="preserve">these releases promoted lamprey </w:t>
      </w:r>
      <w:r w:rsidR="00FE0BDF">
        <w:rPr>
          <w:szCs w:val="21"/>
          <w:lang w:eastAsia="en-AU"/>
        </w:rPr>
        <w:t>migration</w:t>
      </w:r>
      <w:r w:rsidR="00FE0BDF" w:rsidRPr="00C37588">
        <w:rPr>
          <w:szCs w:val="21"/>
          <w:lang w:eastAsia="en-AU"/>
        </w:rPr>
        <w:t xml:space="preserve"> </w:t>
      </w:r>
      <w:r w:rsidR="00FE0BDF">
        <w:rPr>
          <w:szCs w:val="21"/>
          <w:lang w:eastAsia="en-AU"/>
        </w:rPr>
        <w:t xml:space="preserve">with </w:t>
      </w:r>
      <w:r w:rsidR="00FE0BDF" w:rsidRPr="00C37588">
        <w:rPr>
          <w:szCs w:val="21"/>
          <w:lang w:eastAsia="en-AU"/>
        </w:rPr>
        <w:t>moderate</w:t>
      </w:r>
      <w:bookmarkStart w:id="345" w:name="_Hlk63986926"/>
      <w:r w:rsidR="00FE0BDF" w:rsidRPr="00C37588">
        <w:rPr>
          <w:szCs w:val="21"/>
          <w:lang w:eastAsia="en-AU"/>
        </w:rPr>
        <w:t>–</w:t>
      </w:r>
      <w:bookmarkEnd w:id="345"/>
      <w:r w:rsidR="00FE0BDF" w:rsidRPr="00C37588">
        <w:rPr>
          <w:szCs w:val="21"/>
          <w:lang w:eastAsia="en-AU"/>
        </w:rPr>
        <w:t xml:space="preserve">high abundances of pouched </w:t>
      </w:r>
      <w:r w:rsidRPr="00C37588">
        <w:rPr>
          <w:szCs w:val="21"/>
          <w:lang w:eastAsia="en-AU"/>
        </w:rPr>
        <w:t>and short-headed lamprey</w:t>
      </w:r>
      <w:r w:rsidR="00343883">
        <w:rPr>
          <w:szCs w:val="21"/>
          <w:lang w:eastAsia="en-AU"/>
        </w:rPr>
        <w:t>, relative to previous monitoring years,</w:t>
      </w:r>
      <w:r w:rsidRPr="00C37588">
        <w:rPr>
          <w:szCs w:val="21"/>
          <w:lang w:eastAsia="en-AU"/>
        </w:rPr>
        <w:t xml:space="preserve"> </w:t>
      </w:r>
      <w:r>
        <w:rPr>
          <w:szCs w:val="21"/>
          <w:lang w:eastAsia="en-AU"/>
        </w:rPr>
        <w:t>passing t</w:t>
      </w:r>
      <w:r w:rsidRPr="00C37588">
        <w:rPr>
          <w:szCs w:val="21"/>
          <w:lang w:eastAsia="en-AU"/>
        </w:rPr>
        <w:t xml:space="preserve">he Murray barrages </w:t>
      </w:r>
      <w:r>
        <w:rPr>
          <w:szCs w:val="21"/>
          <w:lang w:eastAsia="en-AU"/>
        </w:rPr>
        <w:t xml:space="preserve">on migrations </w:t>
      </w:r>
      <w:r w:rsidRPr="00C37588">
        <w:rPr>
          <w:szCs w:val="21"/>
          <w:lang w:eastAsia="en-AU"/>
        </w:rPr>
        <w:t>that continued for 100’s of kilometres upstream.</w:t>
      </w:r>
    </w:p>
    <w:p w14:paraId="6AF30217" w14:textId="776463DF" w:rsidR="00040DA3" w:rsidRDefault="00040DA3" w:rsidP="00040DA3">
      <w:pPr>
        <w:rPr>
          <w:szCs w:val="21"/>
        </w:rPr>
      </w:pPr>
      <w:r>
        <w:rPr>
          <w:szCs w:val="21"/>
          <w:lang w:eastAsia="en-AU"/>
        </w:rPr>
        <w:t xml:space="preserve">From </w:t>
      </w:r>
      <w:bookmarkStart w:id="346" w:name="_Hlk64118861"/>
      <w:r>
        <w:rPr>
          <w:szCs w:val="21"/>
          <w:lang w:eastAsia="en-AU"/>
        </w:rPr>
        <w:t>late September</w:t>
      </w:r>
      <w:r w:rsidRPr="0080739E">
        <w:rPr>
          <w:szCs w:val="21"/>
          <w:lang w:eastAsia="en-AU"/>
        </w:rPr>
        <w:t>–</w:t>
      </w:r>
      <w:bookmarkEnd w:id="346"/>
      <w:r>
        <w:rPr>
          <w:szCs w:val="21"/>
          <w:lang w:eastAsia="en-AU"/>
        </w:rPr>
        <w:t>early November</w:t>
      </w:r>
      <w:r w:rsidRPr="00C37588">
        <w:rPr>
          <w:szCs w:val="21"/>
          <w:lang w:eastAsia="en-AU"/>
        </w:rPr>
        <w:t xml:space="preserve"> 2019,</w:t>
      </w:r>
      <w:r>
        <w:rPr>
          <w:szCs w:val="21"/>
          <w:lang w:eastAsia="en-AU"/>
        </w:rPr>
        <w:t xml:space="preserve"> a spring flow pulse (~15,600 ML/d) was delivered to the LMR via</w:t>
      </w:r>
      <w:r w:rsidRPr="0058666A">
        <w:rPr>
          <w:szCs w:val="21"/>
          <w:lang w:eastAsia="en-AU"/>
        </w:rPr>
        <w:t xml:space="preserve"> multi-site </w:t>
      </w:r>
      <w:r>
        <w:rPr>
          <w:szCs w:val="21"/>
          <w:lang w:eastAsia="en-AU"/>
        </w:rPr>
        <w:t xml:space="preserve">environmental </w:t>
      </w:r>
      <w:r w:rsidRPr="0058666A">
        <w:rPr>
          <w:szCs w:val="21"/>
          <w:lang w:eastAsia="en-AU"/>
        </w:rPr>
        <w:t xml:space="preserve">watering </w:t>
      </w:r>
      <w:r w:rsidRPr="0080739E">
        <w:rPr>
          <w:szCs w:val="21"/>
          <w:lang w:eastAsia="en-AU"/>
        </w:rPr>
        <w:t>events</w:t>
      </w:r>
      <w:r>
        <w:rPr>
          <w:szCs w:val="21"/>
          <w:lang w:eastAsia="en-AU"/>
        </w:rPr>
        <w:t>, with</w:t>
      </w:r>
      <w:r w:rsidRPr="0080739E">
        <w:rPr>
          <w:szCs w:val="21"/>
          <w:lang w:eastAsia="en-AU"/>
        </w:rPr>
        <w:t xml:space="preserve"> return flows from the Murray and Goulburn rivers and Barmah–</w:t>
      </w:r>
      <w:proofErr w:type="spellStart"/>
      <w:r w:rsidRPr="0080739E">
        <w:rPr>
          <w:szCs w:val="21"/>
          <w:lang w:eastAsia="en-AU"/>
        </w:rPr>
        <w:t>Millewa</w:t>
      </w:r>
      <w:proofErr w:type="spellEnd"/>
      <w:r w:rsidRPr="0080739E">
        <w:rPr>
          <w:szCs w:val="21"/>
          <w:lang w:eastAsia="en-AU"/>
        </w:rPr>
        <w:t xml:space="preserve"> Forest. </w:t>
      </w:r>
      <w:r>
        <w:rPr>
          <w:szCs w:val="21"/>
          <w:lang w:eastAsia="en-AU"/>
        </w:rPr>
        <w:t>The i</w:t>
      </w:r>
      <w:r w:rsidRPr="0080739E">
        <w:rPr>
          <w:szCs w:val="21"/>
          <w:lang w:eastAsia="en-AU"/>
        </w:rPr>
        <w:t>ncreased flow in the LMR improved hydraulic diversity</w:t>
      </w:r>
      <w:r>
        <w:rPr>
          <w:szCs w:val="21"/>
          <w:lang w:eastAsia="en-AU"/>
        </w:rPr>
        <w:t>,</w:t>
      </w:r>
      <w:r w:rsidRPr="0080739E">
        <w:rPr>
          <w:szCs w:val="21"/>
          <w:lang w:eastAsia="en-AU"/>
        </w:rPr>
        <w:t xml:space="preserve"> with an extra </w:t>
      </w:r>
      <w:r w:rsidRPr="00D33E03">
        <w:rPr>
          <w:szCs w:val="21"/>
          <w:lang w:eastAsia="en-AU"/>
        </w:rPr>
        <w:t xml:space="preserve">34 km (10%) of river </w:t>
      </w:r>
      <w:r>
        <w:rPr>
          <w:szCs w:val="21"/>
          <w:lang w:eastAsia="en-AU"/>
        </w:rPr>
        <w:t xml:space="preserve">characterised as lotic (mean water velocity &gt;0.3 m/s) </w:t>
      </w:r>
      <w:r w:rsidRPr="00D33E03">
        <w:rPr>
          <w:szCs w:val="21"/>
          <w:lang w:eastAsia="en-AU"/>
        </w:rPr>
        <w:t>for at least 30 days due to the Commonwealth environmental water.</w:t>
      </w:r>
      <w:r w:rsidRPr="00D33E03">
        <w:rPr>
          <w:szCs w:val="21"/>
        </w:rPr>
        <w:t xml:space="preserve"> The greater extent and duration of lotic habitat may have benefited Murray cod during their reproductive season</w:t>
      </w:r>
      <w:r>
        <w:rPr>
          <w:szCs w:val="21"/>
        </w:rPr>
        <w:t xml:space="preserve"> (spring</w:t>
      </w:r>
      <w:r w:rsidRPr="0080739E">
        <w:rPr>
          <w:szCs w:val="21"/>
          <w:lang w:eastAsia="en-AU"/>
        </w:rPr>
        <w:t>–</w:t>
      </w:r>
      <w:r>
        <w:rPr>
          <w:szCs w:val="21"/>
          <w:lang w:eastAsia="en-AU"/>
        </w:rPr>
        <w:t>early summer)</w:t>
      </w:r>
      <w:r w:rsidRPr="00D33E03">
        <w:rPr>
          <w:szCs w:val="21"/>
        </w:rPr>
        <w:t xml:space="preserve">, potentially enhancing spawning habitat area and survival of early life </w:t>
      </w:r>
      <w:r w:rsidR="00FE0BDF" w:rsidRPr="00D33E03">
        <w:rPr>
          <w:szCs w:val="21"/>
        </w:rPr>
        <w:t xml:space="preserve">stages. </w:t>
      </w:r>
      <w:r w:rsidR="00FE0BDF">
        <w:rPr>
          <w:szCs w:val="21"/>
        </w:rPr>
        <w:t>During this year, t</w:t>
      </w:r>
      <w:r w:rsidR="00FE0BDF" w:rsidRPr="00D33E03">
        <w:rPr>
          <w:szCs w:val="21"/>
        </w:rPr>
        <w:t>here was strong recruitment of Murray cod</w:t>
      </w:r>
      <w:r w:rsidR="00FE0BDF">
        <w:rPr>
          <w:szCs w:val="21"/>
        </w:rPr>
        <w:t xml:space="preserve"> with a high abundance of YOY (age 0+) detected</w:t>
      </w:r>
      <w:r w:rsidR="00343883">
        <w:rPr>
          <w:szCs w:val="21"/>
        </w:rPr>
        <w:t xml:space="preserve">, continuing a </w:t>
      </w:r>
      <w:r w:rsidR="00343883" w:rsidRPr="00343883">
        <w:rPr>
          <w:szCs w:val="21"/>
        </w:rPr>
        <w:t>trend of successful recruitment observed in recent years</w:t>
      </w:r>
      <w:r w:rsidR="00FE0BDF">
        <w:rPr>
          <w:szCs w:val="21"/>
        </w:rPr>
        <w:t xml:space="preserve">. </w:t>
      </w:r>
      <w:r>
        <w:rPr>
          <w:szCs w:val="21"/>
        </w:rPr>
        <w:t>The mechanisms that influence the recruitment success need further investigation and are currently being explored via the Selected Area research</w:t>
      </w:r>
      <w:r w:rsidRPr="00D33E03">
        <w:rPr>
          <w:szCs w:val="21"/>
        </w:rPr>
        <w:t>.</w:t>
      </w:r>
    </w:p>
    <w:p w14:paraId="07A4206C" w14:textId="3C9144DE" w:rsidR="00040DA3" w:rsidRDefault="00040DA3" w:rsidP="00040DA3">
      <w:pPr>
        <w:rPr>
          <w:szCs w:val="21"/>
          <w:lang w:eastAsia="en-AU"/>
        </w:rPr>
      </w:pPr>
      <w:bookmarkStart w:id="347" w:name="_Hlk64632810"/>
      <w:r>
        <w:rPr>
          <w:szCs w:val="21"/>
          <w:lang w:eastAsia="en-AU"/>
        </w:rPr>
        <w:t>Environmental flows, i</w:t>
      </w:r>
      <w:r w:rsidRPr="0040018A">
        <w:rPr>
          <w:szCs w:val="21"/>
          <w:lang w:eastAsia="en-AU"/>
        </w:rPr>
        <w:t xml:space="preserve">n combination with weir pool raisings, </w:t>
      </w:r>
      <w:r>
        <w:rPr>
          <w:szCs w:val="21"/>
          <w:lang w:eastAsia="en-AU"/>
        </w:rPr>
        <w:t xml:space="preserve">also </w:t>
      </w:r>
      <w:r w:rsidRPr="00A72F89">
        <w:rPr>
          <w:szCs w:val="21"/>
          <w:lang w:eastAsia="en-AU"/>
        </w:rPr>
        <w:t>increased water level variability (IQR) by 0.13 m in the tailwaters across Weir Pools 1–5.</w:t>
      </w:r>
      <w:r w:rsidRPr="00A72F89">
        <w:rPr>
          <w:szCs w:val="21"/>
        </w:rPr>
        <w:t xml:space="preserve"> Periodic increases in water levels could improve the condition of littoral vegetation (Gehrig </w:t>
      </w:r>
      <w:r w:rsidRPr="00F426B8">
        <w:rPr>
          <w:i/>
          <w:iCs/>
          <w:szCs w:val="21"/>
        </w:rPr>
        <w:t>et al.</w:t>
      </w:r>
      <w:r w:rsidRPr="00A72F89">
        <w:rPr>
          <w:szCs w:val="21"/>
        </w:rPr>
        <w:t xml:space="preserve"> 2016) and increase biofilm diversity (Steinman and McIntire 1990), which is a key component of riverine food webs.</w:t>
      </w:r>
      <w:r>
        <w:rPr>
          <w:szCs w:val="21"/>
        </w:rPr>
        <w:t xml:space="preserve"> Vegetation monitoring in December 2019 demonstrated </w:t>
      </w:r>
      <w:r w:rsidRPr="00A72F89">
        <w:rPr>
          <w:szCs w:val="21"/>
          <w:lang w:eastAsia="en-AU"/>
        </w:rPr>
        <w:t xml:space="preserve">increased </w:t>
      </w:r>
      <w:r>
        <w:rPr>
          <w:szCs w:val="21"/>
          <w:lang w:eastAsia="en-AU"/>
        </w:rPr>
        <w:t xml:space="preserve">native </w:t>
      </w:r>
      <w:r w:rsidRPr="00A72F89">
        <w:rPr>
          <w:szCs w:val="21"/>
          <w:lang w:eastAsia="en-AU"/>
        </w:rPr>
        <w:t xml:space="preserve">plant species diversity at multiple spatial scales </w:t>
      </w:r>
      <w:r>
        <w:rPr>
          <w:szCs w:val="21"/>
          <w:lang w:eastAsia="en-AU"/>
        </w:rPr>
        <w:t>following the inundation of littoral zones by spring flows in the LMR, supported by environmental water</w:t>
      </w:r>
      <w:r w:rsidRPr="00A72F89">
        <w:rPr>
          <w:szCs w:val="21"/>
          <w:lang w:eastAsia="en-AU"/>
        </w:rPr>
        <w:t xml:space="preserve">. </w:t>
      </w:r>
      <w:r w:rsidR="002742FB">
        <w:t xml:space="preserve">Furthermore, river red gum germination was observed exclusively in inundated areas of the floodplain geomorphic zone. </w:t>
      </w:r>
      <w:r w:rsidR="002742FB">
        <w:rPr>
          <w:szCs w:val="21"/>
          <w:lang w:eastAsia="en-AU"/>
        </w:rPr>
        <w:t xml:space="preserve">In addition, </w:t>
      </w:r>
      <w:r>
        <w:rPr>
          <w:szCs w:val="21"/>
          <w:lang w:eastAsia="en-AU"/>
        </w:rPr>
        <w:t xml:space="preserve">the spring flow pulse </w:t>
      </w:r>
      <w:r w:rsidRPr="008F38CE">
        <w:rPr>
          <w:szCs w:val="21"/>
          <w:lang w:eastAsia="en-AU"/>
        </w:rPr>
        <w:t xml:space="preserve">produced conditions suitable for the recruitment of specialised riparian species </w:t>
      </w:r>
      <w:r w:rsidR="002742FB">
        <w:rPr>
          <w:szCs w:val="21"/>
          <w:lang w:eastAsia="en-AU"/>
        </w:rPr>
        <w:t xml:space="preserve">(e.g. </w:t>
      </w:r>
      <w:r w:rsidR="002742FB" w:rsidRPr="002742FB">
        <w:rPr>
          <w:szCs w:val="21"/>
          <w:lang w:eastAsia="en-AU"/>
        </w:rPr>
        <w:t xml:space="preserve">Australian mudwort, lesser </w:t>
      </w:r>
      <w:proofErr w:type="spellStart"/>
      <w:r w:rsidR="002742FB" w:rsidRPr="002742FB">
        <w:rPr>
          <w:szCs w:val="21"/>
          <w:lang w:eastAsia="en-AU"/>
        </w:rPr>
        <w:t>joyweed</w:t>
      </w:r>
      <w:proofErr w:type="spellEnd"/>
      <w:r w:rsidR="002742FB" w:rsidRPr="002742FB">
        <w:rPr>
          <w:szCs w:val="21"/>
          <w:lang w:eastAsia="en-AU"/>
        </w:rPr>
        <w:t>, spreading nut-heads</w:t>
      </w:r>
      <w:r w:rsidR="002742FB">
        <w:rPr>
          <w:szCs w:val="21"/>
          <w:lang w:eastAsia="en-AU"/>
        </w:rPr>
        <w:t xml:space="preserve">) </w:t>
      </w:r>
      <w:r w:rsidRPr="008F38CE">
        <w:rPr>
          <w:szCs w:val="21"/>
          <w:lang w:eastAsia="en-AU"/>
        </w:rPr>
        <w:t xml:space="preserve">that are adapted to fluctuating water levels, </w:t>
      </w:r>
      <w:r>
        <w:rPr>
          <w:szCs w:val="21"/>
          <w:lang w:eastAsia="en-AU"/>
        </w:rPr>
        <w:t xml:space="preserve">therefore </w:t>
      </w:r>
      <w:r w:rsidRPr="008F38CE">
        <w:rPr>
          <w:szCs w:val="21"/>
          <w:lang w:eastAsia="en-AU"/>
        </w:rPr>
        <w:t>increasing plant functional diversity.</w:t>
      </w:r>
    </w:p>
    <w:bookmarkEnd w:id="347"/>
    <w:p w14:paraId="3E7C90A6" w14:textId="0BF2DE5D" w:rsidR="00040DA3" w:rsidRDefault="00040DA3" w:rsidP="00040DA3">
      <w:pPr>
        <w:rPr>
          <w:szCs w:val="21"/>
        </w:rPr>
      </w:pPr>
      <w:r>
        <w:rPr>
          <w:szCs w:val="21"/>
        </w:rPr>
        <w:t xml:space="preserve">Increased flows supported by environmental water promoted water mixing </w:t>
      </w:r>
      <w:r w:rsidRPr="002D1BE9">
        <w:rPr>
          <w:szCs w:val="21"/>
        </w:rPr>
        <w:t>(velocities &gt;~0.2 m/s) and oxygen exchange at the surface</w:t>
      </w:r>
      <w:r>
        <w:rPr>
          <w:szCs w:val="21"/>
        </w:rPr>
        <w:t xml:space="preserve">, which </w:t>
      </w:r>
      <w:r w:rsidRPr="002D1BE9">
        <w:rPr>
          <w:szCs w:val="21"/>
        </w:rPr>
        <w:t>made a significant contribution to reducing the risk of low dissolved oxygen (DO) in t</w:t>
      </w:r>
      <w:r>
        <w:rPr>
          <w:szCs w:val="21"/>
        </w:rPr>
        <w:t xml:space="preserve">he </w:t>
      </w:r>
      <w:r w:rsidRPr="002D1BE9">
        <w:rPr>
          <w:szCs w:val="21"/>
        </w:rPr>
        <w:t>LMR</w:t>
      </w:r>
      <w:r>
        <w:rPr>
          <w:szCs w:val="21"/>
        </w:rPr>
        <w:t>.</w:t>
      </w:r>
      <w:r w:rsidRPr="002D1BE9">
        <w:rPr>
          <w:szCs w:val="21"/>
        </w:rPr>
        <w:t xml:space="preserve"> </w:t>
      </w:r>
      <w:r>
        <w:rPr>
          <w:szCs w:val="21"/>
        </w:rPr>
        <w:t>T</w:t>
      </w:r>
      <w:r w:rsidRPr="002D1BE9">
        <w:rPr>
          <w:szCs w:val="21"/>
        </w:rPr>
        <w:t xml:space="preserve">he potential low oxygen period </w:t>
      </w:r>
      <w:r>
        <w:rPr>
          <w:szCs w:val="21"/>
        </w:rPr>
        <w:t xml:space="preserve">in the main channel </w:t>
      </w:r>
      <w:r w:rsidRPr="002D1BE9">
        <w:rPr>
          <w:szCs w:val="21"/>
        </w:rPr>
        <w:t xml:space="preserve">was reduced </w:t>
      </w:r>
      <w:r w:rsidR="00777037" w:rsidRPr="002D1BE9">
        <w:rPr>
          <w:szCs w:val="21"/>
        </w:rPr>
        <w:t xml:space="preserve">for </w:t>
      </w:r>
      <w:r w:rsidR="00777037">
        <w:rPr>
          <w:szCs w:val="21"/>
        </w:rPr>
        <w:t>30 days by Commonwealth environmental water, and 40 days by all environmental water during 2019-20</w:t>
      </w:r>
      <w:r w:rsidR="00BA2A29">
        <w:rPr>
          <w:szCs w:val="21"/>
        </w:rPr>
        <w:t>, primarily associated with the spring flow pulse</w:t>
      </w:r>
      <w:r w:rsidR="00777037">
        <w:rPr>
          <w:szCs w:val="21"/>
        </w:rPr>
        <w:t xml:space="preserve">. </w:t>
      </w:r>
      <w:r w:rsidR="00BA2A29">
        <w:rPr>
          <w:szCs w:val="21"/>
        </w:rPr>
        <w:t xml:space="preserve">Maintaining DO </w:t>
      </w:r>
      <w:r>
        <w:rPr>
          <w:szCs w:val="21"/>
        </w:rPr>
        <w:t xml:space="preserve">is </w:t>
      </w:r>
      <w:r w:rsidRPr="002D1BE9">
        <w:rPr>
          <w:szCs w:val="21"/>
        </w:rPr>
        <w:t xml:space="preserve">particularly </w:t>
      </w:r>
      <w:r>
        <w:rPr>
          <w:szCs w:val="21"/>
        </w:rPr>
        <w:t xml:space="preserve">important </w:t>
      </w:r>
      <w:r w:rsidRPr="002D1BE9">
        <w:rPr>
          <w:szCs w:val="21"/>
        </w:rPr>
        <w:t>during</w:t>
      </w:r>
      <w:r>
        <w:rPr>
          <w:szCs w:val="21"/>
        </w:rPr>
        <w:t xml:space="preserve"> </w:t>
      </w:r>
      <w:r w:rsidRPr="002D1BE9">
        <w:rPr>
          <w:szCs w:val="21"/>
        </w:rPr>
        <w:t>spring</w:t>
      </w:r>
      <w:r w:rsidRPr="00C37588">
        <w:rPr>
          <w:szCs w:val="21"/>
          <w:lang w:eastAsia="en-AU"/>
        </w:rPr>
        <w:t>–</w:t>
      </w:r>
      <w:r w:rsidRPr="002D1BE9">
        <w:rPr>
          <w:szCs w:val="21"/>
        </w:rPr>
        <w:t xml:space="preserve">summer </w:t>
      </w:r>
      <w:r>
        <w:rPr>
          <w:szCs w:val="21"/>
        </w:rPr>
        <w:t xml:space="preserve">as this period </w:t>
      </w:r>
      <w:r w:rsidRPr="002D1BE9">
        <w:rPr>
          <w:szCs w:val="21"/>
        </w:rPr>
        <w:t>correspond</w:t>
      </w:r>
      <w:r>
        <w:rPr>
          <w:szCs w:val="21"/>
        </w:rPr>
        <w:t>s</w:t>
      </w:r>
      <w:r w:rsidRPr="002D1BE9">
        <w:rPr>
          <w:szCs w:val="21"/>
        </w:rPr>
        <w:t xml:space="preserve"> with high ecosystem respirations rates and is the primary reproductive season of many species that generally favour DO &gt;5 mg/L. The consequences of low </w:t>
      </w:r>
      <w:r>
        <w:rPr>
          <w:szCs w:val="21"/>
        </w:rPr>
        <w:t>DO</w:t>
      </w:r>
      <w:r w:rsidRPr="002D1BE9">
        <w:rPr>
          <w:szCs w:val="21"/>
        </w:rPr>
        <w:t xml:space="preserve"> on survival of aquatic biota are evident </w:t>
      </w:r>
      <w:r>
        <w:rPr>
          <w:szCs w:val="21"/>
        </w:rPr>
        <w:t>by extensive fish kills during the 2016-17 hypoxic black water event in the Murray River, and more recent fish kills in the Darling River</w:t>
      </w:r>
      <w:r w:rsidR="005B40A3">
        <w:rPr>
          <w:szCs w:val="21"/>
        </w:rPr>
        <w:t xml:space="preserve"> during 2018–2020</w:t>
      </w:r>
      <w:r>
        <w:rPr>
          <w:szCs w:val="21"/>
        </w:rPr>
        <w:t>.</w:t>
      </w:r>
    </w:p>
    <w:p w14:paraId="4BC5F9BC" w14:textId="5DEC7019" w:rsidR="00040DA3" w:rsidRDefault="00040DA3" w:rsidP="00040DA3">
      <w:pPr>
        <w:rPr>
          <w:szCs w:val="21"/>
          <w:lang w:eastAsia="en-AU"/>
        </w:rPr>
      </w:pPr>
      <w:r>
        <w:rPr>
          <w:szCs w:val="21"/>
          <w:lang w:eastAsia="en-AU"/>
        </w:rPr>
        <w:t>In 2019-20, e</w:t>
      </w:r>
      <w:r w:rsidRPr="00023A3C">
        <w:rPr>
          <w:szCs w:val="21"/>
          <w:lang w:eastAsia="en-AU"/>
        </w:rPr>
        <w:t xml:space="preserve">nvironmental flows </w:t>
      </w:r>
      <w:r>
        <w:rPr>
          <w:szCs w:val="21"/>
          <w:lang w:eastAsia="en-AU"/>
        </w:rPr>
        <w:t xml:space="preserve">moderately increased </w:t>
      </w:r>
      <w:r w:rsidRPr="00023A3C">
        <w:rPr>
          <w:szCs w:val="21"/>
          <w:lang w:eastAsia="en-AU"/>
        </w:rPr>
        <w:t>nutrient transport and export</w:t>
      </w:r>
      <w:r>
        <w:rPr>
          <w:szCs w:val="21"/>
          <w:lang w:eastAsia="en-AU"/>
        </w:rPr>
        <w:t xml:space="preserve">, which may have </w:t>
      </w:r>
      <w:r w:rsidRPr="00023A3C">
        <w:rPr>
          <w:szCs w:val="21"/>
          <w:lang w:eastAsia="en-AU"/>
        </w:rPr>
        <w:t xml:space="preserve">stimulated primary and secondary </w:t>
      </w:r>
      <w:r w:rsidRPr="00226FE6">
        <w:rPr>
          <w:szCs w:val="21"/>
          <w:lang w:eastAsia="en-AU"/>
        </w:rPr>
        <w:t>productivity in downstream ecosystems, potentially benefiting food webs of t</w:t>
      </w:r>
      <w:r>
        <w:rPr>
          <w:szCs w:val="21"/>
          <w:lang w:eastAsia="en-AU"/>
        </w:rPr>
        <w:t xml:space="preserve">he LMR. </w:t>
      </w:r>
      <w:r w:rsidR="00777037">
        <w:rPr>
          <w:szCs w:val="21"/>
          <w:lang w:eastAsia="en-AU"/>
        </w:rPr>
        <w:t xml:space="preserve">However, the estimated increase in primary production by </w:t>
      </w:r>
      <w:r w:rsidR="00777037" w:rsidRPr="00226FE6">
        <w:rPr>
          <w:szCs w:val="21"/>
          <w:lang w:eastAsia="en-AU"/>
        </w:rPr>
        <w:t>environmental water</w:t>
      </w:r>
      <w:r w:rsidR="00777037" w:rsidRPr="004B32BC">
        <w:rPr>
          <w:szCs w:val="21"/>
          <w:lang w:eastAsia="en-AU"/>
        </w:rPr>
        <w:t xml:space="preserve"> </w:t>
      </w:r>
      <w:r w:rsidR="00777037">
        <w:rPr>
          <w:szCs w:val="21"/>
          <w:lang w:eastAsia="en-AU"/>
        </w:rPr>
        <w:t>was only 1%</w:t>
      </w:r>
      <w:r w:rsidR="00777037" w:rsidRPr="00226FE6">
        <w:rPr>
          <w:szCs w:val="21"/>
          <w:lang w:eastAsia="en-AU"/>
        </w:rPr>
        <w:t xml:space="preserve">, </w:t>
      </w:r>
      <w:r w:rsidRPr="00226FE6">
        <w:rPr>
          <w:szCs w:val="21"/>
          <w:lang w:eastAsia="en-AU"/>
        </w:rPr>
        <w:t xml:space="preserve">thus </w:t>
      </w:r>
      <w:r>
        <w:rPr>
          <w:szCs w:val="21"/>
          <w:lang w:eastAsia="en-AU"/>
        </w:rPr>
        <w:t>showing</w:t>
      </w:r>
      <w:r w:rsidRPr="00226FE6">
        <w:rPr>
          <w:szCs w:val="21"/>
          <w:lang w:eastAsia="en-AU"/>
        </w:rPr>
        <w:t xml:space="preserve"> negligible effect on carrying capacity </w:t>
      </w:r>
      <w:r>
        <w:rPr>
          <w:szCs w:val="21"/>
          <w:lang w:eastAsia="en-AU"/>
        </w:rPr>
        <w:t xml:space="preserve">in </w:t>
      </w:r>
      <w:r w:rsidRPr="00226FE6">
        <w:rPr>
          <w:szCs w:val="21"/>
          <w:lang w:eastAsia="en-AU"/>
        </w:rPr>
        <w:t xml:space="preserve">the LMR. </w:t>
      </w:r>
      <w:r w:rsidR="00936F70">
        <w:rPr>
          <w:szCs w:val="21"/>
          <w:lang w:eastAsia="en-AU"/>
        </w:rPr>
        <w:t xml:space="preserve">Such findings have been consistent </w:t>
      </w:r>
      <w:r w:rsidR="0087168A">
        <w:rPr>
          <w:szCs w:val="21"/>
          <w:lang w:eastAsia="en-AU"/>
        </w:rPr>
        <w:t>over</w:t>
      </w:r>
      <w:r w:rsidR="00936F70">
        <w:rPr>
          <w:szCs w:val="21"/>
          <w:lang w:eastAsia="en-AU"/>
        </w:rPr>
        <w:t xml:space="preserve"> </w:t>
      </w:r>
      <w:r w:rsidR="00D022D1">
        <w:rPr>
          <w:szCs w:val="21"/>
          <w:lang w:eastAsia="en-AU"/>
        </w:rPr>
        <w:t>the last six years</w:t>
      </w:r>
      <w:r w:rsidR="00936F70">
        <w:rPr>
          <w:szCs w:val="21"/>
          <w:lang w:eastAsia="en-AU"/>
        </w:rPr>
        <w:t xml:space="preserve">. </w:t>
      </w:r>
      <w:r>
        <w:rPr>
          <w:szCs w:val="21"/>
          <w:lang w:eastAsia="en-AU"/>
        </w:rPr>
        <w:t xml:space="preserve">In the heavily regulated </w:t>
      </w:r>
      <w:r w:rsidR="00777037">
        <w:rPr>
          <w:szCs w:val="21"/>
          <w:lang w:eastAsia="en-AU"/>
        </w:rPr>
        <w:t>LMR, t</w:t>
      </w:r>
      <w:r w:rsidR="00777037" w:rsidRPr="00226FE6">
        <w:rPr>
          <w:szCs w:val="21"/>
          <w:lang w:eastAsia="en-AU"/>
        </w:rPr>
        <w:t xml:space="preserve">he </w:t>
      </w:r>
      <w:r w:rsidR="00777037">
        <w:rPr>
          <w:szCs w:val="21"/>
          <w:lang w:eastAsia="en-AU"/>
        </w:rPr>
        <w:t xml:space="preserve">influence of environmental water delivery on </w:t>
      </w:r>
      <w:r w:rsidR="00777037" w:rsidRPr="00226FE6">
        <w:rPr>
          <w:szCs w:val="21"/>
          <w:lang w:eastAsia="en-AU"/>
        </w:rPr>
        <w:t xml:space="preserve">riverine production may be </w:t>
      </w:r>
      <w:r w:rsidR="00777037">
        <w:rPr>
          <w:szCs w:val="21"/>
          <w:lang w:eastAsia="en-AU"/>
        </w:rPr>
        <w:t>restrict</w:t>
      </w:r>
      <w:r w:rsidR="00777037" w:rsidRPr="00226FE6">
        <w:rPr>
          <w:szCs w:val="21"/>
          <w:lang w:eastAsia="en-AU"/>
        </w:rPr>
        <w:t xml:space="preserve">ed by </w:t>
      </w:r>
      <w:r w:rsidR="00777037">
        <w:rPr>
          <w:szCs w:val="21"/>
          <w:lang w:eastAsia="en-AU"/>
        </w:rPr>
        <w:t>the stable</w:t>
      </w:r>
      <w:r w:rsidR="00777037" w:rsidRPr="00226FE6">
        <w:rPr>
          <w:szCs w:val="21"/>
          <w:lang w:eastAsia="en-AU"/>
        </w:rPr>
        <w:t xml:space="preserve"> water levels </w:t>
      </w:r>
      <w:r w:rsidR="00777037">
        <w:rPr>
          <w:szCs w:val="21"/>
          <w:lang w:eastAsia="en-AU"/>
        </w:rPr>
        <w:t xml:space="preserve">that characterise </w:t>
      </w:r>
      <w:r w:rsidR="00777037" w:rsidRPr="00226FE6">
        <w:rPr>
          <w:szCs w:val="21"/>
          <w:lang w:eastAsia="en-AU"/>
        </w:rPr>
        <w:t>weir</w:t>
      </w:r>
      <w:r w:rsidR="00F16DAD">
        <w:rPr>
          <w:szCs w:val="21"/>
          <w:lang w:eastAsia="en-AU"/>
        </w:rPr>
        <w:t xml:space="preserve"> </w:t>
      </w:r>
      <w:r w:rsidR="00777037">
        <w:rPr>
          <w:szCs w:val="21"/>
          <w:lang w:eastAsia="en-AU"/>
        </w:rPr>
        <w:t>pool environments during in-channel flows</w:t>
      </w:r>
      <w:r w:rsidR="00F32C1A">
        <w:rPr>
          <w:szCs w:val="21"/>
          <w:lang w:eastAsia="en-AU"/>
        </w:rPr>
        <w:t xml:space="preserve">, However, </w:t>
      </w:r>
      <w:r w:rsidR="00F32C1A" w:rsidRPr="00F32C1A">
        <w:rPr>
          <w:szCs w:val="21"/>
          <w:lang w:eastAsia="en-AU"/>
        </w:rPr>
        <w:t xml:space="preserve">in </w:t>
      </w:r>
      <w:r w:rsidR="00F16DAD">
        <w:rPr>
          <w:szCs w:val="21"/>
          <w:lang w:eastAsia="en-AU"/>
        </w:rPr>
        <w:t>‘</w:t>
      </w:r>
      <w:r w:rsidR="00F32C1A" w:rsidRPr="00F32C1A">
        <w:rPr>
          <w:szCs w:val="21"/>
          <w:lang w:eastAsia="en-AU"/>
        </w:rPr>
        <w:t>unregulated</w:t>
      </w:r>
      <w:r w:rsidR="00F16DAD">
        <w:rPr>
          <w:szCs w:val="21"/>
          <w:lang w:eastAsia="en-AU"/>
        </w:rPr>
        <w:t>’</w:t>
      </w:r>
      <w:r w:rsidR="00F32C1A" w:rsidRPr="00F32C1A">
        <w:rPr>
          <w:szCs w:val="21"/>
          <w:lang w:eastAsia="en-AU"/>
        </w:rPr>
        <w:t xml:space="preserve"> river reaches</w:t>
      </w:r>
      <w:r w:rsidR="0087168A">
        <w:rPr>
          <w:szCs w:val="21"/>
          <w:lang w:eastAsia="en-AU"/>
        </w:rPr>
        <w:t xml:space="preserve"> of the Murray River</w:t>
      </w:r>
      <w:r w:rsidR="004239CC">
        <w:rPr>
          <w:szCs w:val="21"/>
          <w:lang w:eastAsia="en-AU"/>
        </w:rPr>
        <w:t xml:space="preserve"> (e.g. adjacent to </w:t>
      </w:r>
      <w:r w:rsidR="009A1047">
        <w:rPr>
          <w:szCs w:val="21"/>
          <w:lang w:eastAsia="en-AU"/>
        </w:rPr>
        <w:t xml:space="preserve">the </w:t>
      </w:r>
      <w:r w:rsidR="004239CC">
        <w:rPr>
          <w:szCs w:val="21"/>
          <w:lang w:eastAsia="en-AU"/>
        </w:rPr>
        <w:t>Hattah Lakes)</w:t>
      </w:r>
      <w:r w:rsidR="00F32C1A" w:rsidRPr="00F32C1A">
        <w:rPr>
          <w:szCs w:val="21"/>
          <w:lang w:eastAsia="en-AU"/>
        </w:rPr>
        <w:t xml:space="preserve">, </w:t>
      </w:r>
      <w:r w:rsidR="00F32C1A">
        <w:rPr>
          <w:szCs w:val="21"/>
          <w:lang w:eastAsia="en-AU"/>
        </w:rPr>
        <w:t xml:space="preserve">environmental water could lead to substantial increases in riverine production </w:t>
      </w:r>
      <w:r w:rsidR="004239CC">
        <w:rPr>
          <w:szCs w:val="21"/>
          <w:lang w:eastAsia="en-AU"/>
        </w:rPr>
        <w:t>(e.g. 31%</w:t>
      </w:r>
      <w:r w:rsidR="00F32C1A">
        <w:rPr>
          <w:szCs w:val="21"/>
          <w:lang w:eastAsia="en-AU"/>
        </w:rPr>
        <w:t xml:space="preserve"> </w:t>
      </w:r>
      <w:r w:rsidR="004239CC">
        <w:rPr>
          <w:szCs w:val="21"/>
          <w:lang w:eastAsia="en-AU"/>
        </w:rPr>
        <w:t>in cross-sectional GPP, during 2017-18)</w:t>
      </w:r>
      <w:r w:rsidR="00C6227C">
        <w:rPr>
          <w:szCs w:val="21"/>
          <w:lang w:eastAsia="en-AU"/>
        </w:rPr>
        <w:t xml:space="preserve"> (Ye </w:t>
      </w:r>
      <w:r w:rsidR="00C6227C" w:rsidRPr="00C6227C">
        <w:rPr>
          <w:i/>
          <w:iCs/>
          <w:szCs w:val="21"/>
          <w:lang w:eastAsia="en-AU"/>
        </w:rPr>
        <w:t>et al.</w:t>
      </w:r>
      <w:r w:rsidR="00C6227C">
        <w:rPr>
          <w:szCs w:val="21"/>
          <w:lang w:eastAsia="en-AU"/>
        </w:rPr>
        <w:t xml:space="preserve"> 2020)</w:t>
      </w:r>
      <w:r w:rsidR="00800CA3">
        <w:rPr>
          <w:szCs w:val="21"/>
          <w:lang w:eastAsia="en-AU"/>
        </w:rPr>
        <w:t xml:space="preserve">. </w:t>
      </w:r>
      <w:r w:rsidR="004239CC">
        <w:rPr>
          <w:szCs w:val="21"/>
          <w:lang w:eastAsia="en-AU"/>
        </w:rPr>
        <w:t xml:space="preserve"> </w:t>
      </w:r>
    </w:p>
    <w:p w14:paraId="050A7B71" w14:textId="3691802E" w:rsidR="00040DA3" w:rsidRPr="00B05DB7" w:rsidRDefault="00040DA3" w:rsidP="00040DA3">
      <w:pPr>
        <w:rPr>
          <w:szCs w:val="21"/>
          <w:lang w:eastAsia="en-AU"/>
        </w:rPr>
      </w:pPr>
      <w:bookmarkStart w:id="348" w:name="_Hlk66718179"/>
      <w:r>
        <w:rPr>
          <w:szCs w:val="21"/>
          <w:lang w:eastAsia="en-AU"/>
        </w:rPr>
        <w:t>Despite negligible recorded increases in primary production</w:t>
      </w:r>
      <w:r w:rsidR="006A2FF5">
        <w:rPr>
          <w:szCs w:val="21"/>
          <w:lang w:eastAsia="en-AU"/>
        </w:rPr>
        <w:t xml:space="preserve"> in the main channel</w:t>
      </w:r>
      <w:r>
        <w:rPr>
          <w:szCs w:val="21"/>
          <w:lang w:eastAsia="en-AU"/>
        </w:rPr>
        <w:t xml:space="preserve"> due to environmental water </w:t>
      </w:r>
      <w:r w:rsidRPr="00836B88">
        <w:rPr>
          <w:szCs w:val="21"/>
          <w:lang w:eastAsia="en-AU"/>
        </w:rPr>
        <w:t xml:space="preserve">during spring–summer 2019-20, environmental flows were estimated (through modelling) to increase </w:t>
      </w:r>
      <w:proofErr w:type="spellStart"/>
      <w:r w:rsidRPr="00836B88">
        <w:rPr>
          <w:szCs w:val="21"/>
          <w:lang w:eastAsia="en-AU"/>
        </w:rPr>
        <w:t>microinvertebrate</w:t>
      </w:r>
      <w:proofErr w:type="spellEnd"/>
      <w:r w:rsidRPr="00836B88">
        <w:rPr>
          <w:szCs w:val="21"/>
          <w:lang w:eastAsia="en-AU"/>
        </w:rPr>
        <w:t xml:space="preserve"> abundance and diversity in the LMR by 23 and 11%, respectively. This included a considerable increase, specifically, in the density of taxa dependent upon lateral connectivity (30%) and those transported downstream via longitudinal connectivity (27%). </w:t>
      </w:r>
      <w:bookmarkStart w:id="349" w:name="_Hlk67609663"/>
      <w:r w:rsidR="00E129FC" w:rsidRPr="00E129FC">
        <w:rPr>
          <w:szCs w:val="21"/>
          <w:lang w:eastAsia="en-AU"/>
        </w:rPr>
        <w:t xml:space="preserve">The misalignment with primary production and </w:t>
      </w:r>
      <w:proofErr w:type="spellStart"/>
      <w:r w:rsidR="00E129FC" w:rsidRPr="00E129FC">
        <w:rPr>
          <w:szCs w:val="21"/>
          <w:lang w:eastAsia="en-AU"/>
        </w:rPr>
        <w:t>microinvertebrate</w:t>
      </w:r>
      <w:proofErr w:type="spellEnd"/>
      <w:r w:rsidR="00E129FC" w:rsidRPr="00E129FC">
        <w:rPr>
          <w:szCs w:val="21"/>
          <w:lang w:eastAsia="en-AU"/>
        </w:rPr>
        <w:t xml:space="preserve"> responses to environmental water may be due to a number of factors, including the contribution of an ‘external’ source of </w:t>
      </w:r>
      <w:proofErr w:type="spellStart"/>
      <w:r w:rsidR="00E129FC" w:rsidRPr="00E129FC">
        <w:rPr>
          <w:szCs w:val="21"/>
          <w:lang w:eastAsia="en-AU"/>
        </w:rPr>
        <w:t>microinvertebrates</w:t>
      </w:r>
      <w:proofErr w:type="spellEnd"/>
      <w:r w:rsidR="00E129FC" w:rsidRPr="00E129FC">
        <w:rPr>
          <w:szCs w:val="21"/>
          <w:lang w:eastAsia="en-AU"/>
        </w:rPr>
        <w:t xml:space="preserve">, which could be </w:t>
      </w:r>
      <w:proofErr w:type="gramStart"/>
      <w:r w:rsidR="00E129FC" w:rsidRPr="00E129FC">
        <w:rPr>
          <w:szCs w:val="21"/>
          <w:lang w:eastAsia="en-AU"/>
        </w:rPr>
        <w:t>newly-hatched</w:t>
      </w:r>
      <w:proofErr w:type="gramEnd"/>
      <w:r w:rsidR="00E129FC" w:rsidRPr="00E129FC">
        <w:rPr>
          <w:szCs w:val="21"/>
          <w:lang w:eastAsia="en-AU"/>
        </w:rPr>
        <w:t>, transported from adjacent or upstream off-channel habitats.</w:t>
      </w:r>
      <w:bookmarkEnd w:id="349"/>
      <w:r w:rsidR="00E129FC">
        <w:rPr>
          <w:szCs w:val="21"/>
          <w:lang w:eastAsia="en-AU"/>
        </w:rPr>
        <w:t xml:space="preserve"> </w:t>
      </w:r>
      <w:r w:rsidR="002F3CD9" w:rsidRPr="00836B88">
        <w:rPr>
          <w:szCs w:val="21"/>
          <w:lang w:eastAsia="en-AU"/>
        </w:rPr>
        <w:t>Lateral exchange from increased water levels</w:t>
      </w:r>
      <w:r w:rsidR="008C63E4">
        <w:rPr>
          <w:szCs w:val="21"/>
          <w:lang w:eastAsia="en-AU"/>
        </w:rPr>
        <w:t xml:space="preserve"> and variability</w:t>
      </w:r>
      <w:r w:rsidR="002F3CD9" w:rsidRPr="00836B88">
        <w:rPr>
          <w:szCs w:val="21"/>
          <w:lang w:eastAsia="en-AU"/>
        </w:rPr>
        <w:t xml:space="preserve"> and returned flows of environmental water from upstream sources (e.g. Goulburn River/Upper Murray) likely facilitated </w:t>
      </w:r>
      <w:r w:rsidR="00911137">
        <w:rPr>
          <w:szCs w:val="21"/>
          <w:lang w:eastAsia="en-AU"/>
        </w:rPr>
        <w:t xml:space="preserve">the transport and increased </w:t>
      </w:r>
      <w:proofErr w:type="spellStart"/>
      <w:r w:rsidR="002F3CD9" w:rsidRPr="00836B88">
        <w:rPr>
          <w:szCs w:val="21"/>
          <w:lang w:eastAsia="en-AU"/>
        </w:rPr>
        <w:t>microinvertebrate</w:t>
      </w:r>
      <w:proofErr w:type="spellEnd"/>
      <w:r w:rsidR="002F3CD9" w:rsidRPr="00836B88">
        <w:rPr>
          <w:szCs w:val="21"/>
          <w:lang w:eastAsia="en-AU"/>
        </w:rPr>
        <w:t xml:space="preserve"> </w:t>
      </w:r>
      <w:r w:rsidR="0087168A">
        <w:rPr>
          <w:szCs w:val="21"/>
          <w:lang w:eastAsia="en-AU"/>
        </w:rPr>
        <w:t xml:space="preserve">abundance and diversity </w:t>
      </w:r>
      <w:r w:rsidR="00911137">
        <w:rPr>
          <w:szCs w:val="21"/>
          <w:lang w:eastAsia="en-AU"/>
        </w:rPr>
        <w:t>in</w:t>
      </w:r>
      <w:r w:rsidR="002F3CD9" w:rsidRPr="00836B88">
        <w:rPr>
          <w:szCs w:val="21"/>
          <w:lang w:eastAsia="en-AU"/>
        </w:rPr>
        <w:t xml:space="preserve"> the main channel of LMR. </w:t>
      </w:r>
      <w:r w:rsidRPr="00836B88">
        <w:rPr>
          <w:szCs w:val="21"/>
          <w:lang w:eastAsia="en-AU"/>
        </w:rPr>
        <w:t>These contributed to a more diverse food source for larger animals (e.g. fish). It was estimated that the density of preferred prey species of large-bodied native fish larvae increased by 37% during spring 2019 due to environmental water delivery in the LMR. This may have contributed to the enhanced recruitment of Murray cod via increasing food resources during early life stages.</w:t>
      </w:r>
      <w:bookmarkEnd w:id="348"/>
      <w:r w:rsidRPr="00B05DB7">
        <w:rPr>
          <w:szCs w:val="21"/>
          <w:lang w:eastAsia="en-AU"/>
        </w:rPr>
        <w:t xml:space="preserve">    </w:t>
      </w:r>
    </w:p>
    <w:p w14:paraId="7428EC4B" w14:textId="5F2B9F56" w:rsidR="00C06C1F" w:rsidRPr="00B05DB7" w:rsidRDefault="00040DA3" w:rsidP="00040DA3">
      <w:pPr>
        <w:rPr>
          <w:szCs w:val="21"/>
          <w:lang w:eastAsia="en-AU"/>
        </w:rPr>
      </w:pPr>
      <w:r w:rsidRPr="00FE67C3">
        <w:rPr>
          <w:szCs w:val="21"/>
          <w:lang w:eastAsia="en-AU"/>
        </w:rPr>
        <w:t xml:space="preserve">During autumn 2019-20, no YOY golden perch were detected in the LMR, </w:t>
      </w:r>
      <w:r>
        <w:rPr>
          <w:szCs w:val="21"/>
          <w:lang w:eastAsia="en-AU"/>
        </w:rPr>
        <w:t>suggesting</w:t>
      </w:r>
      <w:r w:rsidRPr="00FE67C3">
        <w:rPr>
          <w:szCs w:val="21"/>
          <w:lang w:eastAsia="en-AU"/>
        </w:rPr>
        <w:t xml:space="preserve"> localised </w:t>
      </w:r>
      <w:r>
        <w:rPr>
          <w:szCs w:val="21"/>
          <w:lang w:eastAsia="en-AU"/>
        </w:rPr>
        <w:t>spawning/</w:t>
      </w:r>
      <w:r w:rsidRPr="00FE67C3">
        <w:rPr>
          <w:szCs w:val="21"/>
          <w:lang w:eastAsia="en-AU"/>
        </w:rPr>
        <w:t>recruitment failure and a lack of immigration from spatially distinct spawning sources such as the lower Darling and mid</w:t>
      </w:r>
      <w:r>
        <w:rPr>
          <w:szCs w:val="21"/>
          <w:lang w:eastAsia="en-AU"/>
        </w:rPr>
        <w:t>-</w:t>
      </w:r>
      <w:r w:rsidRPr="00FE67C3">
        <w:rPr>
          <w:szCs w:val="21"/>
          <w:lang w:eastAsia="en-AU"/>
        </w:rPr>
        <w:t xml:space="preserve">Murray rivers. With low in-channel flows (&lt;18,000 ML/d) </w:t>
      </w:r>
      <w:r>
        <w:rPr>
          <w:szCs w:val="21"/>
          <w:lang w:eastAsia="en-AU"/>
        </w:rPr>
        <w:t xml:space="preserve">prevailing </w:t>
      </w:r>
      <w:r w:rsidRPr="00FE67C3">
        <w:rPr>
          <w:szCs w:val="21"/>
          <w:lang w:eastAsia="en-AU"/>
        </w:rPr>
        <w:t xml:space="preserve">since </w:t>
      </w:r>
      <w:r>
        <w:rPr>
          <w:szCs w:val="21"/>
          <w:lang w:eastAsia="en-AU"/>
        </w:rPr>
        <w:t>the 2016-17 flood</w:t>
      </w:r>
      <w:r w:rsidRPr="00FE67C3">
        <w:rPr>
          <w:szCs w:val="21"/>
          <w:lang w:eastAsia="en-AU"/>
        </w:rPr>
        <w:t>, the current (2020) fish assemblage in the main channel of the LMR represents</w:t>
      </w:r>
      <w:r>
        <w:rPr>
          <w:szCs w:val="21"/>
          <w:lang w:eastAsia="en-AU"/>
        </w:rPr>
        <w:t xml:space="preserve"> </w:t>
      </w:r>
      <w:r w:rsidRPr="00FE67C3">
        <w:rPr>
          <w:szCs w:val="21"/>
          <w:lang w:eastAsia="en-AU"/>
        </w:rPr>
        <w:t>one typical of low flows, with high abundances of small-bodied species, and a lack of recruitment of native, large-bodied flow-cued spawners.</w:t>
      </w:r>
    </w:p>
    <w:p w14:paraId="60FDEF68" w14:textId="06463143" w:rsidR="00C06C1F" w:rsidRDefault="0091393E" w:rsidP="00C06C1F">
      <w:pPr>
        <w:rPr>
          <w:szCs w:val="21"/>
        </w:rPr>
      </w:pPr>
      <w:r>
        <w:rPr>
          <w:szCs w:val="21"/>
        </w:rPr>
        <w:t>Like</w:t>
      </w:r>
      <w:r w:rsidR="00B130A6">
        <w:rPr>
          <w:szCs w:val="21"/>
        </w:rPr>
        <w:t xml:space="preserve"> other dry years, i</w:t>
      </w:r>
      <w:r w:rsidR="004D0C10">
        <w:rPr>
          <w:szCs w:val="21"/>
        </w:rPr>
        <w:t>n</w:t>
      </w:r>
      <w:r w:rsidR="00C06C1F" w:rsidRPr="007D53DA">
        <w:rPr>
          <w:szCs w:val="21"/>
        </w:rPr>
        <w:t xml:space="preserve"> </w:t>
      </w:r>
      <w:r w:rsidR="00161A11">
        <w:rPr>
          <w:szCs w:val="21"/>
        </w:rPr>
        <w:t>2019-20</w:t>
      </w:r>
      <w:r w:rsidR="00C06C1F" w:rsidRPr="007D53DA">
        <w:rPr>
          <w:szCs w:val="21"/>
        </w:rPr>
        <w:t xml:space="preserve">, Commonwealth environmental water </w:t>
      </w:r>
      <w:r w:rsidR="00C06C1F">
        <w:rPr>
          <w:szCs w:val="21"/>
        </w:rPr>
        <w:t>supported</w:t>
      </w:r>
      <w:r w:rsidR="00C06C1F" w:rsidRPr="007D53DA">
        <w:rPr>
          <w:szCs w:val="21"/>
        </w:rPr>
        <w:t xml:space="preserve"> continuous barrage flows</w:t>
      </w:r>
      <w:r w:rsidR="00C06C1F">
        <w:rPr>
          <w:szCs w:val="21"/>
        </w:rPr>
        <w:t xml:space="preserve"> and maintained connectivity</w:t>
      </w:r>
      <w:r w:rsidR="00C06C1F" w:rsidRPr="007D53DA">
        <w:rPr>
          <w:szCs w:val="21"/>
        </w:rPr>
        <w:t xml:space="preserve"> throughout the entire year. </w:t>
      </w:r>
      <w:r w:rsidR="00C06C1F">
        <w:rPr>
          <w:szCs w:val="21"/>
        </w:rPr>
        <w:t>The end-of-system flow increased salt export (estimated ~624</w:t>
      </w:r>
      <w:r w:rsidR="00BA7331">
        <w:rPr>
          <w:szCs w:val="21"/>
        </w:rPr>
        <w:t>,000</w:t>
      </w:r>
      <w:r w:rsidR="00C06C1F">
        <w:rPr>
          <w:szCs w:val="21"/>
        </w:rPr>
        <w:t xml:space="preserve"> tonnes) out of the Basin and reduced salt import (estimated ~</w:t>
      </w:r>
      <w:r w:rsidR="00C06C1F" w:rsidRPr="00AF366A">
        <w:rPr>
          <w:szCs w:val="21"/>
        </w:rPr>
        <w:t>2 million tonnes</w:t>
      </w:r>
      <w:r w:rsidR="00C06C1F">
        <w:rPr>
          <w:szCs w:val="21"/>
        </w:rPr>
        <w:t xml:space="preserve">) into the Coorong. </w:t>
      </w:r>
      <w:bookmarkStart w:id="350" w:name="_Hlk66713749"/>
      <w:r w:rsidR="00C06C1F">
        <w:rPr>
          <w:szCs w:val="21"/>
        </w:rPr>
        <w:t xml:space="preserve">Subsequently, reduced </w:t>
      </w:r>
      <w:r w:rsidR="00C06C1F" w:rsidRPr="007D53DA">
        <w:rPr>
          <w:szCs w:val="21"/>
        </w:rPr>
        <w:t xml:space="preserve">salinity levels in the Coorong </w:t>
      </w:r>
      <w:r w:rsidR="00C06C1F">
        <w:rPr>
          <w:szCs w:val="21"/>
        </w:rPr>
        <w:t xml:space="preserve">increased favourable </w:t>
      </w:r>
      <w:r w:rsidR="00762ED8">
        <w:rPr>
          <w:szCs w:val="21"/>
        </w:rPr>
        <w:t xml:space="preserve">fish </w:t>
      </w:r>
      <w:r w:rsidR="00C06C1F">
        <w:rPr>
          <w:szCs w:val="21"/>
        </w:rPr>
        <w:t xml:space="preserve">habitat for </w:t>
      </w:r>
      <w:r w:rsidR="00C06C1F" w:rsidRPr="007D53DA">
        <w:rPr>
          <w:szCs w:val="21"/>
        </w:rPr>
        <w:t>estuarine</w:t>
      </w:r>
      <w:r w:rsidR="00762ED8">
        <w:rPr>
          <w:szCs w:val="21"/>
        </w:rPr>
        <w:t xml:space="preserve"> </w:t>
      </w:r>
      <w:r w:rsidR="00C06C1F" w:rsidRPr="007D53DA">
        <w:rPr>
          <w:szCs w:val="21"/>
        </w:rPr>
        <w:t>species</w:t>
      </w:r>
      <w:r w:rsidR="00C06C1F">
        <w:rPr>
          <w:szCs w:val="21"/>
        </w:rPr>
        <w:t xml:space="preserve">. This is best exemplified by </w:t>
      </w:r>
      <w:r w:rsidR="00590540">
        <w:rPr>
          <w:szCs w:val="21"/>
        </w:rPr>
        <w:t xml:space="preserve">a modelled </w:t>
      </w:r>
      <w:r w:rsidR="00C06C1F">
        <w:rPr>
          <w:szCs w:val="21"/>
        </w:rPr>
        <w:t xml:space="preserve">40% increase </w:t>
      </w:r>
      <w:proofErr w:type="gramStart"/>
      <w:r w:rsidR="00C06C1F">
        <w:rPr>
          <w:szCs w:val="21"/>
        </w:rPr>
        <w:t xml:space="preserve">in the </w:t>
      </w:r>
      <w:r w:rsidR="00762ED8">
        <w:rPr>
          <w:szCs w:val="21"/>
        </w:rPr>
        <w:t>area of</w:t>
      </w:r>
      <w:proofErr w:type="gramEnd"/>
      <w:r w:rsidR="00762ED8">
        <w:rPr>
          <w:szCs w:val="21"/>
        </w:rPr>
        <w:t xml:space="preserve"> </w:t>
      </w:r>
      <w:r w:rsidR="00C06C1F">
        <w:rPr>
          <w:szCs w:val="21"/>
        </w:rPr>
        <w:t>suitable habitat for mulloway in 2019-20 due to environmental water delive</w:t>
      </w:r>
      <w:r w:rsidR="00762ED8">
        <w:rPr>
          <w:szCs w:val="21"/>
        </w:rPr>
        <w:t>ry</w:t>
      </w:r>
      <w:r w:rsidR="00C06C1F">
        <w:rPr>
          <w:szCs w:val="21"/>
        </w:rPr>
        <w:t xml:space="preserve"> to this region from 2017-18 to 2019-20. Over the three years, environmental flows also led to some improvements in habitat suitability for </w:t>
      </w:r>
      <w:proofErr w:type="spellStart"/>
      <w:r w:rsidR="00C06C1F" w:rsidRPr="00361C5A">
        <w:rPr>
          <w:i/>
          <w:iCs/>
          <w:szCs w:val="21"/>
        </w:rPr>
        <w:t>Ruppia</w:t>
      </w:r>
      <w:proofErr w:type="spellEnd"/>
      <w:r w:rsidR="00C06C1F">
        <w:rPr>
          <w:szCs w:val="21"/>
        </w:rPr>
        <w:t xml:space="preserve"> seed production and life-cycle completion in the southern Coorong. </w:t>
      </w:r>
    </w:p>
    <w:bookmarkEnd w:id="350"/>
    <w:p w14:paraId="6789E646" w14:textId="5672F215" w:rsidR="00C06C1F" w:rsidRDefault="00C06C1F">
      <w:pPr>
        <w:spacing w:before="0" w:after="160" w:line="259" w:lineRule="auto"/>
        <w:jc w:val="left"/>
        <w:sectPr w:rsidR="00C06C1F">
          <w:pgSz w:w="11906" w:h="16838"/>
          <w:pgMar w:top="1440" w:right="1440" w:bottom="1440" w:left="1440" w:header="708" w:footer="708" w:gutter="0"/>
          <w:cols w:space="708"/>
          <w:docGrid w:linePitch="360"/>
        </w:sectPr>
      </w:pPr>
    </w:p>
    <w:p w14:paraId="24DEAAD3" w14:textId="506AD287" w:rsidR="002241AB" w:rsidRDefault="002241AB" w:rsidP="00F8184E">
      <w:pPr>
        <w:pStyle w:val="Captions"/>
      </w:pPr>
      <w:bookmarkStart w:id="351" w:name="_Ref506912378"/>
      <w:bookmarkStart w:id="352" w:name="_Toc3558399"/>
      <w:bookmarkStart w:id="353" w:name="_Toc69387753"/>
      <w:r w:rsidRPr="00F55DF6">
        <w:t xml:space="preserve">Table </w:t>
      </w:r>
      <w:r>
        <w:rPr>
          <w:noProof/>
        </w:rPr>
        <w:fldChar w:fldCharType="begin"/>
      </w:r>
      <w:r>
        <w:rPr>
          <w:noProof/>
        </w:rPr>
        <w:instrText xml:space="preserve"> SEQ Table \* ARABIC </w:instrText>
      </w:r>
      <w:r>
        <w:rPr>
          <w:noProof/>
        </w:rPr>
        <w:fldChar w:fldCharType="separate"/>
      </w:r>
      <w:r w:rsidR="00002263">
        <w:rPr>
          <w:noProof/>
        </w:rPr>
        <w:t>24</w:t>
      </w:r>
      <w:r>
        <w:rPr>
          <w:noProof/>
        </w:rPr>
        <w:fldChar w:fldCharType="end"/>
      </w:r>
      <w:bookmarkEnd w:id="351"/>
      <w:r w:rsidRPr="00F55DF6">
        <w:t>.</w:t>
      </w:r>
      <w:r w:rsidR="007A4951" w:rsidRPr="00F55DF6">
        <w:t xml:space="preserve"> </w:t>
      </w:r>
      <w:r w:rsidRPr="00F55DF6">
        <w:t>CEWO evaluation questions by indicators</w:t>
      </w:r>
      <w:r>
        <w:t xml:space="preserve"> for the Lower Murray</w:t>
      </w:r>
      <w:r w:rsidR="002B0A25">
        <w:t>, which includes the Lower Murray</w:t>
      </w:r>
      <w:r>
        <w:t xml:space="preserve"> River (LMR)</w:t>
      </w:r>
      <w:r w:rsidR="00B560F6" w:rsidRPr="00B560F6">
        <w:t xml:space="preserve"> </w:t>
      </w:r>
      <w:r w:rsidR="00B560F6">
        <w:t>and the Coorong, Lower Lakes and Murray Mouth (CLLMM)</w:t>
      </w:r>
      <w:r w:rsidRPr="00F55DF6">
        <w:t xml:space="preserve">. Evaluation questions are sourced or adapted from </w:t>
      </w:r>
      <w:proofErr w:type="spellStart"/>
      <w:r w:rsidRPr="00F55DF6">
        <w:t>Gawne</w:t>
      </w:r>
      <w:proofErr w:type="spellEnd"/>
      <w:r w:rsidRPr="00F55DF6">
        <w:t xml:space="preserve"> </w:t>
      </w:r>
      <w:r w:rsidRPr="00F55DF6">
        <w:rPr>
          <w:i/>
        </w:rPr>
        <w:t>et al.</w:t>
      </w:r>
      <w:r w:rsidRPr="00F55DF6">
        <w:t xml:space="preserve"> (2014). </w:t>
      </w:r>
      <w:r>
        <w:t>Evaluation</w:t>
      </w:r>
      <w:r w:rsidRPr="00123FD2">
        <w:t xml:space="preserve"> of CEW for </w:t>
      </w:r>
      <w:r w:rsidR="00C8143A">
        <w:t>hydraulic and matter t</w:t>
      </w:r>
      <w:r w:rsidRPr="00123FD2">
        <w:t xml:space="preserve">ransport </w:t>
      </w:r>
      <w:r w:rsidR="00C8143A">
        <w:t xml:space="preserve">questions </w:t>
      </w:r>
      <w:r w:rsidRPr="00123FD2">
        <w:t>is based on modelled data.</w:t>
      </w:r>
      <w:r>
        <w:t xml:space="preserve"> </w:t>
      </w:r>
      <w:r w:rsidRPr="00F55DF6">
        <w:t>CEW</w:t>
      </w:r>
      <w:r w:rsidRPr="00D7271F">
        <w:t xml:space="preserve"> = C</w:t>
      </w:r>
      <w:r w:rsidR="00C8143A">
        <w:t>ommonwealth environmental water</w:t>
      </w:r>
      <w:r w:rsidRPr="00D7271F">
        <w:t>.</w:t>
      </w:r>
      <w:bookmarkEnd w:id="352"/>
      <w:r w:rsidR="00C8143A">
        <w:t xml:space="preserve"> </w:t>
      </w:r>
      <w:r w:rsidR="00D9522E">
        <w:t xml:space="preserve">Refer to the evaluation in respective indicator sections (Section </w:t>
      </w:r>
      <w:r w:rsidR="00D9522E">
        <w:fldChar w:fldCharType="begin"/>
      </w:r>
      <w:r w:rsidR="00D9522E">
        <w:instrText xml:space="preserve"> REF _Ref15904940 \r \h </w:instrText>
      </w:r>
      <w:r w:rsidR="00D9522E">
        <w:fldChar w:fldCharType="separate"/>
      </w:r>
      <w:r w:rsidR="00241910">
        <w:t>2</w:t>
      </w:r>
      <w:r w:rsidR="00D9522E">
        <w:fldChar w:fldCharType="end"/>
      </w:r>
      <w:r w:rsidR="00D9522E">
        <w:t xml:space="preserve">) for more detail. </w:t>
      </w:r>
      <w:r w:rsidR="00D9522E" w:rsidRPr="00F850AA">
        <w:t>*</w:t>
      </w:r>
      <w:r w:rsidR="00D9522E">
        <w:t>Not a</w:t>
      </w:r>
      <w:r w:rsidR="00D9522E" w:rsidRPr="00F850AA">
        <w:t>ll evaluation questions are presented here for this indicator.</w:t>
      </w:r>
      <w:bookmarkEnd w:id="353"/>
    </w:p>
    <w:tbl>
      <w:tblPr>
        <w:tblW w:w="492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355"/>
        <w:gridCol w:w="737"/>
        <w:gridCol w:w="734"/>
        <w:gridCol w:w="734"/>
        <w:gridCol w:w="739"/>
        <w:gridCol w:w="739"/>
        <w:gridCol w:w="706"/>
      </w:tblGrid>
      <w:tr w:rsidR="00D9522E" w:rsidRPr="0033194D" w14:paraId="2D79617B" w14:textId="77777777" w:rsidTr="00876D62">
        <w:trPr>
          <w:cantSplit/>
          <w:trHeight w:val="255"/>
          <w:tblHeader/>
        </w:trPr>
        <w:tc>
          <w:tcPr>
            <w:tcW w:w="3403" w:type="pct"/>
            <w:vMerge w:val="restart"/>
            <w:tcBorders>
              <w:top w:val="single" w:sz="4" w:space="0" w:color="auto"/>
              <w:left w:val="single" w:sz="4" w:space="0" w:color="auto"/>
              <w:right w:val="single" w:sz="4" w:space="0" w:color="auto"/>
            </w:tcBorders>
            <w:vAlign w:val="center"/>
          </w:tcPr>
          <w:p w14:paraId="3089B52E" w14:textId="77777777" w:rsidR="00D9522E" w:rsidRPr="0033194D" w:rsidRDefault="00D9522E" w:rsidP="00876D62">
            <w:pPr>
              <w:spacing w:before="60" w:after="60" w:line="240" w:lineRule="auto"/>
              <w:contextualSpacing/>
              <w:jc w:val="center"/>
              <w:rPr>
                <w:rFonts w:cs="Arial"/>
                <w:b/>
                <w:sz w:val="18"/>
                <w:szCs w:val="18"/>
              </w:rPr>
            </w:pPr>
            <w:r w:rsidRPr="0033194D">
              <w:rPr>
                <w:rFonts w:cs="Arial"/>
                <w:b/>
                <w:sz w:val="18"/>
                <w:szCs w:val="18"/>
              </w:rPr>
              <w:t xml:space="preserve">CEWO evaluation questions </w:t>
            </w:r>
          </w:p>
        </w:tc>
        <w:tc>
          <w:tcPr>
            <w:tcW w:w="1597" w:type="pct"/>
            <w:gridSpan w:val="6"/>
            <w:tcBorders>
              <w:top w:val="single" w:sz="4" w:space="0" w:color="auto"/>
              <w:left w:val="single" w:sz="4" w:space="0" w:color="auto"/>
              <w:right w:val="single" w:sz="4" w:space="0" w:color="auto"/>
            </w:tcBorders>
          </w:tcPr>
          <w:p w14:paraId="2DF8664D" w14:textId="77777777" w:rsidR="00D9522E" w:rsidRPr="0033194D" w:rsidRDefault="00D9522E" w:rsidP="00876D62">
            <w:pPr>
              <w:spacing w:before="60" w:after="60" w:line="240" w:lineRule="auto"/>
              <w:contextualSpacing/>
              <w:jc w:val="center"/>
              <w:rPr>
                <w:rFonts w:cs="Arial"/>
                <w:b/>
                <w:sz w:val="18"/>
                <w:szCs w:val="18"/>
              </w:rPr>
            </w:pPr>
            <w:r w:rsidRPr="0033194D">
              <w:rPr>
                <w:rFonts w:cs="Arial"/>
                <w:b/>
                <w:sz w:val="18"/>
                <w:szCs w:val="18"/>
              </w:rPr>
              <w:t>Outcomes of CEW delivery</w:t>
            </w:r>
          </w:p>
        </w:tc>
      </w:tr>
      <w:tr w:rsidR="00D9522E" w:rsidRPr="0033194D" w14:paraId="01A72850" w14:textId="77777777" w:rsidTr="00876D62">
        <w:trPr>
          <w:cantSplit/>
          <w:trHeight w:val="255"/>
          <w:tblHeader/>
        </w:trPr>
        <w:tc>
          <w:tcPr>
            <w:tcW w:w="3403" w:type="pct"/>
            <w:vMerge/>
            <w:tcBorders>
              <w:left w:val="single" w:sz="4" w:space="0" w:color="auto"/>
              <w:bottom w:val="single" w:sz="4" w:space="0" w:color="auto"/>
              <w:right w:val="single" w:sz="4" w:space="0" w:color="auto"/>
            </w:tcBorders>
          </w:tcPr>
          <w:p w14:paraId="249D666E" w14:textId="77777777" w:rsidR="00D9522E" w:rsidRPr="0033194D" w:rsidRDefault="00D9522E" w:rsidP="00876D62">
            <w:pPr>
              <w:spacing w:line="240" w:lineRule="auto"/>
              <w:contextualSpacing/>
              <w:jc w:val="center"/>
              <w:rPr>
                <w:rFonts w:cs="Arial"/>
                <w:b/>
                <w:sz w:val="18"/>
                <w:szCs w:val="18"/>
              </w:rPr>
            </w:pPr>
          </w:p>
        </w:tc>
        <w:tc>
          <w:tcPr>
            <w:tcW w:w="268" w:type="pct"/>
            <w:tcBorders>
              <w:left w:val="single" w:sz="4" w:space="0" w:color="auto"/>
              <w:bottom w:val="single" w:sz="4" w:space="0" w:color="auto"/>
              <w:right w:val="single" w:sz="4" w:space="0" w:color="auto"/>
            </w:tcBorders>
          </w:tcPr>
          <w:p w14:paraId="456F4D06" w14:textId="77777777" w:rsidR="00D9522E" w:rsidRPr="0033194D" w:rsidRDefault="00D9522E" w:rsidP="00876D62">
            <w:pPr>
              <w:spacing w:before="60" w:after="60" w:line="240" w:lineRule="auto"/>
              <w:contextualSpacing/>
              <w:jc w:val="center"/>
              <w:rPr>
                <w:rFonts w:cs="Arial"/>
                <w:b/>
                <w:sz w:val="18"/>
                <w:szCs w:val="18"/>
              </w:rPr>
            </w:pPr>
            <w:r w:rsidRPr="0033194D">
              <w:rPr>
                <w:rFonts w:cs="Arial"/>
                <w:b/>
                <w:sz w:val="18"/>
                <w:szCs w:val="18"/>
              </w:rPr>
              <w:t>2014-15</w:t>
            </w:r>
          </w:p>
        </w:tc>
        <w:tc>
          <w:tcPr>
            <w:tcW w:w="267" w:type="pct"/>
            <w:tcBorders>
              <w:top w:val="single" w:sz="4" w:space="0" w:color="auto"/>
              <w:left w:val="single" w:sz="4" w:space="0" w:color="auto"/>
              <w:bottom w:val="single" w:sz="4" w:space="0" w:color="auto"/>
            </w:tcBorders>
          </w:tcPr>
          <w:p w14:paraId="59EAA875" w14:textId="77777777" w:rsidR="00D9522E" w:rsidRPr="0033194D" w:rsidRDefault="00D9522E" w:rsidP="00876D62">
            <w:pPr>
              <w:spacing w:before="60" w:after="60" w:line="240" w:lineRule="auto"/>
              <w:contextualSpacing/>
              <w:jc w:val="center"/>
              <w:rPr>
                <w:rFonts w:cs="Arial"/>
                <w:b/>
                <w:sz w:val="18"/>
                <w:szCs w:val="18"/>
              </w:rPr>
            </w:pPr>
            <w:r w:rsidRPr="0033194D">
              <w:rPr>
                <w:rFonts w:cs="Arial"/>
                <w:b/>
                <w:sz w:val="18"/>
                <w:szCs w:val="18"/>
              </w:rPr>
              <w:t>2015-16</w:t>
            </w:r>
          </w:p>
        </w:tc>
        <w:tc>
          <w:tcPr>
            <w:tcW w:w="267" w:type="pct"/>
            <w:tcBorders>
              <w:top w:val="single" w:sz="4" w:space="0" w:color="auto"/>
              <w:bottom w:val="single" w:sz="4" w:space="0" w:color="auto"/>
            </w:tcBorders>
          </w:tcPr>
          <w:p w14:paraId="1A4D8312" w14:textId="77777777" w:rsidR="00D9522E" w:rsidRPr="0033194D" w:rsidRDefault="00D9522E" w:rsidP="00876D62">
            <w:pPr>
              <w:spacing w:before="60" w:after="60" w:line="240" w:lineRule="auto"/>
              <w:contextualSpacing/>
              <w:jc w:val="center"/>
              <w:rPr>
                <w:rFonts w:cs="Arial"/>
                <w:b/>
                <w:sz w:val="18"/>
                <w:szCs w:val="18"/>
              </w:rPr>
            </w:pPr>
            <w:r w:rsidRPr="0033194D">
              <w:rPr>
                <w:rFonts w:cs="Arial"/>
                <w:b/>
                <w:sz w:val="18"/>
                <w:szCs w:val="18"/>
              </w:rPr>
              <w:t>2016-17</w:t>
            </w:r>
          </w:p>
        </w:tc>
        <w:tc>
          <w:tcPr>
            <w:tcW w:w="269" w:type="pct"/>
            <w:tcBorders>
              <w:top w:val="single" w:sz="4" w:space="0" w:color="auto"/>
              <w:bottom w:val="single" w:sz="4" w:space="0" w:color="auto"/>
            </w:tcBorders>
          </w:tcPr>
          <w:p w14:paraId="2AAA18F7" w14:textId="77777777" w:rsidR="00D9522E" w:rsidRPr="0033194D" w:rsidRDefault="00D9522E" w:rsidP="00876D62">
            <w:pPr>
              <w:spacing w:before="60" w:after="60" w:line="240" w:lineRule="auto"/>
              <w:contextualSpacing/>
              <w:jc w:val="center"/>
              <w:rPr>
                <w:rFonts w:cs="Arial"/>
                <w:b/>
                <w:sz w:val="18"/>
                <w:szCs w:val="18"/>
              </w:rPr>
            </w:pPr>
            <w:r w:rsidRPr="0033194D">
              <w:rPr>
                <w:rFonts w:cs="Arial"/>
                <w:b/>
                <w:sz w:val="18"/>
                <w:szCs w:val="18"/>
              </w:rPr>
              <w:t>2017-18</w:t>
            </w:r>
          </w:p>
        </w:tc>
        <w:tc>
          <w:tcPr>
            <w:tcW w:w="269" w:type="pct"/>
            <w:tcBorders>
              <w:top w:val="single" w:sz="4" w:space="0" w:color="auto"/>
              <w:bottom w:val="single" w:sz="4" w:space="0" w:color="auto"/>
            </w:tcBorders>
          </w:tcPr>
          <w:p w14:paraId="5A8C83E3" w14:textId="77777777" w:rsidR="00D9522E" w:rsidRPr="0033194D" w:rsidRDefault="00D9522E" w:rsidP="00876D62">
            <w:pPr>
              <w:spacing w:before="60" w:after="60" w:line="240" w:lineRule="auto"/>
              <w:contextualSpacing/>
              <w:jc w:val="center"/>
              <w:rPr>
                <w:rFonts w:cs="Arial"/>
                <w:b/>
                <w:sz w:val="18"/>
                <w:szCs w:val="18"/>
              </w:rPr>
            </w:pPr>
            <w:r w:rsidRPr="0033194D">
              <w:rPr>
                <w:rFonts w:cs="Arial"/>
                <w:b/>
                <w:sz w:val="18"/>
                <w:szCs w:val="18"/>
              </w:rPr>
              <w:t>2018-19</w:t>
            </w:r>
          </w:p>
        </w:tc>
        <w:tc>
          <w:tcPr>
            <w:tcW w:w="257" w:type="pct"/>
            <w:tcBorders>
              <w:top w:val="single" w:sz="4" w:space="0" w:color="auto"/>
              <w:bottom w:val="single" w:sz="4" w:space="0" w:color="auto"/>
            </w:tcBorders>
          </w:tcPr>
          <w:p w14:paraId="5BAC723B" w14:textId="22613667" w:rsidR="00D9522E" w:rsidRPr="0033194D" w:rsidRDefault="007C04A0" w:rsidP="00876D62">
            <w:pPr>
              <w:spacing w:before="60" w:after="60" w:line="240" w:lineRule="auto"/>
              <w:contextualSpacing/>
              <w:jc w:val="center"/>
              <w:rPr>
                <w:rFonts w:cs="Arial"/>
                <w:b/>
                <w:sz w:val="18"/>
                <w:szCs w:val="18"/>
              </w:rPr>
            </w:pPr>
            <w:r>
              <w:rPr>
                <w:rFonts w:cs="Arial"/>
                <w:b/>
                <w:sz w:val="18"/>
                <w:szCs w:val="18"/>
              </w:rPr>
              <w:t>2019-20</w:t>
            </w:r>
          </w:p>
        </w:tc>
      </w:tr>
      <w:tr w:rsidR="00D9522E" w:rsidRPr="0033194D" w14:paraId="441F3639" w14:textId="77777777" w:rsidTr="00876D62">
        <w:trPr>
          <w:cantSplit/>
          <w:trHeight w:val="255"/>
        </w:trPr>
        <w:tc>
          <w:tcPr>
            <w:tcW w:w="3403" w:type="pct"/>
            <w:tcBorders>
              <w:top w:val="single" w:sz="4" w:space="0" w:color="auto"/>
              <w:left w:val="single" w:sz="4" w:space="0" w:color="auto"/>
              <w:right w:val="single" w:sz="4" w:space="0" w:color="auto"/>
            </w:tcBorders>
            <w:vAlign w:val="center"/>
          </w:tcPr>
          <w:p w14:paraId="04C2479A" w14:textId="77777777" w:rsidR="00D9522E" w:rsidRPr="0033194D" w:rsidRDefault="00D9522E" w:rsidP="00876D62">
            <w:pPr>
              <w:spacing w:before="60" w:after="60" w:line="240" w:lineRule="auto"/>
              <w:contextualSpacing/>
              <w:jc w:val="left"/>
              <w:rPr>
                <w:rFonts w:cs="Arial"/>
                <w:sz w:val="18"/>
                <w:szCs w:val="18"/>
              </w:rPr>
            </w:pPr>
            <w:r w:rsidRPr="0033194D">
              <w:rPr>
                <w:rFonts w:cs="Arial"/>
                <w:sz w:val="18"/>
                <w:szCs w:val="18"/>
              </w:rPr>
              <w:t>What did CEW contribute to hydraulic diversity within weir pools? (LMR)</w:t>
            </w:r>
          </w:p>
        </w:tc>
        <w:tc>
          <w:tcPr>
            <w:tcW w:w="268"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2C419DD0" w14:textId="77777777" w:rsidR="00D9522E" w:rsidRPr="0033194D" w:rsidRDefault="00D9522E" w:rsidP="00876D62">
            <w:pPr>
              <w:spacing w:before="60" w:after="60" w:line="240" w:lineRule="auto"/>
              <w:contextualSpacing/>
              <w:jc w:val="left"/>
              <w:rPr>
                <w:rFonts w:cs="Arial"/>
                <w:sz w:val="18"/>
                <w:szCs w:val="18"/>
              </w:rPr>
            </w:pPr>
          </w:p>
        </w:tc>
        <w:tc>
          <w:tcPr>
            <w:tcW w:w="267"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6C5002BE" w14:textId="77777777" w:rsidR="00D9522E" w:rsidRPr="0033194D" w:rsidRDefault="00D9522E" w:rsidP="00876D62">
            <w:pPr>
              <w:spacing w:before="60" w:after="60" w:line="240" w:lineRule="auto"/>
              <w:contextualSpacing/>
              <w:jc w:val="left"/>
              <w:rPr>
                <w:rFonts w:cs="Arial"/>
                <w:sz w:val="18"/>
                <w:szCs w:val="18"/>
              </w:rPr>
            </w:pPr>
          </w:p>
        </w:tc>
        <w:tc>
          <w:tcPr>
            <w:tcW w:w="267"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54862D31" w14:textId="77777777" w:rsidR="00D9522E" w:rsidRPr="0033194D" w:rsidRDefault="00D9522E" w:rsidP="00876D62">
            <w:pPr>
              <w:spacing w:before="60" w:after="60" w:line="240" w:lineRule="auto"/>
              <w:contextualSpacing/>
              <w:jc w:val="left"/>
              <w:rPr>
                <w:rFonts w:cs="Arial"/>
                <w:sz w:val="18"/>
                <w:szCs w:val="18"/>
              </w:rPr>
            </w:pPr>
          </w:p>
        </w:tc>
        <w:tc>
          <w:tcPr>
            <w:tcW w:w="269" w:type="pct"/>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3A80A444" w14:textId="77777777" w:rsidR="00D9522E" w:rsidRPr="0033194D" w:rsidRDefault="00D9522E" w:rsidP="00876D62">
            <w:pPr>
              <w:spacing w:before="60" w:after="60" w:line="240" w:lineRule="auto"/>
              <w:contextualSpacing/>
              <w:jc w:val="left"/>
              <w:rPr>
                <w:rFonts w:cs="Arial"/>
                <w:sz w:val="18"/>
                <w:szCs w:val="18"/>
              </w:rPr>
            </w:pPr>
          </w:p>
        </w:tc>
        <w:tc>
          <w:tcPr>
            <w:tcW w:w="269"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742A9B05" w14:textId="77777777" w:rsidR="00D9522E" w:rsidRPr="0033194D" w:rsidRDefault="00D9522E" w:rsidP="00876D62">
            <w:pPr>
              <w:spacing w:before="60" w:after="60" w:line="240" w:lineRule="auto"/>
              <w:contextualSpacing/>
              <w:jc w:val="left"/>
              <w:rPr>
                <w:rFonts w:cs="Arial"/>
                <w:sz w:val="18"/>
                <w:szCs w:val="18"/>
              </w:rPr>
            </w:pPr>
          </w:p>
        </w:tc>
        <w:tc>
          <w:tcPr>
            <w:tcW w:w="257" w:type="pct"/>
            <w:tcBorders>
              <w:top w:val="single" w:sz="4" w:space="0" w:color="auto"/>
              <w:left w:val="single" w:sz="4" w:space="0" w:color="auto"/>
              <w:bottom w:val="single" w:sz="4" w:space="0" w:color="auto"/>
              <w:right w:val="single" w:sz="4" w:space="0" w:color="auto"/>
            </w:tcBorders>
            <w:shd w:val="clear" w:color="auto" w:fill="70AD47" w:themeFill="accent6"/>
          </w:tcPr>
          <w:p w14:paraId="2189F240" w14:textId="77777777" w:rsidR="00D9522E" w:rsidRPr="0033194D" w:rsidRDefault="00D9522E" w:rsidP="00876D62">
            <w:pPr>
              <w:spacing w:before="60" w:after="60" w:line="240" w:lineRule="auto"/>
              <w:contextualSpacing/>
              <w:jc w:val="left"/>
              <w:rPr>
                <w:rFonts w:cs="Arial"/>
                <w:sz w:val="18"/>
                <w:szCs w:val="18"/>
              </w:rPr>
            </w:pPr>
          </w:p>
        </w:tc>
      </w:tr>
      <w:tr w:rsidR="00D9522E" w:rsidRPr="0033194D" w14:paraId="2E673BD6" w14:textId="77777777" w:rsidTr="00876D62">
        <w:trPr>
          <w:cantSplit/>
          <w:trHeight w:val="255"/>
        </w:trPr>
        <w:tc>
          <w:tcPr>
            <w:tcW w:w="3403" w:type="pct"/>
            <w:tcBorders>
              <w:top w:val="single" w:sz="4" w:space="0" w:color="auto"/>
              <w:left w:val="single" w:sz="4" w:space="0" w:color="auto"/>
              <w:right w:val="single" w:sz="4" w:space="0" w:color="auto"/>
            </w:tcBorders>
            <w:vAlign w:val="center"/>
          </w:tcPr>
          <w:p w14:paraId="7C7012A7" w14:textId="77777777" w:rsidR="00D9522E" w:rsidRPr="0033194D" w:rsidRDefault="00D9522E" w:rsidP="00876D62">
            <w:pPr>
              <w:spacing w:before="60" w:after="60" w:line="240" w:lineRule="auto"/>
              <w:contextualSpacing/>
              <w:jc w:val="left"/>
              <w:rPr>
                <w:sz w:val="18"/>
                <w:szCs w:val="18"/>
              </w:rPr>
            </w:pPr>
            <w:r w:rsidRPr="0033194D">
              <w:rPr>
                <w:sz w:val="18"/>
                <w:szCs w:val="18"/>
              </w:rPr>
              <w:t>What did CEW contribute to variability in water levels within weir pools? (LMR)</w:t>
            </w:r>
          </w:p>
        </w:tc>
        <w:tc>
          <w:tcPr>
            <w:tcW w:w="268" w:type="pct"/>
            <w:tcBorders>
              <w:top w:val="single" w:sz="4" w:space="0" w:color="auto"/>
              <w:left w:val="single" w:sz="4" w:space="0" w:color="auto"/>
              <w:right w:val="single" w:sz="4" w:space="0" w:color="auto"/>
            </w:tcBorders>
            <w:shd w:val="clear" w:color="auto" w:fill="A8D08D" w:themeFill="accent6" w:themeFillTint="99"/>
            <w:vAlign w:val="center"/>
          </w:tcPr>
          <w:p w14:paraId="72888AB9" w14:textId="77777777" w:rsidR="00D9522E" w:rsidRPr="0033194D" w:rsidRDefault="00D9522E" w:rsidP="00876D62">
            <w:pPr>
              <w:spacing w:before="60" w:after="60" w:line="240" w:lineRule="auto"/>
              <w:contextualSpacing/>
              <w:jc w:val="left"/>
              <w:rPr>
                <w:sz w:val="18"/>
                <w:szCs w:val="18"/>
              </w:rPr>
            </w:pPr>
          </w:p>
        </w:tc>
        <w:tc>
          <w:tcPr>
            <w:tcW w:w="267" w:type="pct"/>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7B3ED75C" w14:textId="77777777" w:rsidR="00D9522E" w:rsidRPr="0033194D" w:rsidRDefault="00D9522E" w:rsidP="00876D62">
            <w:pPr>
              <w:spacing w:before="60" w:after="60" w:line="240" w:lineRule="auto"/>
              <w:contextualSpacing/>
              <w:jc w:val="left"/>
              <w:rPr>
                <w:sz w:val="18"/>
                <w:szCs w:val="18"/>
              </w:rPr>
            </w:pPr>
          </w:p>
        </w:tc>
        <w:tc>
          <w:tcPr>
            <w:tcW w:w="267"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34D8E3E0" w14:textId="77777777" w:rsidR="00D9522E" w:rsidRPr="0033194D" w:rsidRDefault="00D9522E" w:rsidP="00876D62">
            <w:pPr>
              <w:spacing w:before="60" w:after="60" w:line="240" w:lineRule="auto"/>
              <w:contextualSpacing/>
              <w:jc w:val="left"/>
              <w:rPr>
                <w:sz w:val="18"/>
                <w:szCs w:val="18"/>
              </w:rPr>
            </w:pPr>
          </w:p>
        </w:tc>
        <w:tc>
          <w:tcPr>
            <w:tcW w:w="269" w:type="pct"/>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7FAAE129" w14:textId="77777777" w:rsidR="00D9522E" w:rsidRPr="0033194D" w:rsidRDefault="00D9522E" w:rsidP="00876D62">
            <w:pPr>
              <w:spacing w:before="60" w:after="60" w:line="240" w:lineRule="auto"/>
              <w:contextualSpacing/>
              <w:jc w:val="left"/>
              <w:rPr>
                <w:sz w:val="18"/>
                <w:szCs w:val="18"/>
              </w:rPr>
            </w:pPr>
          </w:p>
        </w:tc>
        <w:tc>
          <w:tcPr>
            <w:tcW w:w="269"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598CEB76" w14:textId="77777777" w:rsidR="00D9522E" w:rsidRPr="0033194D" w:rsidRDefault="00D9522E" w:rsidP="00876D62">
            <w:pPr>
              <w:spacing w:before="60" w:after="60" w:line="240" w:lineRule="auto"/>
              <w:contextualSpacing/>
              <w:jc w:val="left"/>
              <w:rPr>
                <w:sz w:val="18"/>
                <w:szCs w:val="18"/>
              </w:rPr>
            </w:pPr>
          </w:p>
        </w:tc>
        <w:tc>
          <w:tcPr>
            <w:tcW w:w="257" w:type="pct"/>
            <w:tcBorders>
              <w:top w:val="single" w:sz="4" w:space="0" w:color="auto"/>
              <w:left w:val="single" w:sz="4" w:space="0" w:color="auto"/>
              <w:bottom w:val="single" w:sz="4" w:space="0" w:color="auto"/>
              <w:right w:val="single" w:sz="4" w:space="0" w:color="auto"/>
            </w:tcBorders>
            <w:shd w:val="clear" w:color="auto" w:fill="70AD47" w:themeFill="accent6"/>
          </w:tcPr>
          <w:p w14:paraId="0E31FA97" w14:textId="77777777" w:rsidR="00D9522E" w:rsidRPr="0033194D" w:rsidRDefault="00D9522E" w:rsidP="00876D62">
            <w:pPr>
              <w:spacing w:before="60" w:after="60" w:line="240" w:lineRule="auto"/>
              <w:contextualSpacing/>
              <w:jc w:val="left"/>
              <w:rPr>
                <w:sz w:val="18"/>
                <w:szCs w:val="18"/>
              </w:rPr>
            </w:pPr>
          </w:p>
        </w:tc>
      </w:tr>
      <w:tr w:rsidR="00D9522E" w:rsidRPr="0033194D" w14:paraId="13F437DC" w14:textId="77777777" w:rsidTr="00876D62">
        <w:trPr>
          <w:cantSplit/>
          <w:trHeight w:val="255"/>
        </w:trPr>
        <w:tc>
          <w:tcPr>
            <w:tcW w:w="3403" w:type="pct"/>
            <w:tcBorders>
              <w:top w:val="single" w:sz="4" w:space="0" w:color="auto"/>
              <w:left w:val="single" w:sz="4" w:space="0" w:color="auto"/>
              <w:right w:val="single" w:sz="4" w:space="0" w:color="auto"/>
            </w:tcBorders>
            <w:vAlign w:val="center"/>
          </w:tcPr>
          <w:p w14:paraId="496F576F" w14:textId="77777777" w:rsidR="00D9522E" w:rsidRPr="0033194D" w:rsidRDefault="00D9522E" w:rsidP="00876D62">
            <w:pPr>
              <w:spacing w:before="60" w:after="60" w:line="240" w:lineRule="auto"/>
              <w:contextualSpacing/>
              <w:jc w:val="left"/>
              <w:rPr>
                <w:sz w:val="18"/>
                <w:szCs w:val="18"/>
              </w:rPr>
            </w:pPr>
            <w:r w:rsidRPr="0033194D">
              <w:rPr>
                <w:sz w:val="18"/>
                <w:szCs w:val="18"/>
              </w:rPr>
              <w:t>What did CEW contribute to hydrological connectivity (lateral and longitudinal)? (LMR)</w:t>
            </w:r>
          </w:p>
        </w:tc>
        <w:tc>
          <w:tcPr>
            <w:tcW w:w="268"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4F7A1D3B" w14:textId="77777777" w:rsidR="00D9522E" w:rsidRPr="0033194D" w:rsidRDefault="00D9522E" w:rsidP="00876D62">
            <w:pPr>
              <w:spacing w:before="60" w:after="60" w:line="240" w:lineRule="auto"/>
              <w:contextualSpacing/>
              <w:jc w:val="left"/>
              <w:rPr>
                <w:sz w:val="18"/>
                <w:szCs w:val="18"/>
              </w:rPr>
            </w:pPr>
          </w:p>
        </w:tc>
        <w:tc>
          <w:tcPr>
            <w:tcW w:w="267" w:type="pct"/>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1AC04D75" w14:textId="77777777" w:rsidR="00D9522E" w:rsidRPr="0033194D" w:rsidRDefault="00D9522E" w:rsidP="00876D62">
            <w:pPr>
              <w:spacing w:before="60" w:after="60" w:line="240" w:lineRule="auto"/>
              <w:contextualSpacing/>
              <w:jc w:val="left"/>
              <w:rPr>
                <w:sz w:val="18"/>
                <w:szCs w:val="18"/>
              </w:rPr>
            </w:pPr>
          </w:p>
        </w:tc>
        <w:tc>
          <w:tcPr>
            <w:tcW w:w="267"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E683FFE" w14:textId="77777777" w:rsidR="00D9522E" w:rsidRPr="0033194D" w:rsidRDefault="00D9522E" w:rsidP="00876D62">
            <w:pPr>
              <w:spacing w:before="60" w:after="60" w:line="240" w:lineRule="auto"/>
              <w:contextualSpacing/>
              <w:jc w:val="left"/>
              <w:rPr>
                <w:sz w:val="18"/>
                <w:szCs w:val="18"/>
              </w:rPr>
            </w:pPr>
          </w:p>
        </w:tc>
        <w:tc>
          <w:tcPr>
            <w:tcW w:w="269" w:type="pct"/>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606BDFD8" w14:textId="77777777" w:rsidR="00D9522E" w:rsidRPr="0033194D" w:rsidRDefault="00D9522E" w:rsidP="00876D62">
            <w:pPr>
              <w:spacing w:before="60" w:after="60" w:line="240" w:lineRule="auto"/>
              <w:contextualSpacing/>
              <w:jc w:val="left"/>
              <w:rPr>
                <w:sz w:val="18"/>
                <w:szCs w:val="18"/>
              </w:rPr>
            </w:pPr>
          </w:p>
        </w:tc>
        <w:tc>
          <w:tcPr>
            <w:tcW w:w="269"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257742E1" w14:textId="77777777" w:rsidR="00D9522E" w:rsidRPr="0033194D" w:rsidRDefault="00D9522E" w:rsidP="00876D62">
            <w:pPr>
              <w:spacing w:before="60" w:after="60" w:line="240" w:lineRule="auto"/>
              <w:contextualSpacing/>
              <w:jc w:val="left"/>
              <w:rPr>
                <w:sz w:val="18"/>
                <w:szCs w:val="18"/>
              </w:rPr>
            </w:pPr>
          </w:p>
        </w:tc>
        <w:tc>
          <w:tcPr>
            <w:tcW w:w="257" w:type="pct"/>
            <w:tcBorders>
              <w:top w:val="single" w:sz="4" w:space="0" w:color="auto"/>
              <w:left w:val="single" w:sz="4" w:space="0" w:color="auto"/>
              <w:bottom w:val="single" w:sz="4" w:space="0" w:color="auto"/>
              <w:right w:val="single" w:sz="4" w:space="0" w:color="auto"/>
            </w:tcBorders>
            <w:shd w:val="clear" w:color="auto" w:fill="70AD47" w:themeFill="accent6"/>
          </w:tcPr>
          <w:p w14:paraId="6B4D6A4F" w14:textId="77777777" w:rsidR="00D9522E" w:rsidRPr="0033194D" w:rsidRDefault="00D9522E" w:rsidP="00876D62">
            <w:pPr>
              <w:spacing w:before="60" w:after="60" w:line="240" w:lineRule="auto"/>
              <w:contextualSpacing/>
              <w:jc w:val="left"/>
              <w:rPr>
                <w:sz w:val="18"/>
                <w:szCs w:val="18"/>
              </w:rPr>
            </w:pPr>
          </w:p>
        </w:tc>
      </w:tr>
      <w:tr w:rsidR="00D9522E" w:rsidRPr="0033194D" w14:paraId="252012C8" w14:textId="77777777" w:rsidTr="00876D62">
        <w:trPr>
          <w:cantSplit/>
          <w:trHeight w:val="255"/>
        </w:trPr>
        <w:tc>
          <w:tcPr>
            <w:tcW w:w="3403" w:type="pct"/>
            <w:tcBorders>
              <w:top w:val="single" w:sz="4" w:space="0" w:color="auto"/>
              <w:left w:val="single" w:sz="4" w:space="0" w:color="auto"/>
              <w:right w:val="single" w:sz="4" w:space="0" w:color="auto"/>
            </w:tcBorders>
            <w:shd w:val="clear" w:color="auto" w:fill="auto"/>
            <w:vAlign w:val="center"/>
          </w:tcPr>
          <w:p w14:paraId="1B0FC0C6" w14:textId="77777777" w:rsidR="00D9522E" w:rsidRPr="0033194D" w:rsidRDefault="00D9522E" w:rsidP="00876D62">
            <w:pPr>
              <w:spacing w:before="60" w:after="60" w:line="240" w:lineRule="auto"/>
              <w:contextualSpacing/>
              <w:jc w:val="left"/>
              <w:rPr>
                <w:sz w:val="18"/>
                <w:szCs w:val="18"/>
              </w:rPr>
            </w:pPr>
            <w:r w:rsidRPr="0033194D">
              <w:rPr>
                <w:sz w:val="18"/>
                <w:szCs w:val="18"/>
              </w:rPr>
              <w:t>What did CEW contribute to dissolved oxygen levels? (LMR)</w:t>
            </w:r>
          </w:p>
        </w:tc>
        <w:tc>
          <w:tcPr>
            <w:tcW w:w="268"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6633B34" w14:textId="77777777" w:rsidR="00D9522E" w:rsidRPr="0033194D" w:rsidRDefault="00D9522E" w:rsidP="00876D62">
            <w:pPr>
              <w:spacing w:before="60" w:after="60" w:line="240" w:lineRule="auto"/>
              <w:contextualSpacing/>
              <w:jc w:val="left"/>
              <w:rPr>
                <w:sz w:val="18"/>
                <w:szCs w:val="18"/>
              </w:rPr>
            </w:pPr>
          </w:p>
        </w:tc>
        <w:tc>
          <w:tcPr>
            <w:tcW w:w="267" w:type="pct"/>
            <w:tcBorders>
              <w:top w:val="single" w:sz="4" w:space="0" w:color="auto"/>
              <w:left w:val="single" w:sz="4" w:space="0" w:color="auto"/>
              <w:bottom w:val="single" w:sz="4" w:space="0" w:color="auto"/>
              <w:right w:val="single" w:sz="4" w:space="0" w:color="auto"/>
            </w:tcBorders>
            <w:shd w:val="clear" w:color="auto" w:fill="5B9BD5" w:themeFill="accent1"/>
            <w:vAlign w:val="center"/>
          </w:tcPr>
          <w:p w14:paraId="67E31A79" w14:textId="77777777" w:rsidR="00D9522E" w:rsidRPr="0033194D" w:rsidRDefault="00D9522E" w:rsidP="00876D62">
            <w:pPr>
              <w:spacing w:before="60" w:after="60" w:line="240" w:lineRule="auto"/>
              <w:contextualSpacing/>
              <w:jc w:val="left"/>
              <w:rPr>
                <w:sz w:val="18"/>
                <w:szCs w:val="18"/>
              </w:rPr>
            </w:pPr>
          </w:p>
        </w:tc>
        <w:tc>
          <w:tcPr>
            <w:tcW w:w="267" w:type="pct"/>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0E7B72F8" w14:textId="77777777" w:rsidR="00D9522E" w:rsidRPr="0033194D" w:rsidRDefault="00D9522E" w:rsidP="00876D62">
            <w:pPr>
              <w:spacing w:before="60" w:after="60" w:line="240" w:lineRule="auto"/>
              <w:contextualSpacing/>
              <w:jc w:val="left"/>
              <w:rPr>
                <w:sz w:val="18"/>
                <w:szCs w:val="18"/>
              </w:rPr>
            </w:pPr>
          </w:p>
        </w:tc>
        <w:tc>
          <w:tcPr>
            <w:tcW w:w="269" w:type="pct"/>
            <w:tcBorders>
              <w:top w:val="single" w:sz="4" w:space="0" w:color="auto"/>
              <w:left w:val="single" w:sz="4" w:space="0" w:color="auto"/>
              <w:bottom w:val="single" w:sz="4" w:space="0" w:color="auto"/>
              <w:right w:val="single" w:sz="4" w:space="0" w:color="auto"/>
            </w:tcBorders>
            <w:shd w:val="clear" w:color="auto" w:fill="5B9BD5" w:themeFill="accent1"/>
            <w:vAlign w:val="center"/>
          </w:tcPr>
          <w:p w14:paraId="30F653DC" w14:textId="77777777" w:rsidR="00D9522E" w:rsidRPr="0033194D" w:rsidRDefault="00D9522E" w:rsidP="00876D62">
            <w:pPr>
              <w:spacing w:before="60" w:after="60" w:line="240" w:lineRule="auto"/>
              <w:contextualSpacing/>
              <w:jc w:val="left"/>
              <w:rPr>
                <w:sz w:val="18"/>
                <w:szCs w:val="18"/>
              </w:rPr>
            </w:pPr>
          </w:p>
        </w:tc>
        <w:tc>
          <w:tcPr>
            <w:tcW w:w="269" w:type="pct"/>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74FBE880" w14:textId="77777777" w:rsidR="00D9522E" w:rsidRPr="0033194D" w:rsidRDefault="00D9522E" w:rsidP="00876D62">
            <w:pPr>
              <w:spacing w:before="60" w:after="60" w:line="240" w:lineRule="auto"/>
              <w:contextualSpacing/>
              <w:jc w:val="left"/>
              <w:rPr>
                <w:sz w:val="18"/>
                <w:szCs w:val="18"/>
              </w:rPr>
            </w:pPr>
          </w:p>
        </w:tc>
        <w:tc>
          <w:tcPr>
            <w:tcW w:w="257" w:type="pct"/>
            <w:tcBorders>
              <w:top w:val="single" w:sz="4" w:space="0" w:color="auto"/>
              <w:left w:val="single" w:sz="4" w:space="0" w:color="auto"/>
              <w:bottom w:val="single" w:sz="4" w:space="0" w:color="auto"/>
              <w:right w:val="single" w:sz="4" w:space="0" w:color="auto"/>
            </w:tcBorders>
            <w:shd w:val="clear" w:color="auto" w:fill="70AD47" w:themeFill="accent6"/>
          </w:tcPr>
          <w:p w14:paraId="7F135E92" w14:textId="77777777" w:rsidR="00D9522E" w:rsidRPr="0033194D" w:rsidRDefault="00D9522E" w:rsidP="00876D62">
            <w:pPr>
              <w:spacing w:before="60" w:after="60" w:line="240" w:lineRule="auto"/>
              <w:contextualSpacing/>
              <w:jc w:val="left"/>
              <w:rPr>
                <w:sz w:val="18"/>
                <w:szCs w:val="18"/>
              </w:rPr>
            </w:pPr>
          </w:p>
        </w:tc>
      </w:tr>
      <w:tr w:rsidR="00D9522E" w:rsidRPr="0033194D" w14:paraId="46CB8C35" w14:textId="77777777" w:rsidTr="00876D62">
        <w:trPr>
          <w:cantSplit/>
          <w:trHeight w:val="255"/>
        </w:trPr>
        <w:tc>
          <w:tcPr>
            <w:tcW w:w="3403" w:type="pct"/>
            <w:tcBorders>
              <w:top w:val="single" w:sz="4" w:space="0" w:color="auto"/>
              <w:left w:val="single" w:sz="4" w:space="0" w:color="auto"/>
              <w:right w:val="single" w:sz="4" w:space="0" w:color="auto"/>
            </w:tcBorders>
            <w:shd w:val="clear" w:color="auto" w:fill="auto"/>
            <w:vAlign w:val="center"/>
          </w:tcPr>
          <w:p w14:paraId="5A7D535A" w14:textId="77777777" w:rsidR="00D9522E" w:rsidRPr="0033194D" w:rsidRDefault="00D9522E" w:rsidP="00876D62">
            <w:pPr>
              <w:spacing w:before="60" w:after="60" w:line="240" w:lineRule="auto"/>
              <w:contextualSpacing/>
              <w:jc w:val="left"/>
              <w:rPr>
                <w:sz w:val="18"/>
                <w:szCs w:val="18"/>
              </w:rPr>
            </w:pPr>
            <w:r w:rsidRPr="0033194D">
              <w:rPr>
                <w:sz w:val="18"/>
                <w:szCs w:val="18"/>
              </w:rPr>
              <w:t>What did CEW contribute to patterns and rates of primary productivity?</w:t>
            </w:r>
            <w:r w:rsidRPr="0033194D">
              <w:rPr>
                <w:rFonts w:cs="Arial"/>
                <w:sz w:val="18"/>
                <w:szCs w:val="18"/>
              </w:rPr>
              <w:t xml:space="preserve"> (</w:t>
            </w:r>
            <w:r w:rsidRPr="0033194D">
              <w:rPr>
                <w:rFonts w:cs="Arial"/>
                <w:color w:val="auto"/>
                <w:sz w:val="18"/>
                <w:szCs w:val="18"/>
              </w:rPr>
              <w:t>LMR</w:t>
            </w:r>
            <w:r w:rsidRPr="0033194D">
              <w:rPr>
                <w:rFonts w:cs="Arial"/>
                <w:sz w:val="18"/>
                <w:szCs w:val="18"/>
              </w:rPr>
              <w:t>)</w:t>
            </w:r>
          </w:p>
        </w:tc>
        <w:tc>
          <w:tcPr>
            <w:tcW w:w="268"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4F39597" w14:textId="77777777" w:rsidR="00D9522E" w:rsidRPr="0033194D" w:rsidRDefault="00D9522E" w:rsidP="00876D62">
            <w:pPr>
              <w:spacing w:before="60" w:after="60" w:line="240" w:lineRule="auto"/>
              <w:contextualSpacing/>
              <w:jc w:val="left"/>
              <w:rPr>
                <w:sz w:val="18"/>
                <w:szCs w:val="18"/>
              </w:rPr>
            </w:pPr>
          </w:p>
        </w:tc>
        <w:tc>
          <w:tcPr>
            <w:tcW w:w="267"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FBE78ED" w14:textId="77777777" w:rsidR="00D9522E" w:rsidRPr="0033194D" w:rsidRDefault="00D9522E" w:rsidP="00876D62">
            <w:pPr>
              <w:spacing w:before="60" w:after="60" w:line="240" w:lineRule="auto"/>
              <w:contextualSpacing/>
              <w:jc w:val="left"/>
              <w:rPr>
                <w:sz w:val="18"/>
                <w:szCs w:val="18"/>
              </w:rPr>
            </w:pPr>
          </w:p>
        </w:tc>
        <w:tc>
          <w:tcPr>
            <w:tcW w:w="267"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9320958" w14:textId="77777777" w:rsidR="00D9522E" w:rsidRPr="0033194D" w:rsidRDefault="00D9522E" w:rsidP="00876D62">
            <w:pPr>
              <w:spacing w:before="60" w:after="60" w:line="240" w:lineRule="auto"/>
              <w:contextualSpacing/>
              <w:jc w:val="left"/>
              <w:rPr>
                <w:sz w:val="18"/>
                <w:szCs w:val="18"/>
              </w:rPr>
            </w:pPr>
          </w:p>
        </w:tc>
        <w:tc>
          <w:tcPr>
            <w:tcW w:w="269"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F9D485C" w14:textId="77777777" w:rsidR="00D9522E" w:rsidRPr="0033194D" w:rsidRDefault="00D9522E" w:rsidP="00876D62">
            <w:pPr>
              <w:spacing w:before="60" w:after="60" w:line="240" w:lineRule="auto"/>
              <w:contextualSpacing/>
              <w:jc w:val="left"/>
              <w:rPr>
                <w:sz w:val="18"/>
                <w:szCs w:val="18"/>
              </w:rPr>
            </w:pPr>
          </w:p>
        </w:tc>
        <w:tc>
          <w:tcPr>
            <w:tcW w:w="269"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FEDF7FE" w14:textId="77777777" w:rsidR="00D9522E" w:rsidRPr="0033194D" w:rsidRDefault="00D9522E" w:rsidP="00876D62">
            <w:pPr>
              <w:spacing w:before="60" w:after="60" w:line="240" w:lineRule="auto"/>
              <w:contextualSpacing/>
              <w:jc w:val="left"/>
              <w:rPr>
                <w:sz w:val="18"/>
                <w:szCs w:val="18"/>
              </w:rPr>
            </w:pPr>
          </w:p>
        </w:tc>
        <w:tc>
          <w:tcPr>
            <w:tcW w:w="257"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74FADCD" w14:textId="77777777" w:rsidR="00D9522E" w:rsidRPr="0033194D" w:rsidRDefault="00D9522E" w:rsidP="00876D62">
            <w:pPr>
              <w:spacing w:before="60" w:after="60" w:line="240" w:lineRule="auto"/>
              <w:contextualSpacing/>
              <w:jc w:val="left"/>
              <w:rPr>
                <w:sz w:val="18"/>
                <w:szCs w:val="18"/>
              </w:rPr>
            </w:pPr>
          </w:p>
        </w:tc>
      </w:tr>
      <w:tr w:rsidR="00D9522E" w:rsidRPr="0033194D" w14:paraId="72C22CE7" w14:textId="77777777" w:rsidTr="00876D62">
        <w:trPr>
          <w:cantSplit/>
          <w:trHeight w:val="255"/>
        </w:trPr>
        <w:tc>
          <w:tcPr>
            <w:tcW w:w="3403" w:type="pct"/>
            <w:tcBorders>
              <w:top w:val="single" w:sz="4" w:space="0" w:color="auto"/>
              <w:left w:val="single" w:sz="4" w:space="0" w:color="auto"/>
              <w:right w:val="single" w:sz="4" w:space="0" w:color="auto"/>
            </w:tcBorders>
            <w:vAlign w:val="center"/>
          </w:tcPr>
          <w:p w14:paraId="09CE951D" w14:textId="77777777" w:rsidR="00D9522E" w:rsidRPr="0033194D" w:rsidRDefault="00D9522E" w:rsidP="00876D62">
            <w:pPr>
              <w:spacing w:before="60" w:after="60" w:line="240" w:lineRule="auto"/>
              <w:contextualSpacing/>
              <w:jc w:val="left"/>
              <w:rPr>
                <w:sz w:val="18"/>
                <w:szCs w:val="18"/>
              </w:rPr>
            </w:pPr>
            <w:r w:rsidRPr="0033194D">
              <w:rPr>
                <w:sz w:val="18"/>
                <w:szCs w:val="18"/>
              </w:rPr>
              <w:t xml:space="preserve">What did CEW contribute to patterns and rates of decomposition? </w:t>
            </w:r>
            <w:r w:rsidRPr="0033194D">
              <w:rPr>
                <w:rFonts w:cs="Arial"/>
                <w:sz w:val="18"/>
                <w:szCs w:val="18"/>
              </w:rPr>
              <w:t>(</w:t>
            </w:r>
            <w:r w:rsidRPr="0033194D">
              <w:rPr>
                <w:rFonts w:cs="Arial"/>
                <w:color w:val="auto"/>
                <w:sz w:val="18"/>
                <w:szCs w:val="18"/>
              </w:rPr>
              <w:t>LMR</w:t>
            </w:r>
            <w:r w:rsidRPr="0033194D">
              <w:rPr>
                <w:rFonts w:cs="Arial"/>
                <w:sz w:val="18"/>
                <w:szCs w:val="18"/>
              </w:rPr>
              <w:t>)</w:t>
            </w:r>
          </w:p>
        </w:tc>
        <w:tc>
          <w:tcPr>
            <w:tcW w:w="268"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53B346E" w14:textId="77777777" w:rsidR="00D9522E" w:rsidRPr="0033194D" w:rsidRDefault="00D9522E" w:rsidP="00876D62">
            <w:pPr>
              <w:spacing w:before="60" w:after="60" w:line="240" w:lineRule="auto"/>
              <w:contextualSpacing/>
              <w:jc w:val="left"/>
              <w:rPr>
                <w:sz w:val="18"/>
                <w:szCs w:val="18"/>
              </w:rPr>
            </w:pPr>
          </w:p>
        </w:tc>
        <w:tc>
          <w:tcPr>
            <w:tcW w:w="267"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5B5730F5" w14:textId="77777777" w:rsidR="00D9522E" w:rsidRPr="0033194D" w:rsidRDefault="00D9522E" w:rsidP="00876D62">
            <w:pPr>
              <w:spacing w:before="60" w:after="60" w:line="240" w:lineRule="auto"/>
              <w:contextualSpacing/>
              <w:jc w:val="left"/>
              <w:rPr>
                <w:sz w:val="18"/>
                <w:szCs w:val="18"/>
              </w:rPr>
            </w:pPr>
          </w:p>
        </w:tc>
        <w:tc>
          <w:tcPr>
            <w:tcW w:w="267"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3AFE0E68" w14:textId="77777777" w:rsidR="00D9522E" w:rsidRPr="0033194D" w:rsidRDefault="00D9522E" w:rsidP="00876D62">
            <w:pPr>
              <w:spacing w:before="60" w:after="60" w:line="240" w:lineRule="auto"/>
              <w:contextualSpacing/>
              <w:jc w:val="left"/>
              <w:rPr>
                <w:sz w:val="18"/>
                <w:szCs w:val="18"/>
              </w:rPr>
            </w:pPr>
          </w:p>
        </w:tc>
        <w:tc>
          <w:tcPr>
            <w:tcW w:w="269"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3F7B78BC" w14:textId="77777777" w:rsidR="00D9522E" w:rsidRPr="0033194D" w:rsidRDefault="00D9522E" w:rsidP="00876D62">
            <w:pPr>
              <w:spacing w:before="60" w:after="60" w:line="240" w:lineRule="auto"/>
              <w:contextualSpacing/>
              <w:jc w:val="left"/>
              <w:rPr>
                <w:sz w:val="18"/>
                <w:szCs w:val="18"/>
              </w:rPr>
            </w:pPr>
          </w:p>
        </w:tc>
        <w:tc>
          <w:tcPr>
            <w:tcW w:w="269"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7ED38CAD" w14:textId="77777777" w:rsidR="00D9522E" w:rsidRPr="0033194D" w:rsidRDefault="00D9522E" w:rsidP="00876D62">
            <w:pPr>
              <w:spacing w:before="60" w:after="60" w:line="240" w:lineRule="auto"/>
              <w:contextualSpacing/>
              <w:jc w:val="left"/>
              <w:rPr>
                <w:sz w:val="18"/>
                <w:szCs w:val="18"/>
              </w:rPr>
            </w:pPr>
          </w:p>
        </w:tc>
        <w:tc>
          <w:tcPr>
            <w:tcW w:w="257"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4C8B486" w14:textId="77777777" w:rsidR="00D9522E" w:rsidRPr="0033194D" w:rsidRDefault="00D9522E" w:rsidP="00876D62">
            <w:pPr>
              <w:spacing w:before="60" w:after="60" w:line="240" w:lineRule="auto"/>
              <w:contextualSpacing/>
              <w:jc w:val="left"/>
              <w:rPr>
                <w:sz w:val="18"/>
                <w:szCs w:val="18"/>
              </w:rPr>
            </w:pPr>
          </w:p>
        </w:tc>
      </w:tr>
      <w:tr w:rsidR="00D9522E" w:rsidRPr="0033194D" w14:paraId="14F34390" w14:textId="77777777" w:rsidTr="00154F97">
        <w:trPr>
          <w:cantSplit/>
          <w:trHeight w:val="255"/>
        </w:trPr>
        <w:tc>
          <w:tcPr>
            <w:tcW w:w="3403" w:type="pct"/>
            <w:tcBorders>
              <w:top w:val="single" w:sz="4" w:space="0" w:color="auto"/>
              <w:left w:val="single" w:sz="4" w:space="0" w:color="auto"/>
              <w:right w:val="single" w:sz="4" w:space="0" w:color="auto"/>
            </w:tcBorders>
            <w:vAlign w:val="center"/>
          </w:tcPr>
          <w:p w14:paraId="1E418AEA" w14:textId="44EB0D99" w:rsidR="00D9522E" w:rsidRPr="0033194D" w:rsidRDefault="00D9522E" w:rsidP="00876D62">
            <w:pPr>
              <w:spacing w:before="60" w:after="60" w:line="240" w:lineRule="auto"/>
              <w:contextualSpacing/>
              <w:jc w:val="left"/>
              <w:rPr>
                <w:sz w:val="18"/>
                <w:szCs w:val="18"/>
              </w:rPr>
            </w:pPr>
            <w:r w:rsidRPr="0033194D">
              <w:rPr>
                <w:sz w:val="18"/>
                <w:szCs w:val="18"/>
              </w:rPr>
              <w:t>What did CEW contribute to salinity levels and transport? (CLLMM)</w:t>
            </w:r>
          </w:p>
        </w:tc>
        <w:tc>
          <w:tcPr>
            <w:tcW w:w="268" w:type="pct"/>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537AE330" w14:textId="77777777" w:rsidR="00D9522E" w:rsidRPr="0033194D" w:rsidRDefault="00D9522E" w:rsidP="00876D62">
            <w:pPr>
              <w:spacing w:before="60" w:after="60" w:line="240" w:lineRule="auto"/>
              <w:contextualSpacing/>
              <w:jc w:val="left"/>
              <w:rPr>
                <w:sz w:val="18"/>
                <w:szCs w:val="18"/>
              </w:rPr>
            </w:pPr>
          </w:p>
        </w:tc>
        <w:tc>
          <w:tcPr>
            <w:tcW w:w="267" w:type="pct"/>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2C6A7A69" w14:textId="77777777" w:rsidR="00D9522E" w:rsidRPr="0033194D" w:rsidRDefault="00D9522E" w:rsidP="00876D62">
            <w:pPr>
              <w:spacing w:before="60" w:after="60" w:line="240" w:lineRule="auto"/>
              <w:contextualSpacing/>
              <w:jc w:val="left"/>
              <w:rPr>
                <w:sz w:val="18"/>
                <w:szCs w:val="18"/>
              </w:rPr>
            </w:pPr>
          </w:p>
        </w:tc>
        <w:tc>
          <w:tcPr>
            <w:tcW w:w="267"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0BE6DD0C" w14:textId="77777777" w:rsidR="00D9522E" w:rsidRPr="0033194D" w:rsidRDefault="00D9522E" w:rsidP="00876D62">
            <w:pPr>
              <w:spacing w:before="60" w:after="60" w:line="240" w:lineRule="auto"/>
              <w:contextualSpacing/>
              <w:jc w:val="left"/>
              <w:rPr>
                <w:sz w:val="18"/>
                <w:szCs w:val="18"/>
              </w:rPr>
            </w:pPr>
          </w:p>
        </w:tc>
        <w:tc>
          <w:tcPr>
            <w:tcW w:w="269" w:type="pct"/>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32BAD31A" w14:textId="77777777" w:rsidR="00D9522E" w:rsidRPr="0033194D" w:rsidRDefault="00D9522E" w:rsidP="00876D62">
            <w:pPr>
              <w:spacing w:before="60" w:after="60" w:line="240" w:lineRule="auto"/>
              <w:contextualSpacing/>
              <w:jc w:val="left"/>
              <w:rPr>
                <w:sz w:val="18"/>
                <w:szCs w:val="18"/>
              </w:rPr>
            </w:pPr>
          </w:p>
        </w:tc>
        <w:tc>
          <w:tcPr>
            <w:tcW w:w="269"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444159B2" w14:textId="77777777" w:rsidR="00D9522E" w:rsidRPr="0033194D" w:rsidRDefault="00D9522E" w:rsidP="00876D62">
            <w:pPr>
              <w:spacing w:before="60" w:after="60" w:line="240" w:lineRule="auto"/>
              <w:contextualSpacing/>
              <w:jc w:val="left"/>
              <w:rPr>
                <w:sz w:val="18"/>
                <w:szCs w:val="18"/>
              </w:rPr>
            </w:pPr>
          </w:p>
        </w:tc>
        <w:tc>
          <w:tcPr>
            <w:tcW w:w="257" w:type="pct"/>
            <w:tcBorders>
              <w:top w:val="single" w:sz="4" w:space="0" w:color="auto"/>
              <w:left w:val="single" w:sz="4" w:space="0" w:color="auto"/>
              <w:bottom w:val="single" w:sz="4" w:space="0" w:color="auto"/>
              <w:right w:val="single" w:sz="4" w:space="0" w:color="auto"/>
            </w:tcBorders>
            <w:shd w:val="clear" w:color="auto" w:fill="70AD47" w:themeFill="accent6"/>
          </w:tcPr>
          <w:p w14:paraId="1A1AE5EC" w14:textId="77777777" w:rsidR="00D9522E" w:rsidRPr="0033194D" w:rsidRDefault="00D9522E" w:rsidP="00876D62">
            <w:pPr>
              <w:spacing w:before="60" w:after="60" w:line="240" w:lineRule="auto"/>
              <w:contextualSpacing/>
              <w:jc w:val="left"/>
              <w:rPr>
                <w:sz w:val="18"/>
                <w:szCs w:val="18"/>
              </w:rPr>
            </w:pPr>
          </w:p>
        </w:tc>
      </w:tr>
      <w:tr w:rsidR="00D9522E" w:rsidRPr="0033194D" w14:paraId="20875A4F" w14:textId="77777777" w:rsidTr="00876D62">
        <w:trPr>
          <w:cantSplit/>
          <w:trHeight w:val="255"/>
        </w:trPr>
        <w:tc>
          <w:tcPr>
            <w:tcW w:w="3403" w:type="pct"/>
            <w:tcBorders>
              <w:top w:val="single" w:sz="4" w:space="0" w:color="auto"/>
              <w:left w:val="single" w:sz="4" w:space="0" w:color="auto"/>
              <w:right w:val="single" w:sz="4" w:space="0" w:color="auto"/>
            </w:tcBorders>
            <w:vAlign w:val="center"/>
          </w:tcPr>
          <w:p w14:paraId="5373A0F6" w14:textId="7CB6B3B9" w:rsidR="00D9522E" w:rsidRPr="0033194D" w:rsidRDefault="00D9522E" w:rsidP="00876D62">
            <w:pPr>
              <w:spacing w:before="60" w:after="60" w:line="240" w:lineRule="auto"/>
              <w:contextualSpacing/>
              <w:jc w:val="left"/>
              <w:rPr>
                <w:sz w:val="18"/>
                <w:szCs w:val="18"/>
              </w:rPr>
            </w:pPr>
            <w:r w:rsidRPr="0033194D">
              <w:rPr>
                <w:sz w:val="18"/>
                <w:szCs w:val="18"/>
              </w:rPr>
              <w:t>What did CEW contribute to the salinity regime? (CLLMM)</w:t>
            </w:r>
          </w:p>
        </w:tc>
        <w:tc>
          <w:tcPr>
            <w:tcW w:w="1597" w:type="pct"/>
            <w:gridSpan w:val="6"/>
            <w:tcBorders>
              <w:top w:val="single" w:sz="4" w:space="0" w:color="auto"/>
              <w:left w:val="single" w:sz="4" w:space="0" w:color="auto"/>
              <w:right w:val="single" w:sz="4" w:space="0" w:color="auto"/>
            </w:tcBorders>
            <w:shd w:val="clear" w:color="auto" w:fill="70AD47" w:themeFill="accent6"/>
            <w:vAlign w:val="center"/>
          </w:tcPr>
          <w:p w14:paraId="15F2D94F" w14:textId="77777777" w:rsidR="00D9522E" w:rsidRPr="0033194D" w:rsidRDefault="00D9522E" w:rsidP="00876D62">
            <w:pPr>
              <w:spacing w:before="60" w:after="60" w:line="240" w:lineRule="auto"/>
              <w:contextualSpacing/>
              <w:jc w:val="left"/>
              <w:rPr>
                <w:sz w:val="18"/>
                <w:szCs w:val="18"/>
              </w:rPr>
            </w:pPr>
          </w:p>
        </w:tc>
      </w:tr>
      <w:tr w:rsidR="00D9522E" w:rsidRPr="0033194D" w14:paraId="7C22DF45" w14:textId="77777777" w:rsidTr="00876D62">
        <w:trPr>
          <w:cantSplit/>
          <w:trHeight w:val="255"/>
        </w:trPr>
        <w:tc>
          <w:tcPr>
            <w:tcW w:w="3403" w:type="pct"/>
            <w:tcBorders>
              <w:top w:val="single" w:sz="4" w:space="0" w:color="auto"/>
              <w:left w:val="single" w:sz="4" w:space="0" w:color="auto"/>
              <w:right w:val="single" w:sz="4" w:space="0" w:color="auto"/>
            </w:tcBorders>
            <w:vAlign w:val="center"/>
          </w:tcPr>
          <w:p w14:paraId="03A03B6E" w14:textId="77777777" w:rsidR="00D9522E" w:rsidRPr="0033194D" w:rsidRDefault="00D9522E" w:rsidP="00876D62">
            <w:pPr>
              <w:spacing w:before="60" w:after="60" w:line="240" w:lineRule="auto"/>
              <w:contextualSpacing/>
              <w:jc w:val="left"/>
              <w:rPr>
                <w:sz w:val="18"/>
                <w:szCs w:val="18"/>
              </w:rPr>
            </w:pPr>
            <w:r w:rsidRPr="0033194D">
              <w:rPr>
                <w:sz w:val="18"/>
                <w:szCs w:val="18"/>
              </w:rPr>
              <w:t>What did CEW contribute to nitrogen and silica transport? (CLLMM)</w:t>
            </w:r>
          </w:p>
        </w:tc>
        <w:tc>
          <w:tcPr>
            <w:tcW w:w="26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5149D50" w14:textId="77777777" w:rsidR="00D9522E" w:rsidRPr="0033194D" w:rsidRDefault="00D9522E" w:rsidP="00876D62">
            <w:pPr>
              <w:spacing w:before="60" w:after="60" w:line="240" w:lineRule="auto"/>
              <w:contextualSpacing/>
              <w:jc w:val="left"/>
              <w:rPr>
                <w:sz w:val="18"/>
                <w:szCs w:val="18"/>
              </w:rPr>
            </w:pPr>
          </w:p>
        </w:tc>
        <w:tc>
          <w:tcPr>
            <w:tcW w:w="26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2E3E24C" w14:textId="77777777" w:rsidR="00D9522E" w:rsidRPr="0033194D" w:rsidRDefault="00D9522E" w:rsidP="00876D62">
            <w:pPr>
              <w:spacing w:before="60" w:after="60" w:line="240" w:lineRule="auto"/>
              <w:contextualSpacing/>
              <w:jc w:val="left"/>
              <w:rPr>
                <w:sz w:val="18"/>
                <w:szCs w:val="18"/>
              </w:rPr>
            </w:pPr>
          </w:p>
        </w:tc>
        <w:tc>
          <w:tcPr>
            <w:tcW w:w="26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B6D6E74" w14:textId="77777777" w:rsidR="00D9522E" w:rsidRPr="0033194D" w:rsidRDefault="00D9522E" w:rsidP="00876D62">
            <w:pPr>
              <w:spacing w:before="60" w:after="60" w:line="240" w:lineRule="auto"/>
              <w:contextualSpacing/>
              <w:jc w:val="left"/>
              <w:rPr>
                <w:sz w:val="18"/>
                <w:szCs w:val="18"/>
              </w:rPr>
            </w:pPr>
          </w:p>
        </w:tc>
        <w:tc>
          <w:tcPr>
            <w:tcW w:w="26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03320E6" w14:textId="77777777" w:rsidR="00D9522E" w:rsidRPr="0033194D" w:rsidRDefault="00D9522E" w:rsidP="00876D62">
            <w:pPr>
              <w:spacing w:before="60" w:after="60" w:line="240" w:lineRule="auto"/>
              <w:contextualSpacing/>
              <w:jc w:val="left"/>
              <w:rPr>
                <w:sz w:val="18"/>
                <w:szCs w:val="18"/>
              </w:rPr>
            </w:pPr>
          </w:p>
        </w:tc>
        <w:tc>
          <w:tcPr>
            <w:tcW w:w="26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481D957" w14:textId="77777777" w:rsidR="00D9522E" w:rsidRPr="0033194D" w:rsidRDefault="00D9522E" w:rsidP="00876D62">
            <w:pPr>
              <w:spacing w:before="60" w:after="60" w:line="240" w:lineRule="auto"/>
              <w:contextualSpacing/>
              <w:jc w:val="left"/>
              <w:rPr>
                <w:sz w:val="18"/>
                <w:szCs w:val="18"/>
              </w:rPr>
            </w:pPr>
          </w:p>
        </w:tc>
        <w:tc>
          <w:tcPr>
            <w:tcW w:w="257"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47BCAE0" w14:textId="77777777" w:rsidR="00D9522E" w:rsidRPr="0033194D" w:rsidRDefault="00D9522E" w:rsidP="00876D62">
            <w:pPr>
              <w:spacing w:before="60" w:after="60" w:line="240" w:lineRule="auto"/>
              <w:contextualSpacing/>
              <w:jc w:val="left"/>
              <w:rPr>
                <w:sz w:val="18"/>
                <w:szCs w:val="18"/>
              </w:rPr>
            </w:pPr>
          </w:p>
        </w:tc>
      </w:tr>
      <w:tr w:rsidR="00D9522E" w:rsidRPr="0033194D" w14:paraId="5600E00E" w14:textId="77777777" w:rsidTr="0062796E">
        <w:trPr>
          <w:cantSplit/>
          <w:trHeight w:val="255"/>
        </w:trPr>
        <w:tc>
          <w:tcPr>
            <w:tcW w:w="3403" w:type="pct"/>
            <w:tcBorders>
              <w:top w:val="single" w:sz="4" w:space="0" w:color="auto"/>
              <w:left w:val="single" w:sz="4" w:space="0" w:color="auto"/>
              <w:right w:val="single" w:sz="4" w:space="0" w:color="auto"/>
            </w:tcBorders>
            <w:vAlign w:val="center"/>
          </w:tcPr>
          <w:p w14:paraId="60DC497C" w14:textId="77777777" w:rsidR="00D9522E" w:rsidRPr="0033194D" w:rsidRDefault="00D9522E" w:rsidP="00876D62">
            <w:pPr>
              <w:spacing w:before="60" w:after="60" w:line="240" w:lineRule="auto"/>
              <w:contextualSpacing/>
              <w:jc w:val="left"/>
              <w:rPr>
                <w:sz w:val="18"/>
                <w:szCs w:val="18"/>
              </w:rPr>
            </w:pPr>
            <w:r w:rsidRPr="0033194D">
              <w:rPr>
                <w:sz w:val="18"/>
                <w:szCs w:val="18"/>
              </w:rPr>
              <w:t>What did CEW contribute to phosphorus transport? (CLLMM)</w:t>
            </w:r>
          </w:p>
        </w:tc>
        <w:tc>
          <w:tcPr>
            <w:tcW w:w="268"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DFBF7C7" w14:textId="77777777" w:rsidR="00D9522E" w:rsidRPr="0033194D" w:rsidRDefault="00D9522E" w:rsidP="00876D62">
            <w:pPr>
              <w:spacing w:before="60" w:after="60" w:line="240" w:lineRule="auto"/>
              <w:contextualSpacing/>
              <w:jc w:val="left"/>
              <w:rPr>
                <w:sz w:val="18"/>
                <w:szCs w:val="18"/>
              </w:rPr>
            </w:pPr>
          </w:p>
        </w:tc>
        <w:tc>
          <w:tcPr>
            <w:tcW w:w="267"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465D9669" w14:textId="77777777" w:rsidR="00D9522E" w:rsidRPr="0033194D" w:rsidRDefault="00D9522E" w:rsidP="00876D62">
            <w:pPr>
              <w:spacing w:before="60" w:after="60" w:line="240" w:lineRule="auto"/>
              <w:contextualSpacing/>
              <w:jc w:val="left"/>
              <w:rPr>
                <w:sz w:val="18"/>
                <w:szCs w:val="18"/>
              </w:rPr>
            </w:pPr>
          </w:p>
        </w:tc>
        <w:tc>
          <w:tcPr>
            <w:tcW w:w="267"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0F602392" w14:textId="77777777" w:rsidR="00D9522E" w:rsidRPr="0033194D" w:rsidRDefault="00D9522E" w:rsidP="00876D62">
            <w:pPr>
              <w:spacing w:before="60" w:after="60" w:line="240" w:lineRule="auto"/>
              <w:contextualSpacing/>
              <w:jc w:val="left"/>
              <w:rPr>
                <w:sz w:val="18"/>
                <w:szCs w:val="18"/>
              </w:rPr>
            </w:pPr>
          </w:p>
        </w:tc>
        <w:tc>
          <w:tcPr>
            <w:tcW w:w="269"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76416151" w14:textId="77777777" w:rsidR="00D9522E" w:rsidRPr="0033194D" w:rsidRDefault="00D9522E" w:rsidP="00876D62">
            <w:pPr>
              <w:spacing w:before="60" w:after="60" w:line="240" w:lineRule="auto"/>
              <w:contextualSpacing/>
              <w:jc w:val="left"/>
              <w:rPr>
                <w:sz w:val="18"/>
                <w:szCs w:val="18"/>
              </w:rPr>
            </w:pPr>
          </w:p>
        </w:tc>
        <w:tc>
          <w:tcPr>
            <w:tcW w:w="269"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453F52FE" w14:textId="77777777" w:rsidR="00D9522E" w:rsidRPr="0033194D" w:rsidRDefault="00D9522E" w:rsidP="00876D62">
            <w:pPr>
              <w:spacing w:before="60" w:after="60" w:line="240" w:lineRule="auto"/>
              <w:contextualSpacing/>
              <w:jc w:val="left"/>
              <w:rPr>
                <w:sz w:val="18"/>
                <w:szCs w:val="18"/>
              </w:rPr>
            </w:pPr>
          </w:p>
        </w:tc>
        <w:tc>
          <w:tcPr>
            <w:tcW w:w="257"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295FA9C6" w14:textId="77777777" w:rsidR="00D9522E" w:rsidRPr="0033194D" w:rsidRDefault="00D9522E" w:rsidP="00876D62">
            <w:pPr>
              <w:spacing w:before="60" w:after="60" w:line="240" w:lineRule="auto"/>
              <w:contextualSpacing/>
              <w:jc w:val="left"/>
              <w:rPr>
                <w:sz w:val="18"/>
                <w:szCs w:val="18"/>
              </w:rPr>
            </w:pPr>
          </w:p>
        </w:tc>
      </w:tr>
      <w:tr w:rsidR="00D9522E" w:rsidRPr="0033194D" w14:paraId="3FBAA269" w14:textId="77777777" w:rsidTr="00876D62">
        <w:trPr>
          <w:cantSplit/>
          <w:trHeight w:val="255"/>
        </w:trPr>
        <w:tc>
          <w:tcPr>
            <w:tcW w:w="3403" w:type="pct"/>
            <w:tcBorders>
              <w:top w:val="single" w:sz="4" w:space="0" w:color="auto"/>
              <w:left w:val="single" w:sz="4" w:space="0" w:color="auto"/>
              <w:right w:val="single" w:sz="4" w:space="0" w:color="auto"/>
            </w:tcBorders>
            <w:shd w:val="clear" w:color="auto" w:fill="auto"/>
            <w:vAlign w:val="center"/>
          </w:tcPr>
          <w:p w14:paraId="7AA04BBB" w14:textId="77777777" w:rsidR="00D9522E" w:rsidRPr="0033194D" w:rsidRDefault="00D9522E" w:rsidP="00876D62">
            <w:pPr>
              <w:spacing w:before="60" w:after="60" w:line="240" w:lineRule="auto"/>
              <w:contextualSpacing/>
              <w:jc w:val="left"/>
              <w:rPr>
                <w:sz w:val="18"/>
                <w:szCs w:val="18"/>
              </w:rPr>
            </w:pPr>
            <w:r w:rsidRPr="0033194D">
              <w:rPr>
                <w:sz w:val="18"/>
                <w:szCs w:val="18"/>
              </w:rPr>
              <w:t>What did CEW contribute to phytoplankton transport? (CLLMM)</w:t>
            </w:r>
          </w:p>
        </w:tc>
        <w:tc>
          <w:tcPr>
            <w:tcW w:w="268"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2862C2F" w14:textId="77777777" w:rsidR="00D9522E" w:rsidRPr="0033194D" w:rsidRDefault="00D9522E" w:rsidP="00876D62">
            <w:pPr>
              <w:spacing w:before="60" w:after="60" w:line="240" w:lineRule="auto"/>
              <w:contextualSpacing/>
              <w:jc w:val="left"/>
              <w:rPr>
                <w:sz w:val="18"/>
                <w:szCs w:val="18"/>
              </w:rPr>
            </w:pPr>
          </w:p>
        </w:tc>
        <w:tc>
          <w:tcPr>
            <w:tcW w:w="267"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059EC9B" w14:textId="77777777" w:rsidR="00D9522E" w:rsidRPr="0033194D" w:rsidRDefault="00D9522E" w:rsidP="00876D62">
            <w:pPr>
              <w:spacing w:before="60" w:after="60" w:line="240" w:lineRule="auto"/>
              <w:contextualSpacing/>
              <w:jc w:val="left"/>
              <w:rPr>
                <w:sz w:val="18"/>
                <w:szCs w:val="18"/>
              </w:rPr>
            </w:pPr>
          </w:p>
        </w:tc>
        <w:tc>
          <w:tcPr>
            <w:tcW w:w="267"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34D6AE95" w14:textId="77777777" w:rsidR="00D9522E" w:rsidRPr="0033194D" w:rsidRDefault="00D9522E" w:rsidP="00876D62">
            <w:pPr>
              <w:spacing w:before="60" w:after="60" w:line="240" w:lineRule="auto"/>
              <w:contextualSpacing/>
              <w:jc w:val="left"/>
              <w:rPr>
                <w:sz w:val="18"/>
                <w:szCs w:val="18"/>
              </w:rPr>
            </w:pPr>
          </w:p>
        </w:tc>
        <w:tc>
          <w:tcPr>
            <w:tcW w:w="269"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2AF44D6B" w14:textId="77777777" w:rsidR="00D9522E" w:rsidRPr="0033194D" w:rsidRDefault="00D9522E" w:rsidP="00876D62">
            <w:pPr>
              <w:spacing w:before="60" w:after="60" w:line="240" w:lineRule="auto"/>
              <w:contextualSpacing/>
              <w:jc w:val="left"/>
              <w:rPr>
                <w:sz w:val="18"/>
                <w:szCs w:val="18"/>
              </w:rPr>
            </w:pPr>
          </w:p>
        </w:tc>
        <w:tc>
          <w:tcPr>
            <w:tcW w:w="269"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94AB9B1" w14:textId="77777777" w:rsidR="00D9522E" w:rsidRPr="0033194D" w:rsidRDefault="00D9522E" w:rsidP="00876D62">
            <w:pPr>
              <w:spacing w:before="60" w:after="60" w:line="240" w:lineRule="auto"/>
              <w:contextualSpacing/>
              <w:jc w:val="left"/>
              <w:rPr>
                <w:sz w:val="18"/>
                <w:szCs w:val="18"/>
              </w:rPr>
            </w:pPr>
          </w:p>
        </w:tc>
        <w:tc>
          <w:tcPr>
            <w:tcW w:w="257"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2C2A181" w14:textId="77777777" w:rsidR="00D9522E" w:rsidRPr="0033194D" w:rsidRDefault="00D9522E" w:rsidP="00876D62">
            <w:pPr>
              <w:spacing w:before="60" w:after="60" w:line="240" w:lineRule="auto"/>
              <w:contextualSpacing/>
              <w:jc w:val="left"/>
              <w:rPr>
                <w:sz w:val="18"/>
                <w:szCs w:val="18"/>
              </w:rPr>
            </w:pPr>
          </w:p>
        </w:tc>
      </w:tr>
      <w:tr w:rsidR="00D9522E" w:rsidRPr="0033194D" w14:paraId="7C4B949A" w14:textId="77777777" w:rsidTr="007535A2">
        <w:trPr>
          <w:cantSplit/>
          <w:trHeight w:val="255"/>
        </w:trPr>
        <w:tc>
          <w:tcPr>
            <w:tcW w:w="3403" w:type="pct"/>
            <w:tcBorders>
              <w:top w:val="single" w:sz="4" w:space="0" w:color="auto"/>
              <w:left w:val="single" w:sz="4" w:space="0" w:color="auto"/>
              <w:right w:val="single" w:sz="4" w:space="0" w:color="auto"/>
            </w:tcBorders>
            <w:shd w:val="clear" w:color="auto" w:fill="auto"/>
            <w:vAlign w:val="center"/>
          </w:tcPr>
          <w:p w14:paraId="75F57A19" w14:textId="77777777" w:rsidR="00D9522E" w:rsidRPr="0033194D" w:rsidRDefault="00D9522E" w:rsidP="00876D62">
            <w:pPr>
              <w:spacing w:before="60" w:after="60" w:line="240" w:lineRule="auto"/>
              <w:contextualSpacing/>
              <w:jc w:val="left"/>
              <w:rPr>
                <w:sz w:val="18"/>
                <w:szCs w:val="18"/>
              </w:rPr>
            </w:pPr>
            <w:r w:rsidRPr="00500410">
              <w:rPr>
                <w:sz w:val="18"/>
                <w:szCs w:val="18"/>
              </w:rPr>
              <w:t xml:space="preserve">What did CEW contribute to improving </w:t>
            </w:r>
            <w:proofErr w:type="spellStart"/>
            <w:r w:rsidRPr="00500410">
              <w:rPr>
                <w:i/>
                <w:iCs/>
                <w:sz w:val="18"/>
                <w:szCs w:val="18"/>
              </w:rPr>
              <w:t>Ruppia</w:t>
            </w:r>
            <w:proofErr w:type="spellEnd"/>
            <w:r w:rsidRPr="00500410">
              <w:rPr>
                <w:i/>
                <w:iCs/>
                <w:sz w:val="18"/>
                <w:szCs w:val="18"/>
              </w:rPr>
              <w:t xml:space="preserve"> tuberosa</w:t>
            </w:r>
            <w:r w:rsidRPr="00500410">
              <w:rPr>
                <w:sz w:val="18"/>
                <w:szCs w:val="18"/>
              </w:rPr>
              <w:t xml:space="preserve"> habitat?</w:t>
            </w:r>
            <w:r>
              <w:rPr>
                <w:sz w:val="18"/>
                <w:szCs w:val="18"/>
              </w:rPr>
              <w:t xml:space="preserve"> (CLLMM)</w:t>
            </w:r>
          </w:p>
        </w:tc>
        <w:tc>
          <w:tcPr>
            <w:tcW w:w="268" w:type="pc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6559F6C2" w14:textId="77777777" w:rsidR="00D9522E" w:rsidRPr="0033194D" w:rsidRDefault="00D9522E" w:rsidP="00876D62">
            <w:pPr>
              <w:spacing w:before="60" w:after="60" w:line="240" w:lineRule="auto"/>
              <w:contextualSpacing/>
              <w:jc w:val="left"/>
              <w:rPr>
                <w:sz w:val="18"/>
                <w:szCs w:val="18"/>
              </w:rPr>
            </w:pPr>
          </w:p>
        </w:tc>
        <w:tc>
          <w:tcPr>
            <w:tcW w:w="267" w:type="pc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475C5D0C" w14:textId="77777777" w:rsidR="00D9522E" w:rsidRPr="0033194D" w:rsidRDefault="00D9522E" w:rsidP="00876D62">
            <w:pPr>
              <w:spacing w:before="60" w:after="60" w:line="240" w:lineRule="auto"/>
              <w:contextualSpacing/>
              <w:jc w:val="left"/>
              <w:rPr>
                <w:sz w:val="18"/>
                <w:szCs w:val="18"/>
              </w:rPr>
            </w:pPr>
          </w:p>
        </w:tc>
        <w:tc>
          <w:tcPr>
            <w:tcW w:w="267" w:type="pc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3D6A76C4" w14:textId="77777777" w:rsidR="00D9522E" w:rsidRPr="0033194D" w:rsidRDefault="00D9522E" w:rsidP="00876D62">
            <w:pPr>
              <w:spacing w:before="60" w:after="60" w:line="240" w:lineRule="auto"/>
              <w:contextualSpacing/>
              <w:jc w:val="left"/>
              <w:rPr>
                <w:sz w:val="18"/>
                <w:szCs w:val="18"/>
              </w:rPr>
            </w:pPr>
          </w:p>
        </w:tc>
        <w:tc>
          <w:tcPr>
            <w:tcW w:w="269" w:type="pct"/>
            <w:tcBorders>
              <w:top w:val="single" w:sz="4" w:space="0" w:color="auto"/>
              <w:left w:val="single" w:sz="4" w:space="0" w:color="auto"/>
              <w:bottom w:val="single" w:sz="4" w:space="0" w:color="auto"/>
              <w:right w:val="nil"/>
            </w:tcBorders>
            <w:shd w:val="clear" w:color="auto" w:fill="70AD47" w:themeFill="accent6"/>
            <w:vAlign w:val="center"/>
          </w:tcPr>
          <w:p w14:paraId="385B1C23" w14:textId="77777777" w:rsidR="00D9522E" w:rsidRPr="0033194D" w:rsidRDefault="00D9522E" w:rsidP="00876D62">
            <w:pPr>
              <w:spacing w:before="60" w:after="60" w:line="240" w:lineRule="auto"/>
              <w:contextualSpacing/>
              <w:jc w:val="left"/>
              <w:rPr>
                <w:sz w:val="18"/>
                <w:szCs w:val="18"/>
              </w:rPr>
            </w:pPr>
          </w:p>
        </w:tc>
        <w:tc>
          <w:tcPr>
            <w:tcW w:w="269" w:type="pct"/>
            <w:tcBorders>
              <w:top w:val="single" w:sz="4" w:space="0" w:color="auto"/>
              <w:left w:val="nil"/>
              <w:bottom w:val="single" w:sz="4" w:space="0" w:color="auto"/>
              <w:right w:val="nil"/>
            </w:tcBorders>
            <w:shd w:val="clear" w:color="auto" w:fill="70AD47" w:themeFill="accent6"/>
            <w:vAlign w:val="center"/>
          </w:tcPr>
          <w:p w14:paraId="1A5349E0" w14:textId="77777777" w:rsidR="00D9522E" w:rsidRPr="0033194D" w:rsidRDefault="00D9522E" w:rsidP="00876D62">
            <w:pPr>
              <w:spacing w:before="60" w:after="60" w:line="240" w:lineRule="auto"/>
              <w:contextualSpacing/>
              <w:jc w:val="left"/>
              <w:rPr>
                <w:sz w:val="18"/>
                <w:szCs w:val="18"/>
              </w:rPr>
            </w:pPr>
          </w:p>
        </w:tc>
        <w:tc>
          <w:tcPr>
            <w:tcW w:w="257" w:type="pct"/>
            <w:tcBorders>
              <w:top w:val="single" w:sz="4" w:space="0" w:color="auto"/>
              <w:left w:val="nil"/>
              <w:bottom w:val="single" w:sz="4" w:space="0" w:color="auto"/>
              <w:right w:val="single" w:sz="4" w:space="0" w:color="auto"/>
            </w:tcBorders>
            <w:shd w:val="clear" w:color="auto" w:fill="70AD47" w:themeFill="accent6"/>
          </w:tcPr>
          <w:p w14:paraId="0845E414" w14:textId="77777777" w:rsidR="00D9522E" w:rsidRPr="0033194D" w:rsidRDefault="00D9522E" w:rsidP="00876D62">
            <w:pPr>
              <w:spacing w:before="60" w:after="60" w:line="240" w:lineRule="auto"/>
              <w:contextualSpacing/>
              <w:jc w:val="left"/>
              <w:rPr>
                <w:sz w:val="18"/>
                <w:szCs w:val="18"/>
              </w:rPr>
            </w:pPr>
          </w:p>
        </w:tc>
      </w:tr>
      <w:tr w:rsidR="00D9522E" w:rsidRPr="0033194D" w14:paraId="0BE5E594" w14:textId="77777777" w:rsidTr="00154F97">
        <w:trPr>
          <w:cantSplit/>
          <w:trHeight w:val="255"/>
        </w:trPr>
        <w:tc>
          <w:tcPr>
            <w:tcW w:w="3403" w:type="pct"/>
            <w:tcBorders>
              <w:top w:val="single" w:sz="4" w:space="0" w:color="auto"/>
              <w:left w:val="single" w:sz="4" w:space="0" w:color="auto"/>
              <w:right w:val="single" w:sz="4" w:space="0" w:color="auto"/>
            </w:tcBorders>
            <w:shd w:val="clear" w:color="auto" w:fill="auto"/>
            <w:vAlign w:val="center"/>
          </w:tcPr>
          <w:p w14:paraId="7A90C0C4" w14:textId="77777777" w:rsidR="00D9522E" w:rsidRPr="0033194D" w:rsidRDefault="00D9522E" w:rsidP="00876D62">
            <w:pPr>
              <w:spacing w:before="60" w:after="60" w:line="240" w:lineRule="auto"/>
              <w:contextualSpacing/>
              <w:jc w:val="left"/>
              <w:rPr>
                <w:sz w:val="18"/>
                <w:szCs w:val="18"/>
              </w:rPr>
            </w:pPr>
            <w:r w:rsidRPr="00500410">
              <w:rPr>
                <w:sz w:val="18"/>
                <w:szCs w:val="18"/>
              </w:rPr>
              <w:t>What did CEW contribute to improving fish habitat?</w:t>
            </w:r>
            <w:r>
              <w:rPr>
                <w:sz w:val="18"/>
                <w:szCs w:val="18"/>
              </w:rPr>
              <w:t xml:space="preserve"> (CLLMM)</w:t>
            </w:r>
          </w:p>
        </w:tc>
        <w:tc>
          <w:tcPr>
            <w:tcW w:w="268" w:type="pc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1E4023E7" w14:textId="77777777" w:rsidR="00D9522E" w:rsidRPr="0033194D" w:rsidRDefault="00D9522E" w:rsidP="00876D62">
            <w:pPr>
              <w:spacing w:before="60" w:after="60" w:line="240" w:lineRule="auto"/>
              <w:contextualSpacing/>
              <w:jc w:val="left"/>
              <w:rPr>
                <w:sz w:val="18"/>
                <w:szCs w:val="18"/>
              </w:rPr>
            </w:pPr>
          </w:p>
        </w:tc>
        <w:tc>
          <w:tcPr>
            <w:tcW w:w="267" w:type="pc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1DAE22C5" w14:textId="77777777" w:rsidR="00D9522E" w:rsidRPr="0033194D" w:rsidRDefault="00D9522E" w:rsidP="00876D62">
            <w:pPr>
              <w:spacing w:before="60" w:after="60" w:line="240" w:lineRule="auto"/>
              <w:contextualSpacing/>
              <w:jc w:val="left"/>
              <w:rPr>
                <w:sz w:val="18"/>
                <w:szCs w:val="18"/>
              </w:rPr>
            </w:pPr>
          </w:p>
        </w:tc>
        <w:tc>
          <w:tcPr>
            <w:tcW w:w="267" w:type="pc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3C78AED7" w14:textId="77777777" w:rsidR="00D9522E" w:rsidRPr="0033194D" w:rsidRDefault="00D9522E" w:rsidP="00876D62">
            <w:pPr>
              <w:spacing w:before="60" w:after="60" w:line="240" w:lineRule="auto"/>
              <w:contextualSpacing/>
              <w:jc w:val="left"/>
              <w:rPr>
                <w:sz w:val="18"/>
                <w:szCs w:val="18"/>
              </w:rPr>
            </w:pPr>
          </w:p>
        </w:tc>
        <w:tc>
          <w:tcPr>
            <w:tcW w:w="269" w:type="pct"/>
            <w:tcBorders>
              <w:top w:val="single" w:sz="4" w:space="0" w:color="auto"/>
              <w:left w:val="single" w:sz="4" w:space="0" w:color="auto"/>
              <w:bottom w:val="single" w:sz="4" w:space="0" w:color="auto"/>
              <w:right w:val="nil"/>
            </w:tcBorders>
            <w:shd w:val="clear" w:color="auto" w:fill="5B9BD5" w:themeFill="accent1"/>
            <w:vAlign w:val="center"/>
          </w:tcPr>
          <w:p w14:paraId="7CD84EAF" w14:textId="77777777" w:rsidR="00D9522E" w:rsidRPr="0033194D" w:rsidRDefault="00D9522E" w:rsidP="00876D62">
            <w:pPr>
              <w:spacing w:before="60" w:after="60" w:line="240" w:lineRule="auto"/>
              <w:contextualSpacing/>
              <w:jc w:val="left"/>
              <w:rPr>
                <w:sz w:val="18"/>
                <w:szCs w:val="18"/>
              </w:rPr>
            </w:pPr>
          </w:p>
        </w:tc>
        <w:tc>
          <w:tcPr>
            <w:tcW w:w="269" w:type="pct"/>
            <w:tcBorders>
              <w:top w:val="single" w:sz="4" w:space="0" w:color="auto"/>
              <w:left w:val="nil"/>
              <w:bottom w:val="single" w:sz="4" w:space="0" w:color="auto"/>
              <w:right w:val="nil"/>
            </w:tcBorders>
            <w:shd w:val="clear" w:color="auto" w:fill="5B9BD5" w:themeFill="accent1"/>
            <w:vAlign w:val="center"/>
          </w:tcPr>
          <w:p w14:paraId="114F94F3" w14:textId="77777777" w:rsidR="00D9522E" w:rsidRPr="0033194D" w:rsidRDefault="00D9522E" w:rsidP="00876D62">
            <w:pPr>
              <w:spacing w:before="60" w:after="60" w:line="240" w:lineRule="auto"/>
              <w:contextualSpacing/>
              <w:jc w:val="left"/>
              <w:rPr>
                <w:sz w:val="18"/>
                <w:szCs w:val="18"/>
              </w:rPr>
            </w:pPr>
          </w:p>
        </w:tc>
        <w:tc>
          <w:tcPr>
            <w:tcW w:w="257" w:type="pct"/>
            <w:tcBorders>
              <w:top w:val="single" w:sz="4" w:space="0" w:color="auto"/>
              <w:left w:val="nil"/>
              <w:bottom w:val="single" w:sz="4" w:space="0" w:color="auto"/>
              <w:right w:val="single" w:sz="4" w:space="0" w:color="auto"/>
            </w:tcBorders>
            <w:shd w:val="clear" w:color="auto" w:fill="5B9BD5" w:themeFill="accent1"/>
          </w:tcPr>
          <w:p w14:paraId="3511EE0B" w14:textId="77777777" w:rsidR="00D9522E" w:rsidRPr="0033194D" w:rsidRDefault="00D9522E" w:rsidP="00876D62">
            <w:pPr>
              <w:spacing w:before="60" w:after="60" w:line="240" w:lineRule="auto"/>
              <w:contextualSpacing/>
              <w:jc w:val="left"/>
              <w:rPr>
                <w:sz w:val="18"/>
                <w:szCs w:val="18"/>
              </w:rPr>
            </w:pPr>
          </w:p>
        </w:tc>
      </w:tr>
      <w:tr w:rsidR="00D9522E" w:rsidRPr="0033194D" w14:paraId="1A048FC6" w14:textId="77777777" w:rsidTr="00154F97">
        <w:trPr>
          <w:cantSplit/>
          <w:trHeight w:val="255"/>
        </w:trPr>
        <w:tc>
          <w:tcPr>
            <w:tcW w:w="3403" w:type="pct"/>
            <w:tcBorders>
              <w:top w:val="single" w:sz="4" w:space="0" w:color="auto"/>
              <w:left w:val="single" w:sz="4" w:space="0" w:color="auto"/>
              <w:right w:val="single" w:sz="4" w:space="0" w:color="auto"/>
            </w:tcBorders>
            <w:shd w:val="clear" w:color="auto" w:fill="auto"/>
            <w:vAlign w:val="center"/>
          </w:tcPr>
          <w:p w14:paraId="0DA5207B" w14:textId="173AF03E" w:rsidR="00D9522E" w:rsidRPr="00500410" w:rsidRDefault="00D9522E" w:rsidP="00876D62">
            <w:pPr>
              <w:spacing w:before="60" w:after="60" w:line="240" w:lineRule="auto"/>
              <w:contextualSpacing/>
              <w:jc w:val="left"/>
              <w:rPr>
                <w:sz w:val="18"/>
                <w:szCs w:val="18"/>
              </w:rPr>
            </w:pPr>
            <w:r w:rsidRPr="00B93045">
              <w:rPr>
                <w:sz w:val="18"/>
                <w:szCs w:val="18"/>
              </w:rPr>
              <w:t>What did CEW contribute to littoral understorey vegetation diversity and productivity?</w:t>
            </w:r>
            <w:r>
              <w:rPr>
                <w:sz w:val="18"/>
                <w:szCs w:val="18"/>
              </w:rPr>
              <w:t xml:space="preserve"> (LMR)</w:t>
            </w:r>
            <w:r w:rsidR="0006798D">
              <w:rPr>
                <w:sz w:val="18"/>
                <w:szCs w:val="18"/>
              </w:rPr>
              <w:t>*</w:t>
            </w:r>
          </w:p>
        </w:tc>
        <w:tc>
          <w:tcPr>
            <w:tcW w:w="268" w:type="pc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12DBCDA0" w14:textId="77777777" w:rsidR="00D9522E" w:rsidRPr="0033194D" w:rsidRDefault="00D9522E" w:rsidP="00876D62">
            <w:pPr>
              <w:spacing w:before="60" w:after="60" w:line="240" w:lineRule="auto"/>
              <w:contextualSpacing/>
              <w:jc w:val="left"/>
              <w:rPr>
                <w:sz w:val="18"/>
                <w:szCs w:val="18"/>
              </w:rPr>
            </w:pPr>
          </w:p>
        </w:tc>
        <w:tc>
          <w:tcPr>
            <w:tcW w:w="267" w:type="pc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156C3CC8" w14:textId="77777777" w:rsidR="00D9522E" w:rsidRPr="0033194D" w:rsidRDefault="00D9522E" w:rsidP="00876D62">
            <w:pPr>
              <w:spacing w:before="60" w:after="60" w:line="240" w:lineRule="auto"/>
              <w:contextualSpacing/>
              <w:jc w:val="left"/>
              <w:rPr>
                <w:sz w:val="18"/>
                <w:szCs w:val="18"/>
              </w:rPr>
            </w:pPr>
          </w:p>
        </w:tc>
        <w:tc>
          <w:tcPr>
            <w:tcW w:w="267" w:type="pc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74648D55" w14:textId="77777777" w:rsidR="00D9522E" w:rsidRPr="0033194D" w:rsidRDefault="00D9522E" w:rsidP="00876D62">
            <w:pPr>
              <w:spacing w:before="60" w:after="60" w:line="240" w:lineRule="auto"/>
              <w:contextualSpacing/>
              <w:jc w:val="left"/>
              <w:rPr>
                <w:sz w:val="18"/>
                <w:szCs w:val="18"/>
              </w:rPr>
            </w:pPr>
          </w:p>
        </w:tc>
        <w:tc>
          <w:tcPr>
            <w:tcW w:w="269" w:type="pc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508EFD6C" w14:textId="77777777" w:rsidR="00D9522E" w:rsidRPr="0033194D" w:rsidRDefault="00D9522E" w:rsidP="00876D62">
            <w:pPr>
              <w:spacing w:before="60" w:after="60" w:line="240" w:lineRule="auto"/>
              <w:contextualSpacing/>
              <w:jc w:val="left"/>
              <w:rPr>
                <w:sz w:val="18"/>
                <w:szCs w:val="18"/>
              </w:rPr>
            </w:pPr>
          </w:p>
        </w:tc>
        <w:tc>
          <w:tcPr>
            <w:tcW w:w="269" w:type="pc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189D08B4" w14:textId="77777777" w:rsidR="00D9522E" w:rsidRPr="0033194D" w:rsidRDefault="00D9522E" w:rsidP="00876D62">
            <w:pPr>
              <w:spacing w:before="60" w:after="60" w:line="240" w:lineRule="auto"/>
              <w:contextualSpacing/>
              <w:jc w:val="left"/>
              <w:rPr>
                <w:sz w:val="18"/>
                <w:szCs w:val="18"/>
              </w:rPr>
            </w:pPr>
          </w:p>
        </w:tc>
        <w:tc>
          <w:tcPr>
            <w:tcW w:w="257" w:type="pct"/>
            <w:tcBorders>
              <w:top w:val="single" w:sz="4" w:space="0" w:color="auto"/>
              <w:left w:val="single" w:sz="4" w:space="0" w:color="auto"/>
              <w:bottom w:val="single" w:sz="4" w:space="0" w:color="auto"/>
              <w:right w:val="single" w:sz="4" w:space="0" w:color="auto"/>
            </w:tcBorders>
            <w:shd w:val="clear" w:color="auto" w:fill="70AD47" w:themeFill="accent6"/>
          </w:tcPr>
          <w:p w14:paraId="5B63AD84" w14:textId="77777777" w:rsidR="00D9522E" w:rsidRPr="0033194D" w:rsidRDefault="00D9522E" w:rsidP="00876D62">
            <w:pPr>
              <w:spacing w:before="60" w:after="60" w:line="240" w:lineRule="auto"/>
              <w:contextualSpacing/>
              <w:jc w:val="left"/>
              <w:rPr>
                <w:sz w:val="18"/>
                <w:szCs w:val="18"/>
              </w:rPr>
            </w:pPr>
          </w:p>
        </w:tc>
      </w:tr>
      <w:tr w:rsidR="00D9522E" w:rsidRPr="0033194D" w14:paraId="3900D4A8" w14:textId="77777777" w:rsidTr="00B164BA">
        <w:trPr>
          <w:cantSplit/>
          <w:trHeight w:val="255"/>
        </w:trPr>
        <w:tc>
          <w:tcPr>
            <w:tcW w:w="3403" w:type="pct"/>
            <w:tcBorders>
              <w:top w:val="single" w:sz="4" w:space="0" w:color="auto"/>
              <w:left w:val="single" w:sz="4" w:space="0" w:color="auto"/>
              <w:right w:val="single" w:sz="4" w:space="0" w:color="auto"/>
            </w:tcBorders>
            <w:shd w:val="clear" w:color="auto" w:fill="auto"/>
            <w:vAlign w:val="center"/>
          </w:tcPr>
          <w:p w14:paraId="43DDE0CD" w14:textId="77777777" w:rsidR="00D9522E" w:rsidRPr="0033194D" w:rsidRDefault="00D9522E" w:rsidP="00876D62">
            <w:pPr>
              <w:spacing w:before="60" w:after="60" w:line="240" w:lineRule="auto"/>
              <w:contextualSpacing/>
              <w:jc w:val="left"/>
              <w:rPr>
                <w:sz w:val="18"/>
                <w:szCs w:val="18"/>
              </w:rPr>
            </w:pPr>
            <w:r w:rsidRPr="0033194D">
              <w:rPr>
                <w:sz w:val="18"/>
                <w:szCs w:val="18"/>
              </w:rPr>
              <w:t xml:space="preserve">What did CEW contribute to </w:t>
            </w:r>
            <w:proofErr w:type="spellStart"/>
            <w:r w:rsidRPr="0033194D">
              <w:rPr>
                <w:sz w:val="18"/>
                <w:szCs w:val="18"/>
              </w:rPr>
              <w:t>microinvertebrate</w:t>
            </w:r>
            <w:proofErr w:type="spellEnd"/>
            <w:r w:rsidRPr="0033194D">
              <w:rPr>
                <w:sz w:val="18"/>
                <w:szCs w:val="18"/>
              </w:rPr>
              <w:t xml:space="preserve"> </w:t>
            </w:r>
            <w:r>
              <w:rPr>
                <w:sz w:val="18"/>
                <w:szCs w:val="18"/>
              </w:rPr>
              <w:t>density</w:t>
            </w:r>
            <w:r w:rsidRPr="0033194D">
              <w:rPr>
                <w:sz w:val="18"/>
                <w:szCs w:val="18"/>
              </w:rPr>
              <w:t>? (LMR)</w:t>
            </w:r>
            <w:r>
              <w:rPr>
                <w:sz w:val="18"/>
                <w:szCs w:val="18"/>
              </w:rPr>
              <w:t>*</w:t>
            </w:r>
          </w:p>
        </w:tc>
        <w:tc>
          <w:tcPr>
            <w:tcW w:w="268"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2060319" w14:textId="77777777" w:rsidR="00D9522E" w:rsidRPr="0033194D" w:rsidRDefault="00D9522E" w:rsidP="00876D62">
            <w:pPr>
              <w:spacing w:before="60" w:after="60" w:line="240" w:lineRule="auto"/>
              <w:contextualSpacing/>
              <w:jc w:val="left"/>
              <w:rPr>
                <w:sz w:val="18"/>
                <w:szCs w:val="18"/>
              </w:rPr>
            </w:pPr>
          </w:p>
        </w:tc>
        <w:tc>
          <w:tcPr>
            <w:tcW w:w="267"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BB19BC4" w14:textId="77777777" w:rsidR="00D9522E" w:rsidRPr="0033194D" w:rsidRDefault="00D9522E" w:rsidP="00876D62">
            <w:pPr>
              <w:spacing w:before="60" w:after="60" w:line="240" w:lineRule="auto"/>
              <w:contextualSpacing/>
              <w:jc w:val="left"/>
              <w:rPr>
                <w:sz w:val="18"/>
                <w:szCs w:val="18"/>
              </w:rPr>
            </w:pPr>
          </w:p>
        </w:tc>
        <w:tc>
          <w:tcPr>
            <w:tcW w:w="267"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7B18532" w14:textId="77777777" w:rsidR="00D9522E" w:rsidRPr="0033194D" w:rsidRDefault="00D9522E" w:rsidP="00876D62">
            <w:pPr>
              <w:spacing w:before="60" w:after="60" w:line="240" w:lineRule="auto"/>
              <w:contextualSpacing/>
              <w:jc w:val="left"/>
              <w:rPr>
                <w:sz w:val="18"/>
                <w:szCs w:val="18"/>
              </w:rPr>
            </w:pPr>
          </w:p>
        </w:tc>
        <w:tc>
          <w:tcPr>
            <w:tcW w:w="269" w:type="pct"/>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504FA495" w14:textId="77777777" w:rsidR="00D9522E" w:rsidRPr="0033194D" w:rsidRDefault="00D9522E" w:rsidP="00876D62">
            <w:pPr>
              <w:spacing w:before="60" w:after="60" w:line="240" w:lineRule="auto"/>
              <w:contextualSpacing/>
              <w:jc w:val="left"/>
              <w:rPr>
                <w:sz w:val="18"/>
                <w:szCs w:val="18"/>
              </w:rPr>
            </w:pPr>
          </w:p>
        </w:tc>
        <w:tc>
          <w:tcPr>
            <w:tcW w:w="269" w:type="pc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1A69C4AB" w14:textId="77777777" w:rsidR="00D9522E" w:rsidRPr="0033194D" w:rsidRDefault="00D9522E" w:rsidP="00876D62">
            <w:pPr>
              <w:spacing w:before="60" w:after="60" w:line="240" w:lineRule="auto"/>
              <w:contextualSpacing/>
              <w:jc w:val="left"/>
              <w:rPr>
                <w:sz w:val="18"/>
                <w:szCs w:val="18"/>
              </w:rPr>
            </w:pPr>
          </w:p>
        </w:tc>
        <w:tc>
          <w:tcPr>
            <w:tcW w:w="257" w:type="pct"/>
            <w:tcBorders>
              <w:top w:val="single" w:sz="4" w:space="0" w:color="auto"/>
              <w:left w:val="single" w:sz="4" w:space="0" w:color="auto"/>
              <w:bottom w:val="single" w:sz="4" w:space="0" w:color="auto"/>
              <w:right w:val="single" w:sz="4" w:space="0" w:color="auto"/>
            </w:tcBorders>
            <w:shd w:val="clear" w:color="auto" w:fill="70AD47" w:themeFill="accent6"/>
          </w:tcPr>
          <w:p w14:paraId="66AA941C" w14:textId="77777777" w:rsidR="00D9522E" w:rsidRPr="0033194D" w:rsidRDefault="00D9522E" w:rsidP="00876D62">
            <w:pPr>
              <w:spacing w:before="60" w:after="60" w:line="240" w:lineRule="auto"/>
              <w:contextualSpacing/>
              <w:jc w:val="left"/>
              <w:rPr>
                <w:sz w:val="18"/>
                <w:szCs w:val="18"/>
              </w:rPr>
            </w:pPr>
          </w:p>
        </w:tc>
      </w:tr>
      <w:tr w:rsidR="00D9522E" w:rsidRPr="0033194D" w14:paraId="5A99A916" w14:textId="77777777" w:rsidTr="00B164BA">
        <w:trPr>
          <w:cantSplit/>
          <w:trHeight w:val="255"/>
        </w:trPr>
        <w:tc>
          <w:tcPr>
            <w:tcW w:w="3403" w:type="pct"/>
            <w:tcBorders>
              <w:top w:val="single" w:sz="4" w:space="0" w:color="auto"/>
              <w:left w:val="single" w:sz="4" w:space="0" w:color="auto"/>
              <w:right w:val="single" w:sz="4" w:space="0" w:color="auto"/>
            </w:tcBorders>
            <w:shd w:val="clear" w:color="auto" w:fill="auto"/>
            <w:vAlign w:val="center"/>
          </w:tcPr>
          <w:p w14:paraId="6FEB0CBE" w14:textId="77777777" w:rsidR="00D9522E" w:rsidRPr="0033194D" w:rsidRDefault="00D9522E" w:rsidP="00876D62">
            <w:pPr>
              <w:spacing w:before="60" w:after="60" w:line="240" w:lineRule="auto"/>
              <w:contextualSpacing/>
              <w:jc w:val="left"/>
              <w:rPr>
                <w:sz w:val="18"/>
                <w:szCs w:val="18"/>
              </w:rPr>
            </w:pPr>
            <w:r w:rsidRPr="0033194D">
              <w:rPr>
                <w:sz w:val="18"/>
                <w:szCs w:val="18"/>
              </w:rPr>
              <w:t xml:space="preserve">What did CEW contribute to </w:t>
            </w:r>
            <w:proofErr w:type="spellStart"/>
            <w:r w:rsidRPr="0033194D">
              <w:rPr>
                <w:sz w:val="18"/>
                <w:szCs w:val="18"/>
              </w:rPr>
              <w:t>microinvertebrate</w:t>
            </w:r>
            <w:proofErr w:type="spellEnd"/>
            <w:r w:rsidRPr="0033194D">
              <w:rPr>
                <w:sz w:val="18"/>
                <w:szCs w:val="18"/>
              </w:rPr>
              <w:t xml:space="preserve"> </w:t>
            </w:r>
            <w:r>
              <w:rPr>
                <w:sz w:val="18"/>
                <w:szCs w:val="18"/>
              </w:rPr>
              <w:t>diversity</w:t>
            </w:r>
            <w:r w:rsidRPr="0033194D">
              <w:rPr>
                <w:sz w:val="18"/>
                <w:szCs w:val="18"/>
              </w:rPr>
              <w:t>? (LMR)</w:t>
            </w:r>
            <w:r>
              <w:rPr>
                <w:sz w:val="18"/>
                <w:szCs w:val="18"/>
              </w:rPr>
              <w:t>*</w:t>
            </w:r>
          </w:p>
        </w:tc>
        <w:tc>
          <w:tcPr>
            <w:tcW w:w="268"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754BB74" w14:textId="77777777" w:rsidR="00D9522E" w:rsidRPr="0033194D" w:rsidRDefault="00D9522E" w:rsidP="00876D62">
            <w:pPr>
              <w:spacing w:before="60" w:after="60" w:line="240" w:lineRule="auto"/>
              <w:contextualSpacing/>
              <w:jc w:val="left"/>
              <w:rPr>
                <w:sz w:val="18"/>
                <w:szCs w:val="18"/>
              </w:rPr>
            </w:pPr>
          </w:p>
        </w:tc>
        <w:tc>
          <w:tcPr>
            <w:tcW w:w="267"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8A8104D" w14:textId="77777777" w:rsidR="00D9522E" w:rsidRPr="0033194D" w:rsidRDefault="00D9522E" w:rsidP="00876D62">
            <w:pPr>
              <w:spacing w:before="60" w:after="60" w:line="240" w:lineRule="auto"/>
              <w:contextualSpacing/>
              <w:jc w:val="left"/>
              <w:rPr>
                <w:sz w:val="18"/>
                <w:szCs w:val="18"/>
              </w:rPr>
            </w:pPr>
          </w:p>
        </w:tc>
        <w:tc>
          <w:tcPr>
            <w:tcW w:w="267"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2865EE5" w14:textId="77777777" w:rsidR="00D9522E" w:rsidRPr="0033194D" w:rsidRDefault="00D9522E" w:rsidP="00876D62">
            <w:pPr>
              <w:spacing w:before="60" w:after="60" w:line="240" w:lineRule="auto"/>
              <w:contextualSpacing/>
              <w:jc w:val="left"/>
              <w:rPr>
                <w:sz w:val="18"/>
                <w:szCs w:val="18"/>
              </w:rPr>
            </w:pPr>
          </w:p>
        </w:tc>
        <w:tc>
          <w:tcPr>
            <w:tcW w:w="269"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57F35A05" w14:textId="77777777" w:rsidR="00D9522E" w:rsidRPr="0033194D" w:rsidRDefault="00D9522E" w:rsidP="00876D62">
            <w:pPr>
              <w:spacing w:before="60" w:after="60" w:line="240" w:lineRule="auto"/>
              <w:contextualSpacing/>
              <w:jc w:val="left"/>
              <w:rPr>
                <w:sz w:val="18"/>
                <w:szCs w:val="18"/>
              </w:rPr>
            </w:pPr>
          </w:p>
        </w:tc>
        <w:tc>
          <w:tcPr>
            <w:tcW w:w="269" w:type="pc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2DD1620F" w14:textId="77777777" w:rsidR="00D9522E" w:rsidRPr="0033194D" w:rsidRDefault="00D9522E" w:rsidP="00876D62">
            <w:pPr>
              <w:spacing w:before="60" w:after="60" w:line="240" w:lineRule="auto"/>
              <w:contextualSpacing/>
              <w:jc w:val="left"/>
              <w:rPr>
                <w:sz w:val="18"/>
                <w:szCs w:val="18"/>
              </w:rPr>
            </w:pPr>
          </w:p>
        </w:tc>
        <w:tc>
          <w:tcPr>
            <w:tcW w:w="257"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54ABB709" w14:textId="77777777" w:rsidR="00D9522E" w:rsidRPr="0033194D" w:rsidRDefault="00D9522E" w:rsidP="00876D62">
            <w:pPr>
              <w:spacing w:before="60" w:after="60" w:line="240" w:lineRule="auto"/>
              <w:contextualSpacing/>
              <w:jc w:val="left"/>
              <w:rPr>
                <w:sz w:val="18"/>
                <w:szCs w:val="18"/>
              </w:rPr>
            </w:pPr>
          </w:p>
        </w:tc>
      </w:tr>
      <w:tr w:rsidR="00D9522E" w:rsidRPr="0033194D" w14:paraId="1F04BFA8" w14:textId="77777777" w:rsidTr="00876D62">
        <w:trPr>
          <w:cantSplit/>
          <w:trHeight w:val="255"/>
        </w:trPr>
        <w:tc>
          <w:tcPr>
            <w:tcW w:w="3403" w:type="pct"/>
            <w:tcBorders>
              <w:top w:val="single" w:sz="4" w:space="0" w:color="auto"/>
              <w:left w:val="single" w:sz="4" w:space="0" w:color="auto"/>
              <w:right w:val="single" w:sz="4" w:space="0" w:color="auto"/>
            </w:tcBorders>
            <w:shd w:val="clear" w:color="auto" w:fill="auto"/>
            <w:vAlign w:val="center"/>
          </w:tcPr>
          <w:p w14:paraId="53F8A282" w14:textId="5D31377E" w:rsidR="00D9522E" w:rsidRPr="0033194D" w:rsidRDefault="00D9522E" w:rsidP="00876D62">
            <w:pPr>
              <w:spacing w:before="60" w:after="60" w:line="240" w:lineRule="auto"/>
              <w:contextualSpacing/>
              <w:jc w:val="left"/>
              <w:rPr>
                <w:sz w:val="18"/>
                <w:szCs w:val="18"/>
              </w:rPr>
            </w:pPr>
            <w:r w:rsidRPr="00B93045">
              <w:rPr>
                <w:sz w:val="18"/>
                <w:szCs w:val="18"/>
              </w:rPr>
              <w:t xml:space="preserve">Did the flow regime (including </w:t>
            </w:r>
            <w:r>
              <w:rPr>
                <w:sz w:val="18"/>
                <w:szCs w:val="18"/>
              </w:rPr>
              <w:t>CEW</w:t>
            </w:r>
            <w:r w:rsidRPr="00B93045">
              <w:rPr>
                <w:sz w:val="18"/>
                <w:szCs w:val="18"/>
              </w:rPr>
              <w:t xml:space="preserve">) contribute to recruitment </w:t>
            </w:r>
            <w:r w:rsidR="005606D5">
              <w:rPr>
                <w:sz w:val="18"/>
                <w:szCs w:val="18"/>
              </w:rPr>
              <w:t xml:space="preserve">and resilience </w:t>
            </w:r>
            <w:r w:rsidRPr="00B93045">
              <w:rPr>
                <w:sz w:val="18"/>
                <w:szCs w:val="18"/>
              </w:rPr>
              <w:t>of golden perch and silver perch</w:t>
            </w:r>
            <w:r w:rsidR="005606D5">
              <w:rPr>
                <w:sz w:val="18"/>
                <w:szCs w:val="18"/>
              </w:rPr>
              <w:t xml:space="preserve"> populations</w:t>
            </w:r>
            <w:r w:rsidRPr="00B93045">
              <w:rPr>
                <w:sz w:val="18"/>
                <w:szCs w:val="18"/>
              </w:rPr>
              <w:t xml:space="preserve">? </w:t>
            </w:r>
            <w:r w:rsidRPr="0033194D">
              <w:rPr>
                <w:sz w:val="18"/>
                <w:szCs w:val="18"/>
              </w:rPr>
              <w:t>(LMR)</w:t>
            </w:r>
          </w:p>
        </w:tc>
        <w:tc>
          <w:tcPr>
            <w:tcW w:w="268"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047F3630" w14:textId="77777777" w:rsidR="00D9522E" w:rsidRPr="0033194D" w:rsidRDefault="00D9522E" w:rsidP="00876D62">
            <w:pPr>
              <w:spacing w:before="60" w:after="60" w:line="240" w:lineRule="auto"/>
              <w:contextualSpacing/>
              <w:jc w:val="left"/>
              <w:rPr>
                <w:sz w:val="18"/>
                <w:szCs w:val="18"/>
              </w:rPr>
            </w:pPr>
          </w:p>
        </w:tc>
        <w:tc>
          <w:tcPr>
            <w:tcW w:w="267"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F4E8490" w14:textId="77777777" w:rsidR="00D9522E" w:rsidRPr="0033194D" w:rsidRDefault="00D9522E" w:rsidP="00876D62">
            <w:pPr>
              <w:spacing w:before="60" w:after="60" w:line="240" w:lineRule="auto"/>
              <w:contextualSpacing/>
              <w:jc w:val="left"/>
              <w:rPr>
                <w:sz w:val="18"/>
                <w:szCs w:val="18"/>
              </w:rPr>
            </w:pPr>
          </w:p>
        </w:tc>
        <w:tc>
          <w:tcPr>
            <w:tcW w:w="267"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24059D6" w14:textId="77777777" w:rsidR="00D9522E" w:rsidRPr="0033194D" w:rsidRDefault="00D9522E" w:rsidP="00876D62">
            <w:pPr>
              <w:spacing w:before="60" w:after="60" w:line="240" w:lineRule="auto"/>
              <w:contextualSpacing/>
              <w:jc w:val="left"/>
              <w:rPr>
                <w:sz w:val="18"/>
                <w:szCs w:val="18"/>
              </w:rPr>
            </w:pPr>
          </w:p>
        </w:tc>
        <w:tc>
          <w:tcPr>
            <w:tcW w:w="269"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9C33233" w14:textId="77777777" w:rsidR="00D9522E" w:rsidRPr="0033194D" w:rsidRDefault="00D9522E" w:rsidP="00876D62">
            <w:pPr>
              <w:spacing w:before="60" w:after="60" w:line="240" w:lineRule="auto"/>
              <w:contextualSpacing/>
              <w:jc w:val="left"/>
              <w:rPr>
                <w:sz w:val="18"/>
                <w:szCs w:val="18"/>
              </w:rPr>
            </w:pPr>
          </w:p>
        </w:tc>
        <w:tc>
          <w:tcPr>
            <w:tcW w:w="269"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0697EA1" w14:textId="77777777" w:rsidR="00D9522E" w:rsidRPr="0033194D" w:rsidRDefault="00D9522E" w:rsidP="00876D62">
            <w:pPr>
              <w:spacing w:before="60" w:after="60" w:line="240" w:lineRule="auto"/>
              <w:contextualSpacing/>
              <w:jc w:val="left"/>
              <w:rPr>
                <w:sz w:val="18"/>
                <w:szCs w:val="18"/>
              </w:rPr>
            </w:pPr>
          </w:p>
        </w:tc>
        <w:tc>
          <w:tcPr>
            <w:tcW w:w="257"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A2BD7DC" w14:textId="77777777" w:rsidR="00D9522E" w:rsidRPr="0033194D" w:rsidRDefault="00D9522E" w:rsidP="00876D62">
            <w:pPr>
              <w:spacing w:before="60" w:after="60" w:line="240" w:lineRule="auto"/>
              <w:contextualSpacing/>
              <w:jc w:val="left"/>
              <w:rPr>
                <w:sz w:val="18"/>
                <w:szCs w:val="18"/>
              </w:rPr>
            </w:pPr>
          </w:p>
        </w:tc>
      </w:tr>
      <w:tr w:rsidR="00D9522E" w:rsidRPr="0033194D" w14:paraId="10A4F563" w14:textId="77777777" w:rsidTr="0062796E">
        <w:trPr>
          <w:cantSplit/>
          <w:trHeight w:val="255"/>
        </w:trPr>
        <w:tc>
          <w:tcPr>
            <w:tcW w:w="3403" w:type="pct"/>
            <w:tcBorders>
              <w:top w:val="single" w:sz="4" w:space="0" w:color="auto"/>
              <w:left w:val="single" w:sz="4" w:space="0" w:color="auto"/>
              <w:bottom w:val="single" w:sz="4" w:space="0" w:color="auto"/>
              <w:right w:val="single" w:sz="4" w:space="0" w:color="auto"/>
            </w:tcBorders>
            <w:shd w:val="clear" w:color="auto" w:fill="auto"/>
            <w:vAlign w:val="center"/>
          </w:tcPr>
          <w:p w14:paraId="1A419AEA" w14:textId="5E956A85" w:rsidR="00D9522E" w:rsidRPr="0033194D" w:rsidRDefault="00D9522E" w:rsidP="00876D62">
            <w:pPr>
              <w:spacing w:before="60" w:after="60" w:line="240" w:lineRule="auto"/>
              <w:contextualSpacing/>
              <w:jc w:val="left"/>
              <w:rPr>
                <w:sz w:val="18"/>
                <w:szCs w:val="18"/>
              </w:rPr>
            </w:pPr>
            <w:r w:rsidRPr="002D49A1">
              <w:rPr>
                <w:sz w:val="18"/>
                <w:szCs w:val="18"/>
              </w:rPr>
              <w:t>What did CEW contribute to growth</w:t>
            </w:r>
            <w:r w:rsidR="0062796E">
              <w:rPr>
                <w:sz w:val="18"/>
                <w:szCs w:val="18"/>
              </w:rPr>
              <w:t>,</w:t>
            </w:r>
            <w:r w:rsidRPr="002D49A1">
              <w:rPr>
                <w:sz w:val="18"/>
                <w:szCs w:val="18"/>
              </w:rPr>
              <w:t xml:space="preserve"> morphometric </w:t>
            </w:r>
            <w:proofErr w:type="gramStart"/>
            <w:r w:rsidRPr="002D49A1">
              <w:rPr>
                <w:sz w:val="18"/>
                <w:szCs w:val="18"/>
              </w:rPr>
              <w:t>condition</w:t>
            </w:r>
            <w:proofErr w:type="gramEnd"/>
            <w:r w:rsidR="005606D5">
              <w:rPr>
                <w:sz w:val="18"/>
                <w:szCs w:val="18"/>
              </w:rPr>
              <w:t xml:space="preserve"> and</w:t>
            </w:r>
            <w:r w:rsidR="0062796E">
              <w:rPr>
                <w:sz w:val="18"/>
                <w:szCs w:val="18"/>
              </w:rPr>
              <w:t xml:space="preserve"> recruitment</w:t>
            </w:r>
            <w:r w:rsidRPr="002D49A1">
              <w:rPr>
                <w:sz w:val="18"/>
                <w:szCs w:val="18"/>
              </w:rPr>
              <w:t xml:space="preserve"> of Murray cod?</w:t>
            </w:r>
            <w:r>
              <w:rPr>
                <w:sz w:val="18"/>
                <w:szCs w:val="18"/>
              </w:rPr>
              <w:t xml:space="preserve"> (LMR)*</w:t>
            </w:r>
          </w:p>
        </w:tc>
        <w:tc>
          <w:tcPr>
            <w:tcW w:w="268" w:type="pc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61E0C398" w14:textId="77777777" w:rsidR="00D9522E" w:rsidRPr="0033194D" w:rsidRDefault="00D9522E" w:rsidP="00876D62">
            <w:pPr>
              <w:spacing w:before="60" w:after="60" w:line="240" w:lineRule="auto"/>
              <w:contextualSpacing/>
              <w:jc w:val="left"/>
              <w:rPr>
                <w:sz w:val="18"/>
                <w:szCs w:val="18"/>
              </w:rPr>
            </w:pPr>
          </w:p>
        </w:tc>
        <w:tc>
          <w:tcPr>
            <w:tcW w:w="267" w:type="pc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06BC8E17" w14:textId="77777777" w:rsidR="00D9522E" w:rsidRPr="0033194D" w:rsidRDefault="00D9522E" w:rsidP="00876D62">
            <w:pPr>
              <w:spacing w:before="60" w:after="60" w:line="240" w:lineRule="auto"/>
              <w:contextualSpacing/>
              <w:jc w:val="left"/>
              <w:rPr>
                <w:sz w:val="18"/>
                <w:szCs w:val="18"/>
              </w:rPr>
            </w:pPr>
          </w:p>
        </w:tc>
        <w:tc>
          <w:tcPr>
            <w:tcW w:w="267" w:type="pc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0AA3C31A" w14:textId="77777777" w:rsidR="00D9522E" w:rsidRPr="0033194D" w:rsidRDefault="00D9522E" w:rsidP="00876D62">
            <w:pPr>
              <w:spacing w:before="60" w:after="60" w:line="240" w:lineRule="auto"/>
              <w:contextualSpacing/>
              <w:jc w:val="left"/>
              <w:rPr>
                <w:sz w:val="18"/>
                <w:szCs w:val="18"/>
              </w:rPr>
            </w:pPr>
          </w:p>
        </w:tc>
        <w:tc>
          <w:tcPr>
            <w:tcW w:w="269" w:type="pc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47807F82" w14:textId="77777777" w:rsidR="00D9522E" w:rsidRPr="0033194D" w:rsidRDefault="00D9522E" w:rsidP="00876D62">
            <w:pPr>
              <w:spacing w:before="60" w:after="60" w:line="240" w:lineRule="auto"/>
              <w:contextualSpacing/>
              <w:jc w:val="left"/>
              <w:rPr>
                <w:sz w:val="18"/>
                <w:szCs w:val="18"/>
              </w:rPr>
            </w:pPr>
          </w:p>
        </w:tc>
        <w:tc>
          <w:tcPr>
            <w:tcW w:w="269" w:type="pc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27A86782" w14:textId="77777777" w:rsidR="00D9522E" w:rsidRPr="0033194D" w:rsidRDefault="00D9522E" w:rsidP="00876D62">
            <w:pPr>
              <w:spacing w:before="60" w:after="60" w:line="240" w:lineRule="auto"/>
              <w:contextualSpacing/>
              <w:jc w:val="left"/>
              <w:rPr>
                <w:sz w:val="18"/>
                <w:szCs w:val="18"/>
              </w:rPr>
            </w:pPr>
          </w:p>
        </w:tc>
        <w:tc>
          <w:tcPr>
            <w:tcW w:w="257"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297B26F" w14:textId="77777777" w:rsidR="00D9522E" w:rsidRPr="0033194D" w:rsidRDefault="00D9522E" w:rsidP="00876D62">
            <w:pPr>
              <w:spacing w:before="60" w:after="60" w:line="240" w:lineRule="auto"/>
              <w:contextualSpacing/>
              <w:jc w:val="left"/>
              <w:rPr>
                <w:sz w:val="18"/>
                <w:szCs w:val="18"/>
              </w:rPr>
            </w:pPr>
          </w:p>
        </w:tc>
      </w:tr>
      <w:tr w:rsidR="0062796E" w:rsidRPr="0033194D" w14:paraId="406E793A" w14:textId="77777777" w:rsidTr="0062796E">
        <w:trPr>
          <w:cantSplit/>
          <w:trHeight w:val="255"/>
        </w:trPr>
        <w:tc>
          <w:tcPr>
            <w:tcW w:w="3403" w:type="pct"/>
            <w:tcBorders>
              <w:top w:val="single" w:sz="4" w:space="0" w:color="auto"/>
              <w:left w:val="single" w:sz="4" w:space="0" w:color="auto"/>
              <w:bottom w:val="single" w:sz="4" w:space="0" w:color="auto"/>
              <w:right w:val="single" w:sz="4" w:space="0" w:color="auto"/>
            </w:tcBorders>
            <w:shd w:val="clear" w:color="auto" w:fill="auto"/>
            <w:vAlign w:val="center"/>
          </w:tcPr>
          <w:p w14:paraId="25020425" w14:textId="628ECA31" w:rsidR="0062796E" w:rsidRPr="002D49A1" w:rsidRDefault="0062796E" w:rsidP="00876D62">
            <w:pPr>
              <w:spacing w:before="60" w:after="60" w:line="240" w:lineRule="auto"/>
              <w:contextualSpacing/>
              <w:jc w:val="left"/>
              <w:rPr>
                <w:sz w:val="18"/>
                <w:szCs w:val="18"/>
              </w:rPr>
            </w:pPr>
            <w:r w:rsidRPr="0062796E">
              <w:rPr>
                <w:sz w:val="18"/>
                <w:szCs w:val="18"/>
              </w:rPr>
              <w:t xml:space="preserve">What did </w:t>
            </w:r>
            <w:r>
              <w:rPr>
                <w:sz w:val="18"/>
                <w:szCs w:val="18"/>
              </w:rPr>
              <w:t>CEW</w:t>
            </w:r>
            <w:r w:rsidRPr="0062796E">
              <w:rPr>
                <w:sz w:val="18"/>
                <w:szCs w:val="18"/>
              </w:rPr>
              <w:t xml:space="preserve"> contribute to connectivity and the migration of lamprey at the Murray barrages in winter–spring 2019</w:t>
            </w:r>
            <w:r>
              <w:rPr>
                <w:sz w:val="18"/>
                <w:szCs w:val="18"/>
              </w:rPr>
              <w:t xml:space="preserve"> (CLLMM)</w:t>
            </w:r>
            <w:r w:rsidRPr="0062796E">
              <w:rPr>
                <w:sz w:val="18"/>
                <w:szCs w:val="18"/>
              </w:rPr>
              <w:t>?</w:t>
            </w:r>
          </w:p>
        </w:tc>
        <w:tc>
          <w:tcPr>
            <w:tcW w:w="268" w:type="pc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5965B6D0" w14:textId="77777777" w:rsidR="0062796E" w:rsidRPr="0033194D" w:rsidRDefault="0062796E" w:rsidP="00876D62">
            <w:pPr>
              <w:spacing w:before="60" w:after="60" w:line="240" w:lineRule="auto"/>
              <w:contextualSpacing/>
              <w:jc w:val="left"/>
              <w:rPr>
                <w:sz w:val="18"/>
                <w:szCs w:val="18"/>
              </w:rPr>
            </w:pPr>
          </w:p>
        </w:tc>
        <w:tc>
          <w:tcPr>
            <w:tcW w:w="267" w:type="pc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2E232C52" w14:textId="77777777" w:rsidR="0062796E" w:rsidRPr="0033194D" w:rsidRDefault="0062796E" w:rsidP="00876D62">
            <w:pPr>
              <w:spacing w:before="60" w:after="60" w:line="240" w:lineRule="auto"/>
              <w:contextualSpacing/>
              <w:jc w:val="left"/>
              <w:rPr>
                <w:sz w:val="18"/>
                <w:szCs w:val="18"/>
              </w:rPr>
            </w:pPr>
          </w:p>
        </w:tc>
        <w:tc>
          <w:tcPr>
            <w:tcW w:w="267" w:type="pc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166808B4" w14:textId="77777777" w:rsidR="0062796E" w:rsidRPr="0033194D" w:rsidRDefault="0062796E" w:rsidP="00876D62">
            <w:pPr>
              <w:spacing w:before="60" w:after="60" w:line="240" w:lineRule="auto"/>
              <w:contextualSpacing/>
              <w:jc w:val="left"/>
              <w:rPr>
                <w:sz w:val="18"/>
                <w:szCs w:val="18"/>
              </w:rPr>
            </w:pPr>
          </w:p>
        </w:tc>
        <w:tc>
          <w:tcPr>
            <w:tcW w:w="269" w:type="pc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30229CBC" w14:textId="77777777" w:rsidR="0062796E" w:rsidRPr="0033194D" w:rsidRDefault="0062796E" w:rsidP="00876D62">
            <w:pPr>
              <w:spacing w:before="60" w:after="60" w:line="240" w:lineRule="auto"/>
              <w:contextualSpacing/>
              <w:jc w:val="left"/>
              <w:rPr>
                <w:sz w:val="18"/>
                <w:szCs w:val="18"/>
              </w:rPr>
            </w:pPr>
          </w:p>
        </w:tc>
        <w:tc>
          <w:tcPr>
            <w:tcW w:w="269" w:type="pc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3AE3ACBE" w14:textId="77777777" w:rsidR="0062796E" w:rsidRPr="0033194D" w:rsidRDefault="0062796E" w:rsidP="00876D62">
            <w:pPr>
              <w:spacing w:before="60" w:after="60" w:line="240" w:lineRule="auto"/>
              <w:contextualSpacing/>
              <w:jc w:val="left"/>
              <w:rPr>
                <w:sz w:val="18"/>
                <w:szCs w:val="18"/>
              </w:rPr>
            </w:pPr>
          </w:p>
        </w:tc>
        <w:tc>
          <w:tcPr>
            <w:tcW w:w="257" w:type="pct"/>
            <w:tcBorders>
              <w:top w:val="single" w:sz="4" w:space="0" w:color="auto"/>
              <w:left w:val="single" w:sz="4" w:space="0" w:color="auto"/>
              <w:bottom w:val="single" w:sz="4" w:space="0" w:color="auto"/>
              <w:right w:val="single" w:sz="4" w:space="0" w:color="auto"/>
            </w:tcBorders>
            <w:shd w:val="clear" w:color="auto" w:fill="5B9BD5" w:themeFill="accent1"/>
          </w:tcPr>
          <w:p w14:paraId="4B66C3B3" w14:textId="77777777" w:rsidR="0062796E" w:rsidRPr="0033194D" w:rsidRDefault="0062796E" w:rsidP="00876D62">
            <w:pPr>
              <w:spacing w:before="60" w:after="60" w:line="240" w:lineRule="auto"/>
              <w:contextualSpacing/>
              <w:jc w:val="left"/>
              <w:rPr>
                <w:sz w:val="18"/>
                <w:szCs w:val="18"/>
              </w:rPr>
            </w:pPr>
          </w:p>
        </w:tc>
      </w:tr>
    </w:tbl>
    <w:p w14:paraId="504C194C" w14:textId="0D675D89" w:rsidR="00D9522E" w:rsidRPr="0033194D" w:rsidRDefault="00D9522E" w:rsidP="00D9522E">
      <w:pPr>
        <w:spacing w:before="80" w:after="80" w:line="240" w:lineRule="auto"/>
        <w:jc w:val="left"/>
        <w:rPr>
          <w:color w:val="auto"/>
          <w:kern w:val="0"/>
          <w:sz w:val="19"/>
          <w:szCs w:val="19"/>
          <w:lang w:val="en-US" w:bidi="en-US"/>
        </w:rPr>
      </w:pPr>
      <w:r w:rsidRPr="0033194D">
        <w:rPr>
          <w:color w:val="auto"/>
          <w:kern w:val="0"/>
          <w:sz w:val="19"/>
          <w:szCs w:val="19"/>
          <w:lang w:val="en-US" w:bidi="en-US"/>
        </w:rPr>
        <w:t xml:space="preserve">Contribution (to what extent CEW contributed towards the outcome, with the significance of the outcome considered). See respective indicator evaluation sections (Section </w:t>
      </w:r>
      <w:r w:rsidRPr="0033194D">
        <w:rPr>
          <w:color w:val="auto"/>
          <w:kern w:val="0"/>
          <w:sz w:val="19"/>
          <w:szCs w:val="19"/>
          <w:lang w:val="en-US" w:bidi="en-US"/>
        </w:rPr>
        <w:fldChar w:fldCharType="begin"/>
      </w:r>
      <w:r w:rsidRPr="0033194D">
        <w:rPr>
          <w:color w:val="auto"/>
          <w:kern w:val="0"/>
          <w:sz w:val="19"/>
          <w:szCs w:val="19"/>
          <w:lang w:val="en-US" w:bidi="en-US"/>
        </w:rPr>
        <w:instrText xml:space="preserve"> REF _Ref15904940 \r \h </w:instrText>
      </w:r>
      <w:r w:rsidRPr="0033194D">
        <w:rPr>
          <w:color w:val="auto"/>
          <w:kern w:val="0"/>
          <w:sz w:val="19"/>
          <w:szCs w:val="19"/>
          <w:lang w:val="en-US" w:bidi="en-US"/>
        </w:rPr>
      </w:r>
      <w:r w:rsidRPr="0033194D">
        <w:rPr>
          <w:color w:val="auto"/>
          <w:kern w:val="0"/>
          <w:sz w:val="19"/>
          <w:szCs w:val="19"/>
          <w:lang w:val="en-US" w:bidi="en-US"/>
        </w:rPr>
        <w:fldChar w:fldCharType="separate"/>
      </w:r>
      <w:r w:rsidR="00241910">
        <w:rPr>
          <w:color w:val="auto"/>
          <w:kern w:val="0"/>
          <w:sz w:val="19"/>
          <w:szCs w:val="19"/>
          <w:lang w:val="en-US" w:bidi="en-US"/>
        </w:rPr>
        <w:t>2</w:t>
      </w:r>
      <w:r w:rsidRPr="0033194D">
        <w:rPr>
          <w:color w:val="auto"/>
          <w:kern w:val="0"/>
          <w:sz w:val="19"/>
          <w:szCs w:val="19"/>
          <w:lang w:val="en-US" w:bidi="en-US"/>
        </w:rPr>
        <w:fldChar w:fldCharType="end"/>
      </w:r>
      <w:r w:rsidRPr="0033194D">
        <w:rPr>
          <w:color w:val="auto"/>
          <w:kern w:val="0"/>
          <w:sz w:val="19"/>
          <w:szCs w:val="19"/>
          <w:lang w:val="en-US" w:bidi="en-US"/>
        </w:rPr>
        <w:t>) for selection criteria.</w:t>
      </w:r>
    </w:p>
    <w:tbl>
      <w:tblPr>
        <w:tblW w:w="10421" w:type="dxa"/>
        <w:tblLook w:val="04A0" w:firstRow="1" w:lastRow="0" w:firstColumn="1" w:lastColumn="0" w:noHBand="0" w:noVBand="1"/>
      </w:tblPr>
      <w:tblGrid>
        <w:gridCol w:w="283"/>
        <w:gridCol w:w="1408"/>
        <w:gridCol w:w="284"/>
        <w:gridCol w:w="1134"/>
        <w:gridCol w:w="283"/>
        <w:gridCol w:w="1069"/>
        <w:gridCol w:w="351"/>
        <w:gridCol w:w="1707"/>
        <w:gridCol w:w="277"/>
        <w:gridCol w:w="729"/>
        <w:gridCol w:w="264"/>
        <w:gridCol w:w="1144"/>
        <w:gridCol w:w="278"/>
        <w:gridCol w:w="1210"/>
      </w:tblGrid>
      <w:tr w:rsidR="00E047D3" w:rsidRPr="0033194D" w14:paraId="1C8D5522" w14:textId="77777777" w:rsidTr="00E047D3">
        <w:tc>
          <w:tcPr>
            <w:tcW w:w="284" w:type="dxa"/>
            <w:shd w:val="clear" w:color="auto" w:fill="595959" w:themeFill="text1" w:themeFillTint="A6"/>
          </w:tcPr>
          <w:p w14:paraId="12735646" w14:textId="77777777" w:rsidR="00D13C8F" w:rsidRPr="0033194D" w:rsidRDefault="00D13C8F" w:rsidP="00876D62">
            <w:pPr>
              <w:contextualSpacing/>
              <w:rPr>
                <w:sz w:val="19"/>
                <w:szCs w:val="19"/>
              </w:rPr>
            </w:pPr>
          </w:p>
        </w:tc>
        <w:tc>
          <w:tcPr>
            <w:tcW w:w="1410" w:type="dxa"/>
          </w:tcPr>
          <w:p w14:paraId="5389FBDD" w14:textId="77CA745E" w:rsidR="00D13C8F" w:rsidRPr="0033194D" w:rsidRDefault="00D13C8F" w:rsidP="00876D62">
            <w:pPr>
              <w:contextualSpacing/>
              <w:rPr>
                <w:sz w:val="19"/>
                <w:szCs w:val="19"/>
              </w:rPr>
            </w:pPr>
            <w:r>
              <w:rPr>
                <w:sz w:val="19"/>
                <w:szCs w:val="19"/>
              </w:rPr>
              <w:t>Not assessed</w:t>
            </w:r>
          </w:p>
        </w:tc>
        <w:tc>
          <w:tcPr>
            <w:tcW w:w="284" w:type="dxa"/>
            <w:shd w:val="clear" w:color="auto" w:fill="D9D9D9" w:themeFill="background1" w:themeFillShade="D9"/>
          </w:tcPr>
          <w:p w14:paraId="0181EDE2" w14:textId="198662D3" w:rsidR="00D13C8F" w:rsidRPr="0033194D" w:rsidRDefault="00D13C8F" w:rsidP="00876D62">
            <w:pPr>
              <w:contextualSpacing/>
              <w:rPr>
                <w:sz w:val="19"/>
                <w:szCs w:val="19"/>
              </w:rPr>
            </w:pPr>
          </w:p>
        </w:tc>
        <w:tc>
          <w:tcPr>
            <w:tcW w:w="1134" w:type="dxa"/>
            <w:vAlign w:val="center"/>
          </w:tcPr>
          <w:p w14:paraId="6DC170DA" w14:textId="6A52B1F5" w:rsidR="00D13C8F" w:rsidRPr="0033194D" w:rsidRDefault="00D13C8F" w:rsidP="00876D62">
            <w:pPr>
              <w:contextualSpacing/>
              <w:rPr>
                <w:sz w:val="19"/>
                <w:szCs w:val="19"/>
              </w:rPr>
            </w:pPr>
            <w:r w:rsidRPr="0033194D">
              <w:rPr>
                <w:sz w:val="19"/>
                <w:szCs w:val="19"/>
              </w:rPr>
              <w:t>Unknown</w:t>
            </w:r>
          </w:p>
        </w:tc>
        <w:tc>
          <w:tcPr>
            <w:tcW w:w="283" w:type="dxa"/>
            <w:shd w:val="clear" w:color="auto" w:fill="FF0000"/>
            <w:vAlign w:val="center"/>
          </w:tcPr>
          <w:p w14:paraId="31134898" w14:textId="77777777" w:rsidR="00D13C8F" w:rsidRPr="0033194D" w:rsidRDefault="00D13C8F" w:rsidP="00876D62">
            <w:pPr>
              <w:contextualSpacing/>
              <w:rPr>
                <w:sz w:val="19"/>
                <w:szCs w:val="19"/>
              </w:rPr>
            </w:pPr>
          </w:p>
        </w:tc>
        <w:tc>
          <w:tcPr>
            <w:tcW w:w="1069" w:type="dxa"/>
            <w:vAlign w:val="center"/>
          </w:tcPr>
          <w:p w14:paraId="4BD4AA30" w14:textId="77777777" w:rsidR="00D13C8F" w:rsidRPr="0033194D" w:rsidRDefault="00D13C8F" w:rsidP="00876D62">
            <w:pPr>
              <w:contextualSpacing/>
              <w:rPr>
                <w:sz w:val="19"/>
                <w:szCs w:val="19"/>
              </w:rPr>
            </w:pPr>
            <w:r w:rsidRPr="0033194D">
              <w:rPr>
                <w:sz w:val="19"/>
                <w:szCs w:val="19"/>
              </w:rPr>
              <w:t>Negative</w:t>
            </w:r>
          </w:p>
        </w:tc>
        <w:tc>
          <w:tcPr>
            <w:tcW w:w="351" w:type="dxa"/>
            <w:shd w:val="clear" w:color="auto" w:fill="E2EFD9" w:themeFill="accent6" w:themeFillTint="33"/>
            <w:vAlign w:val="center"/>
          </w:tcPr>
          <w:p w14:paraId="3891CB67" w14:textId="77777777" w:rsidR="00D13C8F" w:rsidRPr="0033194D" w:rsidRDefault="00D13C8F" w:rsidP="00876D62">
            <w:pPr>
              <w:contextualSpacing/>
              <w:rPr>
                <w:sz w:val="19"/>
                <w:szCs w:val="19"/>
              </w:rPr>
            </w:pPr>
          </w:p>
        </w:tc>
        <w:tc>
          <w:tcPr>
            <w:tcW w:w="1707" w:type="dxa"/>
            <w:vAlign w:val="center"/>
          </w:tcPr>
          <w:p w14:paraId="4C3511B3" w14:textId="77777777" w:rsidR="00D13C8F" w:rsidRPr="0033194D" w:rsidRDefault="00D13C8F" w:rsidP="00876D62">
            <w:pPr>
              <w:contextualSpacing/>
              <w:rPr>
                <w:sz w:val="19"/>
                <w:szCs w:val="19"/>
              </w:rPr>
            </w:pPr>
            <w:r w:rsidRPr="0033194D">
              <w:rPr>
                <w:sz w:val="19"/>
                <w:szCs w:val="19"/>
              </w:rPr>
              <w:t>None/negligible</w:t>
            </w:r>
          </w:p>
        </w:tc>
        <w:tc>
          <w:tcPr>
            <w:tcW w:w="277" w:type="dxa"/>
            <w:shd w:val="clear" w:color="auto" w:fill="A8D08D" w:themeFill="accent6" w:themeFillTint="99"/>
            <w:vAlign w:val="center"/>
          </w:tcPr>
          <w:p w14:paraId="2AF4CD5B" w14:textId="77777777" w:rsidR="00D13C8F" w:rsidRPr="0033194D" w:rsidRDefault="00D13C8F" w:rsidP="00876D62">
            <w:pPr>
              <w:contextualSpacing/>
              <w:rPr>
                <w:sz w:val="19"/>
                <w:szCs w:val="19"/>
              </w:rPr>
            </w:pPr>
          </w:p>
        </w:tc>
        <w:tc>
          <w:tcPr>
            <w:tcW w:w="729" w:type="dxa"/>
            <w:vAlign w:val="center"/>
          </w:tcPr>
          <w:p w14:paraId="0C76E0EC" w14:textId="77777777" w:rsidR="00D13C8F" w:rsidRPr="0033194D" w:rsidRDefault="00D13C8F" w:rsidP="00876D62">
            <w:pPr>
              <w:contextualSpacing/>
              <w:rPr>
                <w:sz w:val="19"/>
                <w:szCs w:val="19"/>
              </w:rPr>
            </w:pPr>
            <w:r w:rsidRPr="0033194D">
              <w:rPr>
                <w:sz w:val="19"/>
                <w:szCs w:val="19"/>
              </w:rPr>
              <w:t>Minor</w:t>
            </w:r>
          </w:p>
        </w:tc>
        <w:tc>
          <w:tcPr>
            <w:tcW w:w="264" w:type="dxa"/>
            <w:shd w:val="clear" w:color="auto" w:fill="70AD47" w:themeFill="accent6"/>
            <w:vAlign w:val="center"/>
          </w:tcPr>
          <w:p w14:paraId="479F6E70" w14:textId="77777777" w:rsidR="00D13C8F" w:rsidRPr="0033194D" w:rsidRDefault="00D13C8F" w:rsidP="00876D62">
            <w:pPr>
              <w:contextualSpacing/>
              <w:rPr>
                <w:sz w:val="19"/>
                <w:szCs w:val="19"/>
              </w:rPr>
            </w:pPr>
          </w:p>
        </w:tc>
        <w:tc>
          <w:tcPr>
            <w:tcW w:w="1144" w:type="dxa"/>
            <w:vAlign w:val="center"/>
          </w:tcPr>
          <w:p w14:paraId="4A5C9B13" w14:textId="77777777" w:rsidR="00D13C8F" w:rsidRPr="0033194D" w:rsidRDefault="00D13C8F" w:rsidP="00876D62">
            <w:pPr>
              <w:contextualSpacing/>
              <w:rPr>
                <w:sz w:val="19"/>
                <w:szCs w:val="19"/>
              </w:rPr>
            </w:pPr>
            <w:r w:rsidRPr="0033194D">
              <w:rPr>
                <w:sz w:val="19"/>
                <w:szCs w:val="19"/>
              </w:rPr>
              <w:t>Moderate</w:t>
            </w:r>
          </w:p>
        </w:tc>
        <w:tc>
          <w:tcPr>
            <w:tcW w:w="278" w:type="dxa"/>
            <w:shd w:val="clear" w:color="auto" w:fill="5B9BD5" w:themeFill="accent1"/>
          </w:tcPr>
          <w:p w14:paraId="5DB60051" w14:textId="77777777" w:rsidR="00D13C8F" w:rsidRPr="0033194D" w:rsidRDefault="00D13C8F" w:rsidP="00876D62">
            <w:pPr>
              <w:contextualSpacing/>
              <w:rPr>
                <w:sz w:val="19"/>
                <w:szCs w:val="19"/>
              </w:rPr>
            </w:pPr>
          </w:p>
        </w:tc>
        <w:tc>
          <w:tcPr>
            <w:tcW w:w="1207" w:type="dxa"/>
            <w:vAlign w:val="center"/>
          </w:tcPr>
          <w:p w14:paraId="2A370A27" w14:textId="77777777" w:rsidR="00D13C8F" w:rsidRPr="0033194D" w:rsidRDefault="00D13C8F" w:rsidP="00876D62">
            <w:pPr>
              <w:contextualSpacing/>
              <w:jc w:val="left"/>
              <w:rPr>
                <w:sz w:val="19"/>
                <w:szCs w:val="19"/>
              </w:rPr>
            </w:pPr>
            <w:r w:rsidRPr="0033194D">
              <w:rPr>
                <w:sz w:val="19"/>
                <w:szCs w:val="19"/>
              </w:rPr>
              <w:t>Substantial</w:t>
            </w:r>
          </w:p>
        </w:tc>
      </w:tr>
    </w:tbl>
    <w:p w14:paraId="51FB4274" w14:textId="77777777" w:rsidR="0033194D" w:rsidRDefault="0033194D">
      <w:pPr>
        <w:spacing w:before="0" w:after="160" w:line="259" w:lineRule="auto"/>
        <w:jc w:val="left"/>
        <w:sectPr w:rsidR="0033194D" w:rsidSect="00BA21B3">
          <w:pgSz w:w="16838" w:h="11906" w:orient="landscape"/>
          <w:pgMar w:top="1440" w:right="1440" w:bottom="1440" w:left="1440" w:header="709" w:footer="709" w:gutter="0"/>
          <w:cols w:space="708"/>
          <w:docGrid w:linePitch="360"/>
        </w:sectPr>
      </w:pPr>
    </w:p>
    <w:p w14:paraId="6B9391F5" w14:textId="797D641F" w:rsidR="002241AB" w:rsidRDefault="00833257" w:rsidP="00432CFC">
      <w:pPr>
        <w:pStyle w:val="Heading1"/>
      </w:pPr>
      <w:bookmarkStart w:id="354" w:name="_Ref472332586"/>
      <w:bookmarkStart w:id="355" w:name="_Ref472590168"/>
      <w:bookmarkStart w:id="356" w:name="_Toc3558343"/>
      <w:bookmarkStart w:id="357" w:name="_Ref30588787"/>
      <w:bookmarkStart w:id="358" w:name="_Toc69309249"/>
      <w:r>
        <w:t xml:space="preserve">General </w:t>
      </w:r>
      <w:r w:rsidR="002241AB" w:rsidRPr="00076C40">
        <w:t xml:space="preserve">Management </w:t>
      </w:r>
      <w:r w:rsidR="009654D5">
        <w:t>Recommendations</w:t>
      </w:r>
      <w:bookmarkEnd w:id="354"/>
      <w:bookmarkEnd w:id="355"/>
      <w:bookmarkEnd w:id="356"/>
      <w:bookmarkEnd w:id="357"/>
      <w:bookmarkEnd w:id="358"/>
    </w:p>
    <w:p w14:paraId="126E2017" w14:textId="44D2D7C2" w:rsidR="00F535BF" w:rsidRDefault="00040DA3" w:rsidP="00F535BF">
      <w:bookmarkStart w:id="359" w:name="_Toc3558345"/>
      <w:r>
        <w:rPr>
          <w:lang w:eastAsia="en-AU"/>
        </w:rPr>
        <w:t>E</w:t>
      </w:r>
      <w:r w:rsidRPr="002F0FB7">
        <w:rPr>
          <w:lang w:eastAsia="en-AU"/>
        </w:rPr>
        <w:t xml:space="preserve">nvironmental </w:t>
      </w:r>
      <w:r>
        <w:rPr>
          <w:lang w:eastAsia="en-AU"/>
        </w:rPr>
        <w:t>water has been</w:t>
      </w:r>
      <w:r w:rsidRPr="002F0FB7">
        <w:rPr>
          <w:lang w:eastAsia="en-AU"/>
        </w:rPr>
        <w:t xml:space="preserve"> use</w:t>
      </w:r>
      <w:r>
        <w:rPr>
          <w:lang w:eastAsia="en-AU"/>
        </w:rPr>
        <w:t>d</w:t>
      </w:r>
      <w:r w:rsidRPr="002F0FB7">
        <w:rPr>
          <w:lang w:eastAsia="en-AU"/>
        </w:rPr>
        <w:t xml:space="preserve"> to re-establish key </w:t>
      </w:r>
      <w:r>
        <w:rPr>
          <w:lang w:eastAsia="en-AU"/>
        </w:rPr>
        <w:t>features</w:t>
      </w:r>
      <w:r w:rsidRPr="002F0FB7">
        <w:rPr>
          <w:lang w:eastAsia="en-AU"/>
        </w:rPr>
        <w:t xml:space="preserve"> of the natural flow regime</w:t>
      </w:r>
      <w:r>
        <w:rPr>
          <w:lang w:eastAsia="en-AU"/>
        </w:rPr>
        <w:t xml:space="preserve"> to restore riverine ecosystems in the MDB </w:t>
      </w:r>
      <w:r w:rsidRPr="002F0FB7">
        <w:rPr>
          <w:lang w:eastAsia="en-AU"/>
        </w:rPr>
        <w:t>(</w:t>
      </w:r>
      <w:r w:rsidRPr="005A7A21">
        <w:t xml:space="preserve">MDBA 2012; Koehn </w:t>
      </w:r>
      <w:r w:rsidRPr="005A7A21">
        <w:rPr>
          <w:i/>
        </w:rPr>
        <w:t>et al.</w:t>
      </w:r>
      <w:r>
        <w:t xml:space="preserve"> 2014; </w:t>
      </w:r>
      <w:proofErr w:type="spellStart"/>
      <w:r w:rsidRPr="00BE2435">
        <w:t>Gawne</w:t>
      </w:r>
      <w:proofErr w:type="spellEnd"/>
      <w:r w:rsidRPr="00BE2435">
        <w:t xml:space="preserve"> </w:t>
      </w:r>
      <w:r w:rsidRPr="00BE2435">
        <w:rPr>
          <w:i/>
        </w:rPr>
        <w:t>et al.</w:t>
      </w:r>
      <w:r w:rsidRPr="00BE2435">
        <w:t xml:space="preserve"> 2014</w:t>
      </w:r>
      <w:r>
        <w:t xml:space="preserve">; Webb </w:t>
      </w:r>
      <w:r w:rsidRPr="0057287A">
        <w:rPr>
          <w:i/>
        </w:rPr>
        <w:t>et al.</w:t>
      </w:r>
      <w:r>
        <w:t xml:space="preserve"> 2017; Watts </w:t>
      </w:r>
      <w:r w:rsidRPr="00924C1B">
        <w:rPr>
          <w:i/>
          <w:iCs/>
        </w:rPr>
        <w:t>et al.</w:t>
      </w:r>
      <w:r>
        <w:t xml:space="preserve"> 2020</w:t>
      </w:r>
      <w:r>
        <w:rPr>
          <w:lang w:eastAsia="en-AU"/>
        </w:rPr>
        <w:t>), including the significant ecological assets of the</w:t>
      </w:r>
      <w:r>
        <w:rPr>
          <w:rFonts w:cstheme="minorHAnsi"/>
        </w:rPr>
        <w:t xml:space="preserve"> main channel of the LMR and the CLLMM region </w:t>
      </w:r>
      <w:r w:rsidRPr="00DE474D">
        <w:rPr>
          <w:rFonts w:cstheme="minorHAnsi"/>
        </w:rPr>
        <w:t>(</w:t>
      </w:r>
      <w:r>
        <w:rPr>
          <w:rFonts w:cstheme="minorHAnsi"/>
        </w:rPr>
        <w:t>MDBC 2006</w:t>
      </w:r>
      <w:r w:rsidRPr="00DE474D">
        <w:rPr>
          <w:rFonts w:cstheme="minorHAnsi"/>
        </w:rPr>
        <w:t>)</w:t>
      </w:r>
      <w:r>
        <w:rPr>
          <w:rFonts w:cstheme="minorHAnsi"/>
        </w:rPr>
        <w:t xml:space="preserve">. </w:t>
      </w:r>
      <w:r w:rsidRPr="00BE2435">
        <w:t xml:space="preserve">In </w:t>
      </w:r>
      <w:r>
        <w:t>the Lower Murray,</w:t>
      </w:r>
      <w:r w:rsidRPr="00BE2435">
        <w:t xml:space="preserve"> this </w:t>
      </w:r>
      <w:r>
        <w:t>has typically</w:t>
      </w:r>
      <w:r w:rsidRPr="00BE2435">
        <w:t xml:space="preserve"> involve</w:t>
      </w:r>
      <w:r>
        <w:t>d</w:t>
      </w:r>
      <w:r w:rsidRPr="00BE2435">
        <w:t xml:space="preserve"> </w:t>
      </w:r>
      <w:r>
        <w:t xml:space="preserve">contributing </w:t>
      </w:r>
      <w:r w:rsidRPr="00BE2435">
        <w:t>to base flows</w:t>
      </w:r>
      <w:r>
        <w:t xml:space="preserve"> (~South Australian entitlement flows) and</w:t>
      </w:r>
      <w:r w:rsidRPr="00BE2435">
        <w:t xml:space="preserve"> </w:t>
      </w:r>
      <w:r>
        <w:t xml:space="preserve">promoting or </w:t>
      </w:r>
      <w:r w:rsidRPr="00BE2435">
        <w:rPr>
          <w:rFonts w:eastAsiaTheme="majorEastAsia"/>
        </w:rPr>
        <w:t>increasing the magnitude, duration and/or frequency of freshes</w:t>
      </w:r>
      <w:r>
        <w:rPr>
          <w:rFonts w:eastAsiaTheme="majorEastAsia"/>
        </w:rPr>
        <w:t xml:space="preserve"> (in-channel flow pulses) during dry years. Over the long-term, this</w:t>
      </w:r>
      <w:r w:rsidRPr="00BE2435">
        <w:rPr>
          <w:rFonts w:eastAsiaTheme="majorEastAsia"/>
        </w:rPr>
        <w:t xml:space="preserve"> is expected to make a significant contribution to achieving ecological outcomes in the LMR</w:t>
      </w:r>
      <w:r>
        <w:rPr>
          <w:rFonts w:eastAsiaTheme="majorEastAsia"/>
        </w:rPr>
        <w:t xml:space="preserve"> and the CLLMM</w:t>
      </w:r>
      <w:r w:rsidRPr="00BE2435">
        <w:rPr>
          <w:rFonts w:eastAsiaTheme="majorEastAsia"/>
        </w:rPr>
        <w:t xml:space="preserve">, through restoring ecological processes and improving habitat for biota in the main channel and </w:t>
      </w:r>
      <w:r>
        <w:rPr>
          <w:rFonts w:eastAsiaTheme="majorEastAsia"/>
        </w:rPr>
        <w:t xml:space="preserve">associated </w:t>
      </w:r>
      <w:r w:rsidRPr="00BE2435">
        <w:rPr>
          <w:rFonts w:eastAsiaTheme="majorEastAsia"/>
        </w:rPr>
        <w:t>floodplain/wetlands</w:t>
      </w:r>
      <w:r>
        <w:rPr>
          <w:rFonts w:eastAsiaTheme="majorEastAsia"/>
        </w:rPr>
        <w:t xml:space="preserve"> and the Coorong</w:t>
      </w:r>
      <w:r w:rsidRPr="00BE2435">
        <w:rPr>
          <w:rFonts w:eastAsiaTheme="majorEastAsia"/>
        </w:rPr>
        <w:t>.</w:t>
      </w:r>
      <w:r w:rsidRPr="00BE2435">
        <w:t xml:space="preserve"> </w:t>
      </w:r>
      <w:r w:rsidR="00F535BF" w:rsidRPr="00BE2435">
        <w:t xml:space="preserve"> </w:t>
      </w:r>
    </w:p>
    <w:p w14:paraId="25D1C6E2" w14:textId="7B94C8D3" w:rsidR="00F535BF" w:rsidRPr="008531C1" w:rsidRDefault="00F535BF" w:rsidP="00F535BF">
      <w:r w:rsidRPr="008531C1">
        <w:t>General recommendations for flow management in the LMR are provided below, based on monitoring outcomes from the LTIM</w:t>
      </w:r>
      <w:r w:rsidR="00154B33">
        <w:t xml:space="preserve"> and </w:t>
      </w:r>
      <w:r>
        <w:t>MER</w:t>
      </w:r>
      <w:r w:rsidRPr="008531C1">
        <w:t xml:space="preserve"> </w:t>
      </w:r>
      <w:r w:rsidR="00154B33">
        <w:t>p</w:t>
      </w:r>
      <w:r w:rsidRPr="008531C1">
        <w:t>roject</w:t>
      </w:r>
      <w:r w:rsidR="00154B33">
        <w:t>s</w:t>
      </w:r>
      <w:r w:rsidRPr="008531C1">
        <w:t>, in conjunction with our con</w:t>
      </w:r>
      <w:r>
        <w:t>temporary understanding of flow-</w:t>
      </w:r>
      <w:r w:rsidRPr="008531C1">
        <w:t>related ecology in the LMR. More specific management considerations are provided in Section</w:t>
      </w:r>
      <w:r>
        <w:t>s</w:t>
      </w:r>
      <w:r w:rsidRPr="008531C1">
        <w:t xml:space="preserve"> </w:t>
      </w:r>
      <w:r w:rsidRPr="008531C1">
        <w:fldChar w:fldCharType="begin"/>
      </w:r>
      <w:r w:rsidRPr="008531C1">
        <w:instrText xml:space="preserve"> REF _Ref15904940 \r \h  \* MERGEFORMAT </w:instrText>
      </w:r>
      <w:r w:rsidRPr="008531C1">
        <w:fldChar w:fldCharType="separate"/>
      </w:r>
      <w:r w:rsidR="00241910">
        <w:t>2</w:t>
      </w:r>
      <w:r w:rsidRPr="008531C1">
        <w:fldChar w:fldCharType="end"/>
      </w:r>
      <w:r>
        <w:t xml:space="preserve"> and 3</w:t>
      </w:r>
      <w:r w:rsidRPr="008531C1">
        <w:t xml:space="preserve">, based on ecological outcomes and findings from indicators. Our </w:t>
      </w:r>
      <w:r>
        <w:t xml:space="preserve">findings </w:t>
      </w:r>
      <w:r w:rsidRPr="008531C1">
        <w:t xml:space="preserve">and recommendations on flow management are most relevant to the spring–summer period as this </w:t>
      </w:r>
      <w:r>
        <w:t>is</w:t>
      </w:r>
      <w:r w:rsidRPr="008531C1">
        <w:t xml:space="preserve"> the primary period </w:t>
      </w:r>
      <w:r>
        <w:t xml:space="preserve">driving </w:t>
      </w:r>
      <w:r w:rsidRPr="008531C1">
        <w:t>biological response of selected indicators in the LMR.</w:t>
      </w:r>
      <w:r>
        <w:t xml:space="preserve"> However, additional learnings from contingency monitoring of lamprey</w:t>
      </w:r>
      <w:r w:rsidR="00D03602">
        <w:t xml:space="preserve"> migration</w:t>
      </w:r>
      <w:r>
        <w:t xml:space="preserve"> in 2019-20 are provided to inform winter flow delivery to the LMR, particularly barrage flows.</w:t>
      </w:r>
    </w:p>
    <w:p w14:paraId="315BEC95" w14:textId="6098883E" w:rsidR="00F535BF" w:rsidRDefault="008F1133" w:rsidP="00F535BF">
      <w:r>
        <w:t>Overall</w:t>
      </w:r>
      <w:r w:rsidR="00040DA3">
        <w:t>, environmental flow</w:t>
      </w:r>
      <w:r>
        <w:t>,</w:t>
      </w:r>
      <w:r w:rsidR="00040DA3">
        <w:t xml:space="preserve"> </w:t>
      </w:r>
      <w:r>
        <w:t xml:space="preserve">in 2019-20, </w:t>
      </w:r>
      <w:r w:rsidR="00040DA3">
        <w:t xml:space="preserve">represented 39% and 100% of the total volume delivered to the LMR and through the Murray barrages, respectively. This was significant in promoting </w:t>
      </w:r>
      <w:r w:rsidR="00040DA3" w:rsidRPr="00AB7910">
        <w:t>longitudinal connectivity</w:t>
      </w:r>
      <w:r w:rsidR="00040DA3">
        <w:t>, including end-of-system flows.</w:t>
      </w:r>
      <w:r w:rsidR="00040DA3" w:rsidRPr="00AB7910">
        <w:t xml:space="preserve"> </w:t>
      </w:r>
      <w:r w:rsidR="00040DA3">
        <w:t xml:space="preserve">The outcomes from the MER Project in 2019-20 reinforce that in the LMR, environmental water can be used to increase flow variability, e.g. promote in-channel flow pulses. </w:t>
      </w:r>
    </w:p>
    <w:p w14:paraId="611E2BA1" w14:textId="486377BD" w:rsidR="00F535BF" w:rsidRPr="00FE6B37" w:rsidRDefault="007C04A0" w:rsidP="00F535BF">
      <w:r>
        <w:t xml:space="preserve">Importantly, spring–early summer in-channel flow pulses were key features of the natural hydrograph in the LMR but are conspicuously absent from the contemporary flow regime. </w:t>
      </w:r>
      <w:r w:rsidR="00C41FA3">
        <w:t xml:space="preserve">These flow pulses improve longitudinal connectivity, increase </w:t>
      </w:r>
      <w:r w:rsidR="009E7C62">
        <w:t xml:space="preserve">hydraulic diversity and water level variability (particularly in tailwaters) and </w:t>
      </w:r>
      <w:r w:rsidR="00C41FA3">
        <w:t xml:space="preserve">contribute to a broad range of ecological processes and outcomes in riverine and estuarine ecosystems (e.g. lotic habitat, matter transport, food resources, spawning cues for riverine </w:t>
      </w:r>
      <w:r w:rsidR="009E7C62">
        <w:t>fishes, conditions suitable for recruitment of littoral vegetation).</w:t>
      </w:r>
      <w:r w:rsidR="00C41FA3">
        <w:t xml:space="preserve"> Such outcomes are well demonstrated by the ecological responses in the Lower Murray associated with the spring flow pulse</w:t>
      </w:r>
      <w:r w:rsidR="00FF121D">
        <w:t xml:space="preserve">s in recent years, including that </w:t>
      </w:r>
      <w:r w:rsidR="00E44DFB">
        <w:t xml:space="preserve">which </w:t>
      </w:r>
      <w:r w:rsidR="00FF121D">
        <w:t>occurred in 2019-20</w:t>
      </w:r>
      <w:r w:rsidR="00C41FA3">
        <w:t xml:space="preserve"> (</w:t>
      </w:r>
      <w:r w:rsidR="00FF121D">
        <w:t xml:space="preserve">peaking at </w:t>
      </w:r>
      <w:r w:rsidR="00C41FA3">
        <w:t>~15,600</w:t>
      </w:r>
      <w:r>
        <w:t> </w:t>
      </w:r>
      <w:r w:rsidR="00C41FA3">
        <w:t>ML/d</w:t>
      </w:r>
      <w:r w:rsidR="00FF121D">
        <w:t>, with 11 days &gt;15,000 ML/d</w:t>
      </w:r>
      <w:r w:rsidR="00C41FA3">
        <w:t xml:space="preserve">) supported by return environmental flows in the LMR. However, due to the limited magnitude and/or duration of the flow pulse, the spatial/temporal scale of hydraulic improvement and overall riverine ecosystem responses were limited. This is exemplified by the absence of golden perch recruitment in this region. </w:t>
      </w:r>
      <w:r w:rsidR="009E7C62">
        <w:t xml:space="preserve">Despite the lack of recruitment of golden perch, a flow pulse of this magnitude resulted in recruitment of native littoral understorey vegetation and germination of river red gums. This was due to the ~0.5 m water level rise in tailwaters directly resulting from environmental water. </w:t>
      </w:r>
      <w:r w:rsidR="00C41FA3">
        <w:t xml:space="preserve">Higher flow rates (&gt;20,000 ML/d) and/or greater durations may be required to substantially reinstate flowing river characteristics to achieve greater ecological outcomes (e.g. improving riverine production and recruitment of flow-cued spawning fishes) in the LMR. </w:t>
      </w:r>
      <w:r w:rsidR="00C41FA3" w:rsidRPr="008B6A0A">
        <w:rPr>
          <w:szCs w:val="21"/>
        </w:rPr>
        <w:t xml:space="preserve">With existing volumes of environmental water and delivery constraints, during dry years, reaching and sustaining flows &gt;20,000 ML/d in the LMR is largely reliant on coordinating flow deliveries across </w:t>
      </w:r>
      <w:r w:rsidR="00C41FA3">
        <w:rPr>
          <w:szCs w:val="21"/>
        </w:rPr>
        <w:t xml:space="preserve">much of </w:t>
      </w:r>
      <w:r w:rsidR="00C41FA3" w:rsidRPr="008B6A0A">
        <w:rPr>
          <w:szCs w:val="21"/>
        </w:rPr>
        <w:t xml:space="preserve">the southern </w:t>
      </w:r>
      <w:r w:rsidR="00C41FA3">
        <w:rPr>
          <w:szCs w:val="21"/>
        </w:rPr>
        <w:t>MDB</w:t>
      </w:r>
      <w:r w:rsidR="00C41FA3" w:rsidRPr="008B6A0A">
        <w:rPr>
          <w:szCs w:val="21"/>
        </w:rPr>
        <w:t xml:space="preserve">, including flows from </w:t>
      </w:r>
      <w:r w:rsidR="00C41FA3">
        <w:rPr>
          <w:szCs w:val="21"/>
        </w:rPr>
        <w:t>the</w:t>
      </w:r>
      <w:r w:rsidR="00C41FA3" w:rsidRPr="008B6A0A">
        <w:rPr>
          <w:szCs w:val="21"/>
        </w:rPr>
        <w:t xml:space="preserve"> Goulburn</w:t>
      </w:r>
      <w:r w:rsidR="00C41FA3">
        <w:rPr>
          <w:szCs w:val="21"/>
        </w:rPr>
        <w:t>, Murrumbidgee, Darling and Murray rivers. U</w:t>
      </w:r>
      <w:r w:rsidR="00C41FA3" w:rsidRPr="008B6A0A">
        <w:rPr>
          <w:szCs w:val="21"/>
        </w:rPr>
        <w:t xml:space="preserve">nder wetter scenarios, flows &gt;20,000 ML/d may be achieved by delivering environmental water </w:t>
      </w:r>
      <w:r w:rsidR="00C41FA3">
        <w:rPr>
          <w:szCs w:val="21"/>
        </w:rPr>
        <w:t xml:space="preserve">in conjunction </w:t>
      </w:r>
      <w:r w:rsidR="00C41FA3" w:rsidRPr="008B6A0A">
        <w:rPr>
          <w:szCs w:val="21"/>
        </w:rPr>
        <w:t>with unregulated flows.</w:t>
      </w:r>
      <w:r w:rsidR="00F535BF" w:rsidRPr="008B6A0A">
        <w:rPr>
          <w:szCs w:val="21"/>
        </w:rPr>
        <w:t xml:space="preserve"> </w:t>
      </w:r>
      <w:r w:rsidR="006B5AED">
        <w:t>Nevertheless, in recent years, flows of 10,000–18,000</w:t>
      </w:r>
      <w:r w:rsidR="004714E9">
        <w:t> </w:t>
      </w:r>
      <w:r w:rsidR="006B5AED">
        <w:t xml:space="preserve">ML/d during spring have been associated with recruitment of Murray cod. Flows of this volume result in improvements to the extent of lotic habitat in individual weir pools. Murray cod life history operates over these smaller spatial scales (10s </w:t>
      </w:r>
      <w:r w:rsidR="004714E9">
        <w:t xml:space="preserve">of </w:t>
      </w:r>
      <w:r w:rsidR="006B5AED">
        <w:t>km), and as such, observed recruitment may be associated with improved lotic habitat resulting from environmental water delivery.</w:t>
      </w:r>
    </w:p>
    <w:p w14:paraId="45D0DA4E" w14:textId="0A7F9464" w:rsidR="008F1133" w:rsidRDefault="00A13C34" w:rsidP="008F1133">
      <w:r>
        <w:t>Additionally, w</w:t>
      </w:r>
      <w:r w:rsidR="008F1133">
        <w:t xml:space="preserve">inter flows from upstream source water (e.g. Murray and Goulburn rivers) can be delivered via return flows from multi-site watering events through the Southern Connected Basin to the LMR, ensuring barrage releases and fishway operations to facilitate spawning migrations of lamprey, among other species. More broadly, </w:t>
      </w:r>
      <w:r w:rsidR="008F1133" w:rsidRPr="003B214D">
        <w:t>winter flows</w:t>
      </w:r>
      <w:r w:rsidR="008F1133">
        <w:t xml:space="preserve"> help maintain food resources</w:t>
      </w:r>
      <w:r w:rsidR="008F1133" w:rsidRPr="003B214D">
        <w:t xml:space="preserve">, </w:t>
      </w:r>
      <w:proofErr w:type="gramStart"/>
      <w:r w:rsidR="008F1133" w:rsidRPr="003B214D">
        <w:t>habitat</w:t>
      </w:r>
      <w:proofErr w:type="gramEnd"/>
      <w:r w:rsidR="008F1133" w:rsidRPr="003B214D">
        <w:t xml:space="preserve"> and connectivity between habitats</w:t>
      </w:r>
      <w:r w:rsidR="008F1133">
        <w:t xml:space="preserve">. Therefore, they are an important component to </w:t>
      </w:r>
      <w:r w:rsidR="008F1133" w:rsidRPr="00F11818">
        <w:t>reinstating flow</w:t>
      </w:r>
      <w:r w:rsidR="008F1133">
        <w:t xml:space="preserve"> regimes</w:t>
      </w:r>
      <w:r w:rsidR="008F1133" w:rsidRPr="00F11818">
        <w:t xml:space="preserve"> </w:t>
      </w:r>
      <w:r w:rsidR="008F1133">
        <w:t xml:space="preserve">to support native fish population recovery </w:t>
      </w:r>
      <w:r w:rsidR="008F1133" w:rsidRPr="00F11818">
        <w:t xml:space="preserve">in the southern </w:t>
      </w:r>
      <w:r w:rsidR="008F1133">
        <w:t>MDB, consistent with the MDBA’s ‘Water for the environment multi-year priorities’ (</w:t>
      </w:r>
      <w:hyperlink r:id="rId119" w:history="1">
        <w:r w:rsidR="008F1133" w:rsidRPr="00417F03">
          <w:rPr>
            <w:rStyle w:val="Hyperlink"/>
          </w:rPr>
          <w:t>https://www.mdba.gov.au/issues-murray-darling-basin/water-for-environment/water-environment-multi-year-priorities</w:t>
        </w:r>
      </w:hyperlink>
      <w:r w:rsidR="008F1133">
        <w:t xml:space="preserve">). </w:t>
      </w:r>
    </w:p>
    <w:p w14:paraId="06A85D0B" w14:textId="044EE737" w:rsidR="007C04A0" w:rsidRDefault="00F535BF" w:rsidP="007C04A0">
      <w:r>
        <w:t xml:space="preserve">Improving riverine hydraulics (e.g. water velocity and turbulence) is fundamental for ecological restoration in the LMR. Flows of 20,000–45,000 ML/d can significantly improve hydraulic conditions, by transforming &gt;50% of a weir pool from lentic (slower flowing water, median velocities ≤0.3 m/s) to lotic habitat (faster flowing water, &gt;0.3 m/s) (Ye </w:t>
      </w:r>
      <w:r w:rsidRPr="00C80DBD">
        <w:rPr>
          <w:i/>
        </w:rPr>
        <w:t>et al.</w:t>
      </w:r>
      <w:r>
        <w:t xml:space="preserve"> 2018). Restoring such hydrodynamic conditions will underpin riverine ecological processes and support the rehabilitation of many declining biota that are adapted to a flowing environment in the LMR</w:t>
      </w:r>
      <w:r w:rsidRPr="003640DB">
        <w:t xml:space="preserve"> (</w:t>
      </w:r>
      <w:proofErr w:type="spellStart"/>
      <w:r w:rsidRPr="003640DB">
        <w:t>Mallen</w:t>
      </w:r>
      <w:proofErr w:type="spellEnd"/>
      <w:r w:rsidRPr="003640DB">
        <w:t xml:space="preserve">-Cooper and </w:t>
      </w:r>
      <w:proofErr w:type="spellStart"/>
      <w:r w:rsidRPr="003640DB">
        <w:t>Zampatti</w:t>
      </w:r>
      <w:proofErr w:type="spellEnd"/>
      <w:r w:rsidRPr="003640DB">
        <w:t xml:space="preserve"> 2017).</w:t>
      </w:r>
      <w:r>
        <w:t xml:space="preserve"> </w:t>
      </w:r>
      <w:r w:rsidRPr="003640DB">
        <w:t xml:space="preserve">Pre-regulation, the </w:t>
      </w:r>
      <w:r w:rsidR="00D26B87">
        <w:t xml:space="preserve">LMR </w:t>
      </w:r>
      <w:r w:rsidRPr="003640DB">
        <w:t xml:space="preserve">was characterised by lotic, riverine habitats, with water velocities ranging ~0.2–0.5 m/s, even at </w:t>
      </w:r>
      <w:r w:rsidR="00E44DFB">
        <w:t>flows</w:t>
      </w:r>
      <w:r w:rsidR="00E44DFB" w:rsidRPr="003640DB">
        <w:t xml:space="preserve"> </w:t>
      </w:r>
      <w:r w:rsidRPr="003640DB">
        <w:t xml:space="preserve">&lt;10,000 ML/d (Bice </w:t>
      </w:r>
      <w:r w:rsidRPr="00F426B8">
        <w:rPr>
          <w:i/>
          <w:iCs/>
        </w:rPr>
        <w:t>et al.</w:t>
      </w:r>
      <w:r w:rsidRPr="003640DB">
        <w:t xml:space="preserve"> 2017).</w:t>
      </w:r>
      <w:r>
        <w:t xml:space="preserve"> With limited volumes of environmental water, infrastructure management, such as weir pool lowering, c</w:t>
      </w:r>
      <w:r w:rsidRPr="00783E01">
        <w:t>ould be considered</w:t>
      </w:r>
      <w:r>
        <w:t xml:space="preserve"> </w:t>
      </w:r>
      <w:r w:rsidRPr="00783E01">
        <w:t>t</w:t>
      </w:r>
      <w:r>
        <w:t xml:space="preserve">o complement flows to achieve hydraulic restoration in this </w:t>
      </w:r>
      <w:r w:rsidRPr="00C4258C">
        <w:t>region (</w:t>
      </w:r>
      <w:r w:rsidRPr="00C4258C">
        <w:fldChar w:fldCharType="begin"/>
      </w:r>
      <w:r w:rsidRPr="00C4258C">
        <w:instrText xml:space="preserve"> REF _Ref22556671 \h  \* MERGEFORMAT </w:instrText>
      </w:r>
      <w:r w:rsidRPr="00C4258C">
        <w:fldChar w:fldCharType="separate"/>
      </w:r>
      <w:r w:rsidR="006045CA">
        <w:t xml:space="preserve">Figure </w:t>
      </w:r>
      <w:r w:rsidR="006045CA">
        <w:rPr>
          <w:noProof/>
        </w:rPr>
        <w:t>13</w:t>
      </w:r>
      <w:r w:rsidRPr="00C4258C">
        <w:fldChar w:fldCharType="end"/>
      </w:r>
      <w:r w:rsidRPr="00C4258C">
        <w:t>)</w:t>
      </w:r>
      <w:r w:rsidR="007C04A0" w:rsidRPr="00C4258C">
        <w:t>.</w:t>
      </w:r>
      <w:r w:rsidR="007C04A0">
        <w:t xml:space="preserve"> </w:t>
      </w:r>
      <w:r w:rsidR="00EE72B7">
        <w:t>Hydraulic modelling suggests that at flow</w:t>
      </w:r>
      <w:r w:rsidR="00E44DFB">
        <w:t>s</w:t>
      </w:r>
      <w:r w:rsidR="00EE72B7">
        <w:t xml:space="preserve"> of 15,000 ML/d, lowering weir pools by 1 m could result in </w:t>
      </w:r>
      <w:r w:rsidR="00E44DFB">
        <w:t xml:space="preserve">a </w:t>
      </w:r>
      <w:r w:rsidR="00EE72B7">
        <w:t>similar extent of flowing water habitat with flow</w:t>
      </w:r>
      <w:r w:rsidR="00E44DFB">
        <w:t>s</w:t>
      </w:r>
      <w:r w:rsidR="00EE72B7">
        <w:t xml:space="preserve"> of 20,000 ML/d in the main channel of the LMR. </w:t>
      </w:r>
      <w:r w:rsidR="007C04A0">
        <w:t xml:space="preserve">Due to the impact of weirs, the direct influence of small in-channel flow pulses on the inundation area of littoral/riparian zones is limited in the LMR (unless it is via weir poor manipulations). However, in-channel flow pulses supported by environmental water can increase water level variability in the tailwater reaches (below the weirs), and benefit littoral vegetation. </w:t>
      </w:r>
    </w:p>
    <w:p w14:paraId="3825BDE8" w14:textId="04061537" w:rsidR="00D572C8" w:rsidRDefault="007C04A0" w:rsidP="007C04A0">
      <w:r>
        <w:t xml:space="preserve">The timing of flow delivery is important and should continue to align with ecological objectives and consider </w:t>
      </w:r>
      <w:r w:rsidRPr="0029627B">
        <w:rPr>
          <w:bCs/>
          <w:szCs w:val="21"/>
        </w:rPr>
        <w:t xml:space="preserve">biological processes and </w:t>
      </w:r>
      <w:r>
        <w:rPr>
          <w:bCs/>
          <w:szCs w:val="21"/>
        </w:rPr>
        <w:t xml:space="preserve">species’ </w:t>
      </w:r>
      <w:r w:rsidRPr="0029627B">
        <w:rPr>
          <w:bCs/>
          <w:szCs w:val="21"/>
        </w:rPr>
        <w:t xml:space="preserve">life history </w:t>
      </w:r>
      <w:r>
        <w:t xml:space="preserve">requirements. </w:t>
      </w:r>
      <w:r w:rsidRPr="00A917E8">
        <w:t xml:space="preserve">For example, flow </w:t>
      </w:r>
      <w:r w:rsidR="00D572C8" w:rsidRPr="00A917E8">
        <w:t xml:space="preserve">pulses during the spring/summer reproductive season are required to promote recruitment of </w:t>
      </w:r>
      <w:r w:rsidR="00D572C8">
        <w:t xml:space="preserve">flow-dependent species (e.g. Murray cod) and stimulate spawning in </w:t>
      </w:r>
      <w:r w:rsidR="00D572C8" w:rsidRPr="00A917E8">
        <w:t>flow-cued species</w:t>
      </w:r>
      <w:r w:rsidR="00D572C8">
        <w:t xml:space="preserve"> (e.g. golden perch)</w:t>
      </w:r>
      <w:r w:rsidR="00D572C8" w:rsidRPr="00A917E8">
        <w:t xml:space="preserve">; winter/spring flow pluses are needed to facilitate spawning migration of diadromous fish (e.g. lamprey); and summer/autumn flows are critical to reduce salinities and maintain water levels in the Coorong. </w:t>
      </w:r>
      <w:r w:rsidR="00D572C8">
        <w:t>T</w:t>
      </w:r>
      <w:r w:rsidR="00D572C8" w:rsidRPr="007744E1">
        <w:t>o achieve outcomes for lamprey migration</w:t>
      </w:r>
      <w:r w:rsidR="00D572C8">
        <w:t>, the</w:t>
      </w:r>
      <w:r w:rsidR="00D572C8" w:rsidRPr="007744E1">
        <w:t xml:space="preserve"> delivery of Commonwealth environmental water</w:t>
      </w:r>
      <w:r w:rsidR="00D572C8">
        <w:t xml:space="preserve"> should be considered during the peak timing of migration for pouched (July–August) and short-headed (September–October) lamprey</w:t>
      </w:r>
      <w:r w:rsidR="00D572C8" w:rsidRPr="007744E1">
        <w:t>.</w:t>
      </w:r>
      <w:r w:rsidR="00D572C8">
        <w:t xml:space="preserve"> </w:t>
      </w:r>
      <w:r w:rsidR="00B22070">
        <w:t xml:space="preserve">Compared to previous years (e.g. 2017-18), the spring flow pulse in 2019-20 </w:t>
      </w:r>
      <w:r w:rsidR="00496ECB">
        <w:t>occurred</w:t>
      </w:r>
      <w:r w:rsidR="00B22070">
        <w:t xml:space="preserve"> earlier (peak in mid-October) in the LMR, coinciding with the spawning season (i.e. September to November) of Murray cod. This may have contributed to the strong recruitment of Murray cod (YOY) in the LMR during 2020, for which </w:t>
      </w:r>
      <w:r w:rsidR="00496ECB">
        <w:t>current</w:t>
      </w:r>
      <w:r w:rsidR="00B22070">
        <w:t xml:space="preserve"> research is explor</w:t>
      </w:r>
      <w:r w:rsidR="00496ECB">
        <w:t>ing</w:t>
      </w:r>
      <w:r w:rsidR="00B22070">
        <w:t xml:space="preserve"> key drivers. </w:t>
      </w:r>
      <w:r w:rsidR="00D572C8">
        <w:t xml:space="preserve">Whilst the timing of flow is important, a large proportion of environmental water is delivered to the LMR as return flows (e.g. in winter/spring/early summer). A collaborative and coordinated approach to environmental water planning and management across the southern Basin is thus essential. This includes aligning the timing of water delivery to achieve multi-site ecological outcomes. </w:t>
      </w:r>
    </w:p>
    <w:p w14:paraId="1AF34D1E" w14:textId="2CCBB8DD" w:rsidR="00D572C8" w:rsidRDefault="00D572C8" w:rsidP="00D572C8">
      <w:r>
        <w:t>Overall, e</w:t>
      </w:r>
      <w:r w:rsidRPr="00076C40">
        <w:t>nvironmental water delivery that promotes longitudinal and lateral connectivity will enhance the productivity in the LMR through increased carbon and nutrient inputs, and matter transport</w:t>
      </w:r>
      <w:r w:rsidRPr="00653FAC">
        <w:t xml:space="preserve">. </w:t>
      </w:r>
      <w:r>
        <w:t xml:space="preserve">Water delivery, </w:t>
      </w:r>
      <w:r w:rsidRPr="00E47843">
        <w:t>in conjunction with</w:t>
      </w:r>
      <w:r>
        <w:t xml:space="preserve"> weir pool manipulation, to promote</w:t>
      </w:r>
      <w:r w:rsidRPr="00E47843">
        <w:t xml:space="preserve"> more natural water level</w:t>
      </w:r>
      <w:r>
        <w:t xml:space="preserve"> </w:t>
      </w:r>
      <w:r w:rsidRPr="00E47843">
        <w:t xml:space="preserve">changes </w:t>
      </w:r>
      <w:r>
        <w:t>are desirable to improve in</w:t>
      </w:r>
      <w:r w:rsidR="00E05A0C">
        <w:t>-channel</w:t>
      </w:r>
      <w:r>
        <w:t xml:space="preserve"> productivity, although </w:t>
      </w:r>
      <w:r w:rsidR="00556279">
        <w:t>the</w:t>
      </w:r>
      <w:r w:rsidR="00E05A0C">
        <w:rPr>
          <w:szCs w:val="21"/>
          <w:lang w:eastAsia="en-AU"/>
        </w:rPr>
        <w:t xml:space="preserve"> capacity </w:t>
      </w:r>
      <w:r w:rsidR="00556279">
        <w:rPr>
          <w:szCs w:val="21"/>
          <w:lang w:eastAsia="en-AU"/>
        </w:rPr>
        <w:t>of</w:t>
      </w:r>
      <w:r w:rsidR="00E05A0C">
        <w:rPr>
          <w:szCs w:val="21"/>
          <w:lang w:eastAsia="en-AU"/>
        </w:rPr>
        <w:t xml:space="preserve"> influence</w:t>
      </w:r>
      <w:r w:rsidR="00556279">
        <w:rPr>
          <w:szCs w:val="21"/>
          <w:lang w:eastAsia="en-AU"/>
        </w:rPr>
        <w:t xml:space="preserve"> may be limited with current infrastructure and operational arrangements</w:t>
      </w:r>
      <w:r w:rsidR="004D4896">
        <w:rPr>
          <w:szCs w:val="21"/>
          <w:lang w:eastAsia="en-AU"/>
        </w:rPr>
        <w:t xml:space="preserve"> in the LMR</w:t>
      </w:r>
      <w:r w:rsidR="00556279">
        <w:rPr>
          <w:szCs w:val="21"/>
          <w:lang w:eastAsia="en-AU"/>
        </w:rPr>
        <w:t xml:space="preserve">. </w:t>
      </w:r>
      <w:r w:rsidR="00F959B2">
        <w:rPr>
          <w:szCs w:val="21"/>
          <w:lang w:eastAsia="en-AU"/>
        </w:rPr>
        <w:t>M</w:t>
      </w:r>
      <w:r w:rsidR="00E05A0C">
        <w:rPr>
          <w:szCs w:val="21"/>
          <w:lang w:eastAsia="en-AU"/>
        </w:rPr>
        <w:t xml:space="preserve">anagement approaches that </w:t>
      </w:r>
      <w:r w:rsidR="00F959B2">
        <w:rPr>
          <w:szCs w:val="21"/>
          <w:lang w:eastAsia="en-AU"/>
        </w:rPr>
        <w:t>further prom</w:t>
      </w:r>
      <w:r w:rsidR="00E05A0C">
        <w:rPr>
          <w:szCs w:val="21"/>
          <w:lang w:eastAsia="en-AU"/>
        </w:rPr>
        <w:t xml:space="preserve">ote lateral connectivity, such as wetland and floodplain inundation with return flows to the </w:t>
      </w:r>
      <w:r w:rsidR="00556279">
        <w:rPr>
          <w:szCs w:val="21"/>
          <w:lang w:eastAsia="en-AU"/>
        </w:rPr>
        <w:t xml:space="preserve">main </w:t>
      </w:r>
      <w:r w:rsidR="00E05A0C">
        <w:rPr>
          <w:szCs w:val="21"/>
          <w:lang w:eastAsia="en-AU"/>
        </w:rPr>
        <w:t xml:space="preserve">channel, </w:t>
      </w:r>
      <w:r w:rsidR="007E6D49">
        <w:rPr>
          <w:szCs w:val="21"/>
          <w:lang w:eastAsia="en-AU"/>
        </w:rPr>
        <w:t xml:space="preserve">will </w:t>
      </w:r>
      <w:r w:rsidR="00E05A0C">
        <w:rPr>
          <w:szCs w:val="21"/>
          <w:lang w:eastAsia="en-AU"/>
        </w:rPr>
        <w:t>deliver secondary productivity</w:t>
      </w:r>
      <w:r w:rsidR="004C1CE8">
        <w:rPr>
          <w:szCs w:val="21"/>
          <w:lang w:eastAsia="en-AU"/>
        </w:rPr>
        <w:t xml:space="preserve"> (e.g. </w:t>
      </w:r>
      <w:proofErr w:type="spellStart"/>
      <w:r w:rsidR="004C1CE8">
        <w:rPr>
          <w:szCs w:val="21"/>
          <w:lang w:eastAsia="en-AU"/>
        </w:rPr>
        <w:t>microinvertebrates</w:t>
      </w:r>
      <w:proofErr w:type="spellEnd"/>
      <w:r w:rsidR="004C1CE8">
        <w:rPr>
          <w:szCs w:val="21"/>
          <w:lang w:eastAsia="en-AU"/>
        </w:rPr>
        <w:t>)</w:t>
      </w:r>
      <w:r w:rsidR="00E05A0C">
        <w:rPr>
          <w:szCs w:val="21"/>
          <w:lang w:eastAsia="en-AU"/>
        </w:rPr>
        <w:t xml:space="preserve"> to the L</w:t>
      </w:r>
      <w:r w:rsidR="00FB661B">
        <w:rPr>
          <w:szCs w:val="21"/>
          <w:lang w:eastAsia="en-AU"/>
        </w:rPr>
        <w:t>MR</w:t>
      </w:r>
      <w:r w:rsidR="00E05A0C">
        <w:rPr>
          <w:szCs w:val="21"/>
          <w:lang w:eastAsia="en-AU"/>
        </w:rPr>
        <w:t xml:space="preserve">. </w:t>
      </w:r>
      <w:r w:rsidR="00CC2FB2">
        <w:rPr>
          <w:szCs w:val="21"/>
          <w:lang w:eastAsia="en-AU"/>
        </w:rPr>
        <w:t>Furthermore, l</w:t>
      </w:r>
      <w:r w:rsidRPr="00105A43">
        <w:t xml:space="preserve">ongitudinal connectivity of river flow </w:t>
      </w:r>
      <w:r>
        <w:t xml:space="preserve">is important for the transport and dispersal of aquatic biota </w:t>
      </w:r>
      <w:r w:rsidRPr="00076C40">
        <w:t xml:space="preserve">(e.g. </w:t>
      </w:r>
      <w:proofErr w:type="spellStart"/>
      <w:r w:rsidRPr="00076C40">
        <w:t>microinvertebrates</w:t>
      </w:r>
      <w:proofErr w:type="spellEnd"/>
      <w:r w:rsidRPr="00076C40">
        <w:t>, fish larv</w:t>
      </w:r>
      <w:r>
        <w:t xml:space="preserve">ae) to and throughout the LMR. Monitoring during LTIM showed the transport of </w:t>
      </w:r>
      <w:proofErr w:type="spellStart"/>
      <w:r>
        <w:t>microinvertebrate</w:t>
      </w:r>
      <w:proofErr w:type="spellEnd"/>
      <w:r>
        <w:t xml:space="preserve"> species from upstream catchments (e.g. upper Murray, Goulburn, Darling) to the LMR and contributed to diverse communities. Monitoring in 2019-20 also demonstrated increased abundances of </w:t>
      </w:r>
      <w:proofErr w:type="spellStart"/>
      <w:r>
        <w:t>microinvertebrates</w:t>
      </w:r>
      <w:proofErr w:type="spellEnd"/>
      <w:r>
        <w:t xml:space="preserve"> that are floodplain-associated or likely transported from upstream catchments due to improved connectivity (lateral and longitudinal) by environmental flows in the LMR. </w:t>
      </w:r>
      <w:r w:rsidRPr="00936F0C">
        <w:t>Increased diversity</w:t>
      </w:r>
      <w:r>
        <w:t xml:space="preserve"> and abundance</w:t>
      </w:r>
      <w:r w:rsidRPr="00936F0C">
        <w:t xml:space="preserve"> of </w:t>
      </w:r>
      <w:proofErr w:type="spellStart"/>
      <w:r w:rsidRPr="00936F0C">
        <w:t>microinvertebrates</w:t>
      </w:r>
      <w:proofErr w:type="spellEnd"/>
      <w:r w:rsidRPr="00936F0C">
        <w:t xml:space="preserve"> may improve productivity and community resilience</w:t>
      </w:r>
      <w:r>
        <w:t xml:space="preserve"> in the LMR</w:t>
      </w:r>
      <w:r w:rsidRPr="00936F0C">
        <w:t>, which is important for aquatic food webs and may support diversity in higher trophic organisms (e.g. larval fish).</w:t>
      </w:r>
    </w:p>
    <w:p w14:paraId="3B7B5E78" w14:textId="4AD353AC" w:rsidR="00D572C8" w:rsidRDefault="00D572C8" w:rsidP="00D572C8">
      <w:r>
        <w:t xml:space="preserve">Managing environmental </w:t>
      </w:r>
      <w:r w:rsidR="00684F6F">
        <w:t xml:space="preserve">water </w:t>
      </w:r>
      <w:r>
        <w:t xml:space="preserve">releases across broad ‘riverscape’ scales is critical not only to achieve desired flow volumes in the LMR, but also </w:t>
      </w:r>
      <w:proofErr w:type="gramStart"/>
      <w:r>
        <w:t>with regard to</w:t>
      </w:r>
      <w:proofErr w:type="gramEnd"/>
      <w:r>
        <w:t xml:space="preserve"> water quality and </w:t>
      </w:r>
      <w:r w:rsidR="008F1B1F">
        <w:t xml:space="preserve">the </w:t>
      </w:r>
      <w:r>
        <w:t xml:space="preserve">transport of biota. Indeed, water quality (e.g. turbidity, DOC, the amount and form of nutrients) </w:t>
      </w:r>
      <w:r w:rsidR="00AE66E5">
        <w:t>and entrained biota (e.g. plankton, fish larvae/juveniles) may vary between different sources of water (and</w:t>
      </w:r>
      <w:r w:rsidR="007C2D10">
        <w:t xml:space="preserve"> be</w:t>
      </w:r>
      <w:r w:rsidR="00AE66E5">
        <w:t xml:space="preserve"> dependent on ecological processes occurring at those sources), and thus, flows from different upstream sources </w:t>
      </w:r>
      <w:r w:rsidR="00AE66E5" w:rsidRPr="00076C40">
        <w:t xml:space="preserve">can influence </w:t>
      </w:r>
      <w:r w:rsidR="00AE66E5">
        <w:t>ecological outcomes (e.g. recruitment of golden perch or silver perch) in the LMR</w:t>
      </w:r>
      <w:r w:rsidR="00AE66E5" w:rsidRPr="00076C40">
        <w:t xml:space="preserve">. </w:t>
      </w:r>
      <w:r w:rsidR="00AE66E5">
        <w:t>Consequently</w:t>
      </w:r>
      <w:r w:rsidR="009B51C8">
        <w:t xml:space="preserve">, </w:t>
      </w:r>
      <w:r w:rsidRPr="00076C40">
        <w:rPr>
          <w:rFonts w:cs="Arial"/>
          <w:szCs w:val="22"/>
        </w:rPr>
        <w:t>m</w:t>
      </w:r>
      <w:r w:rsidRPr="00076C40">
        <w:t xml:space="preserve">aintaining flow integrity from upstream (e.g. Darling River or mid-Murray) to the </w:t>
      </w:r>
      <w:r>
        <w:t>LMR</w:t>
      </w:r>
      <w:r w:rsidRPr="00076C40">
        <w:t xml:space="preserve"> is important to support broad-scale ecological processes and promote </w:t>
      </w:r>
      <w:r w:rsidRPr="00076C40">
        <w:rPr>
          <w:bCs/>
        </w:rPr>
        <w:t xml:space="preserve">positive outcomes (e.g. improved productivity, enhanced </w:t>
      </w:r>
      <w:r>
        <w:rPr>
          <w:bCs/>
        </w:rPr>
        <w:t xml:space="preserve">lamprey migration, </w:t>
      </w:r>
      <w:r w:rsidRPr="00076C40">
        <w:rPr>
          <w:bCs/>
        </w:rPr>
        <w:t>spawning and recruitment of flow-dependent fishes).</w:t>
      </w:r>
      <w:r>
        <w:rPr>
          <w:bCs/>
        </w:rPr>
        <w:t xml:space="preserve"> </w:t>
      </w:r>
      <w:r w:rsidRPr="00076C40">
        <w:rPr>
          <w:bCs/>
        </w:rPr>
        <w:t xml:space="preserve">In this regard, consideration needs to include: (1) maintaining </w:t>
      </w:r>
      <w:r w:rsidRPr="00076C40">
        <w:t>hydrological integrity (i.e. magnitude, variability and source) of flow from upstream; and (2) the potential effects on water quality and biological attributes by river operations that re-route (e.g. through floodplains or wetlands) or fragment the flow (e.g. by diversions or water storages), which could lead to changes in ecological response and the structure and function of aquatic food webs.</w:t>
      </w:r>
      <w:r>
        <w:t xml:space="preserve"> </w:t>
      </w:r>
    </w:p>
    <w:p w14:paraId="79EF25D5" w14:textId="5C1DB6E4" w:rsidR="003F7921" w:rsidRDefault="00DE7918" w:rsidP="00F535BF">
      <w:r>
        <w:t xml:space="preserve">During dry years, Commonwealth environmental water is pivotal in maintaining barrage flows and end-of-system connectivity to support a functioning river system and species’ life history processes (e.g. migration of diadromous fish). Barrage flows increase salt export out of the Basin, contributing to the Basin Plan salt export objective/target. They also play a critical role in reducing salt import from ocean into the Coorong, lowering salinities and maintaining estuarine habitat (e.g. for </w:t>
      </w:r>
      <w:proofErr w:type="spellStart"/>
      <w:r w:rsidRPr="00E25D59">
        <w:rPr>
          <w:i/>
          <w:iCs/>
        </w:rPr>
        <w:t>Ruppia</w:t>
      </w:r>
      <w:proofErr w:type="spellEnd"/>
      <w:r w:rsidR="007D4E6F">
        <w:t>, fish)</w:t>
      </w:r>
      <w:r>
        <w:t xml:space="preserve"> to support ecological functions and biodiversity. Barrage flows also </w:t>
      </w:r>
      <w:r w:rsidRPr="00A8576F">
        <w:t>reduce the risk of Murray Mouth closure.</w:t>
      </w:r>
    </w:p>
    <w:p w14:paraId="49A0D468" w14:textId="77777777" w:rsidR="0017553E" w:rsidRDefault="0017553E">
      <w:pPr>
        <w:spacing w:before="0" w:after="160" w:line="259" w:lineRule="auto"/>
        <w:jc w:val="left"/>
      </w:pPr>
      <w:r>
        <w:br w:type="page"/>
      </w:r>
    </w:p>
    <w:p w14:paraId="3588A677" w14:textId="5000CC0C" w:rsidR="000A65FC" w:rsidRDefault="000A65FC" w:rsidP="00106CC0">
      <w:pPr>
        <w:pStyle w:val="Heading1"/>
      </w:pPr>
      <w:bookmarkStart w:id="360" w:name="_Toc69309250"/>
      <w:r w:rsidRPr="00C757C7">
        <w:t>References</w:t>
      </w:r>
      <w:bookmarkEnd w:id="359"/>
      <w:bookmarkEnd w:id="360"/>
    </w:p>
    <w:p w14:paraId="32C38514" w14:textId="77777777" w:rsidR="00530E59" w:rsidRPr="003F2FD1" w:rsidRDefault="00530E59" w:rsidP="00530E59">
      <w:pPr>
        <w:rPr>
          <w:lang w:val="en-US"/>
        </w:rPr>
      </w:pPr>
      <w:r w:rsidRPr="003F2FD1">
        <w:rPr>
          <w:lang w:val="en-US"/>
        </w:rPr>
        <w:t xml:space="preserve">Abernethy, B. and </w:t>
      </w:r>
      <w:proofErr w:type="spellStart"/>
      <w:r w:rsidRPr="003F2FD1">
        <w:rPr>
          <w:lang w:val="en-US"/>
        </w:rPr>
        <w:t>Rutherfurd</w:t>
      </w:r>
      <w:proofErr w:type="spellEnd"/>
      <w:r w:rsidRPr="003F2FD1">
        <w:rPr>
          <w:lang w:val="en-US"/>
        </w:rPr>
        <w:t xml:space="preserve">, I.D. (1998). Where along a river's length will vegetation most effectively </w:t>
      </w:r>
      <w:proofErr w:type="spellStart"/>
      <w:r w:rsidRPr="003F2FD1">
        <w:rPr>
          <w:lang w:val="en-US"/>
        </w:rPr>
        <w:t>stabilise</w:t>
      </w:r>
      <w:proofErr w:type="spellEnd"/>
      <w:r w:rsidRPr="003F2FD1">
        <w:rPr>
          <w:lang w:val="en-US"/>
        </w:rPr>
        <w:t xml:space="preserve"> stream banks? </w:t>
      </w:r>
      <w:r w:rsidRPr="003F2FD1">
        <w:rPr>
          <w:i/>
          <w:iCs/>
          <w:lang w:val="en-US"/>
        </w:rPr>
        <w:t>Geomorphology</w:t>
      </w:r>
      <w:r w:rsidRPr="003F2FD1">
        <w:rPr>
          <w:lang w:val="en-US"/>
        </w:rPr>
        <w:t xml:space="preserve"> </w:t>
      </w:r>
      <w:r w:rsidRPr="003F2FD1">
        <w:rPr>
          <w:b/>
          <w:bCs/>
          <w:lang w:val="en-US"/>
        </w:rPr>
        <w:t>23</w:t>
      </w:r>
      <w:r w:rsidRPr="003F2FD1">
        <w:rPr>
          <w:lang w:val="en-US"/>
        </w:rPr>
        <w:t>, 55</w:t>
      </w:r>
      <w:r>
        <w:rPr>
          <w:lang w:val="en-US"/>
        </w:rPr>
        <w:t>–</w:t>
      </w:r>
      <w:r w:rsidRPr="003F2FD1">
        <w:rPr>
          <w:lang w:val="en-US"/>
        </w:rPr>
        <w:t>75.</w:t>
      </w:r>
    </w:p>
    <w:p w14:paraId="11D52BAE" w14:textId="77777777" w:rsidR="00530E59" w:rsidRPr="003F2FD1" w:rsidRDefault="00530E59" w:rsidP="00530E59">
      <w:pPr>
        <w:rPr>
          <w:lang w:val="en-US"/>
        </w:rPr>
      </w:pPr>
      <w:r w:rsidRPr="00346B75">
        <w:rPr>
          <w:lang w:val="en-US"/>
        </w:rPr>
        <w:t xml:space="preserve">Aldridge, K.T., Busch, B.D. and </w:t>
      </w:r>
      <w:proofErr w:type="spellStart"/>
      <w:r w:rsidRPr="00346B75">
        <w:rPr>
          <w:lang w:val="en-US"/>
        </w:rPr>
        <w:t>Hipsey</w:t>
      </w:r>
      <w:proofErr w:type="spellEnd"/>
      <w:r w:rsidRPr="00346B75">
        <w:rPr>
          <w:lang w:val="en-US"/>
        </w:rPr>
        <w:t xml:space="preserve">, M.R. (2013). An assessment of the contribution of environmental water provisions to salt and nutrient dynamics in the lower Murray, November 2011–July 2012. The University of Adelaide, </w:t>
      </w:r>
      <w:r w:rsidRPr="003F2FD1">
        <w:rPr>
          <w:lang w:val="en-US"/>
        </w:rPr>
        <w:t>Adelaide.</w:t>
      </w:r>
    </w:p>
    <w:p w14:paraId="39F97CC4" w14:textId="77777777" w:rsidR="00530E59" w:rsidRPr="003F2FD1" w:rsidRDefault="00530E59" w:rsidP="00530E59">
      <w:pPr>
        <w:rPr>
          <w:lang w:val="en-US"/>
        </w:rPr>
      </w:pPr>
      <w:r w:rsidRPr="003F2FD1">
        <w:rPr>
          <w:lang w:val="en-US"/>
        </w:rPr>
        <w:t xml:space="preserve">Anderson, M.J., </w:t>
      </w:r>
      <w:proofErr w:type="spellStart"/>
      <w:r w:rsidRPr="003F2FD1">
        <w:rPr>
          <w:lang w:val="en-US"/>
        </w:rPr>
        <w:t>Gorley</w:t>
      </w:r>
      <w:proofErr w:type="spellEnd"/>
      <w:r w:rsidRPr="003F2FD1">
        <w:rPr>
          <w:lang w:val="en-US"/>
        </w:rPr>
        <w:t>, R.N. and Clarke, K.R. (2008). PERMANOVA+ for PRIMER: guide to software and statistical methods. PRIMER-E, Plymouth, UK.</w:t>
      </w:r>
    </w:p>
    <w:p w14:paraId="33343AC7" w14:textId="77777777" w:rsidR="00530E59" w:rsidRPr="003F2FD1" w:rsidRDefault="00530E59" w:rsidP="00530E59">
      <w:pPr>
        <w:rPr>
          <w:lang w:val="en-US"/>
        </w:rPr>
      </w:pPr>
      <w:proofErr w:type="spellStart"/>
      <w:r w:rsidRPr="003F2FD1">
        <w:rPr>
          <w:lang w:val="en-US"/>
        </w:rPr>
        <w:t>Bagstad</w:t>
      </w:r>
      <w:proofErr w:type="spellEnd"/>
      <w:r w:rsidRPr="003F2FD1">
        <w:rPr>
          <w:lang w:val="en-US"/>
        </w:rPr>
        <w:t xml:space="preserve">, K.J., Stromberg, J.C. and Lite, S.J. (2005). Response of herbaceous riparian plants to rain and flooding on the San Pedro River, Arizona, USA. </w:t>
      </w:r>
      <w:r w:rsidRPr="003F2FD1">
        <w:rPr>
          <w:i/>
          <w:iCs/>
          <w:lang w:val="en-US"/>
        </w:rPr>
        <w:t>Wetlands</w:t>
      </w:r>
      <w:r w:rsidRPr="003F2FD1">
        <w:rPr>
          <w:lang w:val="en-US"/>
        </w:rPr>
        <w:t xml:space="preserve"> </w:t>
      </w:r>
      <w:r w:rsidRPr="003F2FD1">
        <w:rPr>
          <w:b/>
          <w:bCs/>
          <w:lang w:val="en-US"/>
        </w:rPr>
        <w:t>25</w:t>
      </w:r>
      <w:r w:rsidRPr="003F2FD1">
        <w:rPr>
          <w:lang w:val="en-US"/>
        </w:rPr>
        <w:t>, 210</w:t>
      </w:r>
      <w:r>
        <w:rPr>
          <w:lang w:val="en-US"/>
        </w:rPr>
        <w:t>–</w:t>
      </w:r>
      <w:r w:rsidRPr="003F2FD1">
        <w:rPr>
          <w:lang w:val="en-US"/>
        </w:rPr>
        <w:t>223.</w:t>
      </w:r>
    </w:p>
    <w:p w14:paraId="75BFBA62" w14:textId="77777777" w:rsidR="00530E59" w:rsidRPr="000F3386" w:rsidRDefault="00530E59" w:rsidP="00530E59">
      <w:r w:rsidRPr="0059173F">
        <w:t xml:space="preserve">Baldwin, D.S., </w:t>
      </w:r>
      <w:proofErr w:type="spellStart"/>
      <w:r w:rsidRPr="0059173F">
        <w:t>Colloff</w:t>
      </w:r>
      <w:proofErr w:type="spellEnd"/>
      <w:r w:rsidRPr="0059173F">
        <w:t xml:space="preserve">, M.J., Mitrovic, S.M., Bond, N.R. and Wolfenden, B. (2016). Restoring dissolved organic </w:t>
      </w:r>
      <w:r w:rsidRPr="000F3386">
        <w:t xml:space="preserve">carbon subsidies from floodplains to lowland river food webs: a role for environmental flows? </w:t>
      </w:r>
      <w:r w:rsidRPr="000F3386">
        <w:rPr>
          <w:i/>
        </w:rPr>
        <w:t>Marine and Freshwater Research</w:t>
      </w:r>
      <w:r w:rsidRPr="000F3386">
        <w:t xml:space="preserve"> </w:t>
      </w:r>
      <w:r w:rsidRPr="000F3386">
        <w:rPr>
          <w:b/>
        </w:rPr>
        <w:t>67</w:t>
      </w:r>
      <w:r w:rsidRPr="000F3386">
        <w:t>, 1387–1399.</w:t>
      </w:r>
    </w:p>
    <w:p w14:paraId="575E367D" w14:textId="77777777" w:rsidR="00530E59" w:rsidRPr="000F3386" w:rsidRDefault="00530E59" w:rsidP="00530E59">
      <w:proofErr w:type="spellStart"/>
      <w:r w:rsidRPr="000F3386">
        <w:t>Baranyi</w:t>
      </w:r>
      <w:proofErr w:type="spellEnd"/>
      <w:r w:rsidRPr="000F3386">
        <w:t xml:space="preserve">, C., Hein, T., </w:t>
      </w:r>
      <w:proofErr w:type="spellStart"/>
      <w:r w:rsidRPr="000F3386">
        <w:t>Holarek</w:t>
      </w:r>
      <w:proofErr w:type="spellEnd"/>
      <w:r w:rsidRPr="000F3386">
        <w:t xml:space="preserve">, C., </w:t>
      </w:r>
      <w:proofErr w:type="spellStart"/>
      <w:r w:rsidRPr="000F3386">
        <w:t>Keckeis</w:t>
      </w:r>
      <w:proofErr w:type="spellEnd"/>
      <w:r w:rsidRPr="000F3386">
        <w:t xml:space="preserve">, S. and </w:t>
      </w:r>
      <w:proofErr w:type="spellStart"/>
      <w:r w:rsidRPr="000F3386">
        <w:t>Schiemer</w:t>
      </w:r>
      <w:proofErr w:type="spellEnd"/>
      <w:r w:rsidRPr="000F3386">
        <w:t xml:space="preserve">, F. (2002). Zooplankton biomass and community structure in a Danube River floodplain system: effects of hydrology. </w:t>
      </w:r>
      <w:r w:rsidRPr="000F3386">
        <w:rPr>
          <w:i/>
        </w:rPr>
        <w:t>Freshwater Biology</w:t>
      </w:r>
      <w:r w:rsidRPr="000F3386">
        <w:t xml:space="preserve"> </w:t>
      </w:r>
      <w:r w:rsidRPr="000F3386">
        <w:rPr>
          <w:b/>
        </w:rPr>
        <w:t>47</w:t>
      </w:r>
      <w:r w:rsidRPr="000F3386">
        <w:t>, 473–482.</w:t>
      </w:r>
    </w:p>
    <w:p w14:paraId="545D4109" w14:textId="31C40A68" w:rsidR="00530E59" w:rsidRPr="002159BD" w:rsidRDefault="00530E59" w:rsidP="00530E59">
      <w:r w:rsidRPr="00075CA5">
        <w:t xml:space="preserve">Barker, W.R., Barker, R.M. Jessop, J.P. and </w:t>
      </w:r>
      <w:proofErr w:type="spellStart"/>
      <w:r w:rsidRPr="00075CA5">
        <w:t>Vonow</w:t>
      </w:r>
      <w:proofErr w:type="spellEnd"/>
      <w:r w:rsidRPr="00075CA5">
        <w:t>, H.P. (2005). Census of South Australian Vascular Plants. 5.00 edition. Botanic Gardens of Adelaide and State Herbarium, Adelaide.</w:t>
      </w:r>
    </w:p>
    <w:p w14:paraId="1894D821" w14:textId="77777777" w:rsidR="00530E59" w:rsidRDefault="00530E59" w:rsidP="00530E59">
      <w:proofErr w:type="spellStart"/>
      <w:r w:rsidRPr="001850B4">
        <w:t>Basu</w:t>
      </w:r>
      <w:proofErr w:type="spellEnd"/>
      <w:r w:rsidRPr="001850B4">
        <w:t xml:space="preserve">, B.K. and Pick, F.R. (1996). Factors regulating phytoplankton and zooplankton biomass in temperate rivers. </w:t>
      </w:r>
      <w:r w:rsidRPr="006A170D">
        <w:rPr>
          <w:i/>
          <w:iCs/>
        </w:rPr>
        <w:t>Limnology and Oceanography</w:t>
      </w:r>
      <w:r w:rsidRPr="001850B4">
        <w:t xml:space="preserve"> </w:t>
      </w:r>
      <w:r w:rsidRPr="006A170D">
        <w:rPr>
          <w:b/>
          <w:bCs/>
        </w:rPr>
        <w:t>41</w:t>
      </w:r>
      <w:r w:rsidRPr="001850B4">
        <w:t>, 1572–1577.</w:t>
      </w:r>
    </w:p>
    <w:p w14:paraId="21342602" w14:textId="77777777" w:rsidR="00530E59" w:rsidRPr="00C70D04" w:rsidRDefault="00530E59" w:rsidP="00530E59">
      <w:r w:rsidRPr="00C70D04">
        <w:t xml:space="preserve">Baumgartner, L.J., </w:t>
      </w:r>
      <w:proofErr w:type="spellStart"/>
      <w:r w:rsidRPr="00C70D04">
        <w:t>Conallin</w:t>
      </w:r>
      <w:proofErr w:type="spellEnd"/>
      <w:r w:rsidRPr="00C70D04">
        <w:t xml:space="preserve">, J., Wooden, I., Campbell, B., Gee, R., Robinson, W.A. and </w:t>
      </w:r>
      <w:proofErr w:type="spellStart"/>
      <w:r w:rsidRPr="00C70D04">
        <w:t>Mallen</w:t>
      </w:r>
      <w:proofErr w:type="spellEnd"/>
      <w:r w:rsidRPr="00C70D04">
        <w:t xml:space="preserve">-Cooper, M. (2014). Using flow guilds of freshwater fish in an adaptive management framework to simplify environmental flow delivery for semi-arid riverine systems. </w:t>
      </w:r>
      <w:r w:rsidRPr="00C70D04">
        <w:rPr>
          <w:i/>
          <w:iCs/>
        </w:rPr>
        <w:t>Fish and Fisheries</w:t>
      </w:r>
      <w:r w:rsidRPr="00C70D04">
        <w:t xml:space="preserve"> </w:t>
      </w:r>
      <w:r w:rsidRPr="00C70D04">
        <w:rPr>
          <w:b/>
          <w:bCs/>
        </w:rPr>
        <w:t>15</w:t>
      </w:r>
      <w:r w:rsidRPr="00C70D04">
        <w:t>, 410–427.</w:t>
      </w:r>
    </w:p>
    <w:p w14:paraId="68A2E128" w14:textId="77777777" w:rsidR="00530E59" w:rsidRPr="003F2FD1" w:rsidRDefault="00530E59" w:rsidP="00530E59">
      <w:proofErr w:type="spellStart"/>
      <w:r w:rsidRPr="00346B75">
        <w:t>Beardall</w:t>
      </w:r>
      <w:proofErr w:type="spellEnd"/>
      <w:r w:rsidRPr="00346B75">
        <w:t xml:space="preserve">, J. and Raven, J.A. (1990). Pathways and mechanisms of respiration in microalgae. </w:t>
      </w:r>
      <w:r w:rsidRPr="00346B75">
        <w:rPr>
          <w:i/>
        </w:rPr>
        <w:t xml:space="preserve">Marine Microbial Food </w:t>
      </w:r>
      <w:r w:rsidRPr="003F2FD1">
        <w:rPr>
          <w:i/>
        </w:rPr>
        <w:t>Webs</w:t>
      </w:r>
      <w:r w:rsidRPr="003F2FD1">
        <w:t xml:space="preserve"> </w:t>
      </w:r>
      <w:r w:rsidRPr="003F2FD1">
        <w:rPr>
          <w:b/>
        </w:rPr>
        <w:t>4</w:t>
      </w:r>
      <w:r w:rsidRPr="003F2FD1">
        <w:t>, 7–30.</w:t>
      </w:r>
    </w:p>
    <w:p w14:paraId="4BA4B1D8" w14:textId="77777777" w:rsidR="00530E59" w:rsidRPr="003F2FD1" w:rsidRDefault="00530E59" w:rsidP="00530E59">
      <w:pPr>
        <w:rPr>
          <w:lang w:val="en-US"/>
        </w:rPr>
      </w:pPr>
      <w:r w:rsidRPr="003F2FD1">
        <w:rPr>
          <w:lang w:val="en-US"/>
        </w:rPr>
        <w:t xml:space="preserve">Beauchamp, V.B. and Stromberg, J.C. (2008). Changes to herbaceous plant communities on a regulated desert river. </w:t>
      </w:r>
      <w:r w:rsidRPr="003F2FD1">
        <w:rPr>
          <w:i/>
          <w:iCs/>
          <w:lang w:val="en-US"/>
        </w:rPr>
        <w:t>River Research and Applications</w:t>
      </w:r>
      <w:r w:rsidRPr="003F2FD1">
        <w:rPr>
          <w:lang w:val="en-US"/>
        </w:rPr>
        <w:t xml:space="preserve"> </w:t>
      </w:r>
      <w:r w:rsidRPr="003F2FD1">
        <w:rPr>
          <w:b/>
          <w:bCs/>
          <w:lang w:val="en-US"/>
        </w:rPr>
        <w:t>24</w:t>
      </w:r>
      <w:r w:rsidRPr="003F2FD1">
        <w:rPr>
          <w:lang w:val="en-US"/>
        </w:rPr>
        <w:t>, 754</w:t>
      </w:r>
      <w:r>
        <w:rPr>
          <w:lang w:val="en-US"/>
        </w:rPr>
        <w:t>–</w:t>
      </w:r>
      <w:r w:rsidRPr="003F2FD1">
        <w:rPr>
          <w:lang w:val="en-US"/>
        </w:rPr>
        <w:t>770.</w:t>
      </w:r>
    </w:p>
    <w:p w14:paraId="08477E0B" w14:textId="77777777" w:rsidR="00530E59" w:rsidRPr="00346B75" w:rsidRDefault="00530E59" w:rsidP="00530E59">
      <w:r w:rsidRPr="00346B75">
        <w:t xml:space="preserve">Berggren, M. and del Giorgio, P.A. (2015). Distinct patterns of microbial metabolism associated to riverine dissolved organic carbon of different source and quality. </w:t>
      </w:r>
      <w:r w:rsidRPr="00346B75">
        <w:rPr>
          <w:i/>
        </w:rPr>
        <w:t xml:space="preserve">Journal of Geophysical Research: </w:t>
      </w:r>
      <w:proofErr w:type="spellStart"/>
      <w:r w:rsidRPr="00346B75">
        <w:rPr>
          <w:i/>
        </w:rPr>
        <w:t>Biogeosciences</w:t>
      </w:r>
      <w:proofErr w:type="spellEnd"/>
      <w:r w:rsidRPr="00346B75">
        <w:t xml:space="preserve"> </w:t>
      </w:r>
      <w:r w:rsidRPr="00346B75">
        <w:rPr>
          <w:b/>
        </w:rPr>
        <w:t>120</w:t>
      </w:r>
      <w:r w:rsidRPr="00346B75">
        <w:t>, 989–999.</w:t>
      </w:r>
    </w:p>
    <w:p w14:paraId="5BAA6B81" w14:textId="77777777" w:rsidR="00530E59" w:rsidRPr="00C70D04" w:rsidRDefault="00530E59" w:rsidP="00530E59">
      <w:r w:rsidRPr="00C70D04">
        <w:t xml:space="preserve">Bice, C.M., Gehrig, S.L., Zampatti, B.P., Nicol, J.M., Wilson, P., Leigh, S.L. and </w:t>
      </w:r>
      <w:proofErr w:type="spellStart"/>
      <w:r w:rsidRPr="00C70D04">
        <w:t>Marsland</w:t>
      </w:r>
      <w:proofErr w:type="spellEnd"/>
      <w:r w:rsidRPr="00C70D04">
        <w:t xml:space="preserve">, K. (2014). Flow-induced alterations to fish assemblages, </w:t>
      </w:r>
      <w:proofErr w:type="gramStart"/>
      <w:r w:rsidRPr="00C70D04">
        <w:t>habitat</w:t>
      </w:r>
      <w:proofErr w:type="gramEnd"/>
      <w:r w:rsidRPr="00C70D04">
        <w:t xml:space="preserve"> and fish-habitat associations in a regulated lowland river. </w:t>
      </w:r>
      <w:proofErr w:type="spellStart"/>
      <w:r w:rsidRPr="00C70D04">
        <w:rPr>
          <w:i/>
        </w:rPr>
        <w:t>Hydrobiologia</w:t>
      </w:r>
      <w:proofErr w:type="spellEnd"/>
      <w:r w:rsidRPr="00C70D04">
        <w:rPr>
          <w:i/>
        </w:rPr>
        <w:t xml:space="preserve"> </w:t>
      </w:r>
      <w:r w:rsidRPr="00C70D04">
        <w:rPr>
          <w:b/>
        </w:rPr>
        <w:t>722</w:t>
      </w:r>
      <w:r w:rsidRPr="00C70D04">
        <w:t>, 205–222.</w:t>
      </w:r>
    </w:p>
    <w:p w14:paraId="33EB2A7A" w14:textId="77777777" w:rsidR="00530E59" w:rsidRPr="00D813A6" w:rsidRDefault="00530E59" w:rsidP="00530E59">
      <w:r w:rsidRPr="00C70D04">
        <w:t xml:space="preserve">Bice, C.M., Gibbs, M.S., </w:t>
      </w:r>
      <w:proofErr w:type="spellStart"/>
      <w:r w:rsidRPr="00C70D04">
        <w:t>Kilsby</w:t>
      </w:r>
      <w:proofErr w:type="spellEnd"/>
      <w:r w:rsidRPr="00C70D04">
        <w:t xml:space="preserve">, N.N., </w:t>
      </w:r>
      <w:proofErr w:type="spellStart"/>
      <w:r w:rsidRPr="00C70D04">
        <w:t>Mallen</w:t>
      </w:r>
      <w:proofErr w:type="spellEnd"/>
      <w:r w:rsidRPr="00C70D04">
        <w:t xml:space="preserve">-Cooper, M. and Zampatti, B.P. (2017). Putting the “river” back into the lower River Murray: quantifying the hydraulic impact of river regulation to </w:t>
      </w:r>
      <w:r w:rsidRPr="00D813A6">
        <w:t xml:space="preserve">guide ecological restoration. </w:t>
      </w:r>
      <w:r w:rsidRPr="00D813A6">
        <w:rPr>
          <w:i/>
        </w:rPr>
        <w:t>Transactions of the Royal Society of South Australia</w:t>
      </w:r>
      <w:r w:rsidRPr="00D813A6">
        <w:t>, DOI: 10.1080/03721426.2017.1374909.</w:t>
      </w:r>
    </w:p>
    <w:p w14:paraId="5FC95266" w14:textId="5631BBE9" w:rsidR="00530E59" w:rsidRDefault="00530E59" w:rsidP="00530E59">
      <w:r w:rsidRPr="00346B75">
        <w:t xml:space="preserve">Bice, C.M., Wedderburn, S.D., Hammer, M.P., Ye, Q. and Zampatti, B.P. (2018). Fishes of the Lower Lakes and Coorong: A Summary of Life-History, Population </w:t>
      </w:r>
      <w:proofErr w:type="gramStart"/>
      <w:r w:rsidRPr="00346B75">
        <w:t>Dynamics</w:t>
      </w:r>
      <w:proofErr w:type="gramEnd"/>
      <w:r w:rsidRPr="00346B75">
        <w:t xml:space="preserve"> and Management. In: Natural History of The Coorong, </w:t>
      </w:r>
      <w:r w:rsidRPr="00C70D04">
        <w:t>Lower Lakes, and Murray Mouth Region (</w:t>
      </w:r>
      <w:proofErr w:type="spellStart"/>
      <w:r w:rsidRPr="00C70D04">
        <w:t>Yarluwar-Ruwe</w:t>
      </w:r>
      <w:proofErr w:type="spellEnd"/>
      <w:r w:rsidRPr="00C70D04">
        <w:t>). Eds. Mosley, L., Ye, Q., Shepherd, S., Hemming, S. &amp; Fitzpatrick, R. Royal Society of South Australia, University of Adelaide Press. Adelaide. pp 371–399.</w:t>
      </w:r>
    </w:p>
    <w:p w14:paraId="4D02CE15" w14:textId="62ABDC9A" w:rsidR="00DB4B43" w:rsidRPr="00C70D04" w:rsidRDefault="00DB4B43" w:rsidP="00530E59">
      <w:r w:rsidRPr="00F93C39">
        <w:t>Bice, C.M., Zampatti, B.P. and Tonkin, Z. (2016). The influence of weir pool raising in the South Australian lower River Murray on condition and growth of Australian Smelt (</w:t>
      </w:r>
      <w:proofErr w:type="spellStart"/>
      <w:r w:rsidRPr="00B61F40">
        <w:rPr>
          <w:i/>
          <w:iCs/>
        </w:rPr>
        <w:t>Retropinna</w:t>
      </w:r>
      <w:proofErr w:type="spellEnd"/>
      <w:r w:rsidRPr="00B61F40">
        <w:rPr>
          <w:i/>
          <w:iCs/>
        </w:rPr>
        <w:t xml:space="preserve"> </w:t>
      </w:r>
      <w:proofErr w:type="spellStart"/>
      <w:r w:rsidRPr="00B61F40">
        <w:rPr>
          <w:i/>
          <w:iCs/>
        </w:rPr>
        <w:t>semoni</w:t>
      </w:r>
      <w:proofErr w:type="spellEnd"/>
      <w:r w:rsidRPr="00F93C39">
        <w:t>). South Australian Research and Development Institute (Aquatic Sciences), Adelaide. SARDI Publication No. F2016/000336-1. SARDI Research Report Series No. 907. 37pp.</w:t>
      </w:r>
    </w:p>
    <w:p w14:paraId="496B0937" w14:textId="77777777" w:rsidR="00530E59" w:rsidRPr="00C70D04" w:rsidRDefault="00530E59" w:rsidP="00530E59">
      <w:r w:rsidRPr="00C70D04">
        <w:t xml:space="preserve">Bice, C.M., Zampatti, B.P., Ye, Q. and Giatas, G.C. (2020). Lamprey migration in the lower River Murray in association with Commonwealth environmental water delivery in 2019. South Australian Research and Development Institute (Aquatic Sciences), Adelaide. </w:t>
      </w:r>
      <w:r w:rsidRPr="00F77C2D">
        <w:t>SARDI Publication No. F2020/000203-01. SARDI Research Report Series No. 1061, 25 pp.</w:t>
      </w:r>
    </w:p>
    <w:p w14:paraId="2A4D6DFB" w14:textId="77777777" w:rsidR="00530E59" w:rsidRPr="00C70D04" w:rsidRDefault="00530E59" w:rsidP="00530E59">
      <w:r w:rsidRPr="00C70D04">
        <w:t xml:space="preserve">Biggs, B.J.F., </w:t>
      </w:r>
      <w:proofErr w:type="spellStart"/>
      <w:r w:rsidRPr="00C70D04">
        <w:t>Nikora</w:t>
      </w:r>
      <w:proofErr w:type="spellEnd"/>
      <w:r w:rsidRPr="00C70D04">
        <w:t xml:space="preserve">, V.I. and </w:t>
      </w:r>
      <w:proofErr w:type="spellStart"/>
      <w:r w:rsidRPr="00C70D04">
        <w:t>Snelder</w:t>
      </w:r>
      <w:proofErr w:type="spellEnd"/>
      <w:r w:rsidRPr="00C70D04">
        <w:t xml:space="preserve">, T.H. (2005). Linking scales of flow variability to lotic ecosystem structure and function. </w:t>
      </w:r>
      <w:r w:rsidRPr="00C70D04">
        <w:rPr>
          <w:i/>
        </w:rPr>
        <w:t xml:space="preserve">Regulated Rivers: Research &amp; </w:t>
      </w:r>
      <w:proofErr w:type="spellStart"/>
      <w:r w:rsidRPr="00C70D04">
        <w:rPr>
          <w:i/>
        </w:rPr>
        <w:t>Mangement</w:t>
      </w:r>
      <w:proofErr w:type="spellEnd"/>
      <w:r w:rsidRPr="00C70D04">
        <w:t xml:space="preserve"> </w:t>
      </w:r>
      <w:r w:rsidRPr="00C70D04">
        <w:rPr>
          <w:b/>
        </w:rPr>
        <w:t>21</w:t>
      </w:r>
      <w:r w:rsidRPr="00C70D04">
        <w:t>, 283–298.</w:t>
      </w:r>
    </w:p>
    <w:p w14:paraId="7780F858" w14:textId="77777777" w:rsidR="00530E59" w:rsidRPr="00C70D04" w:rsidRDefault="00530E59" w:rsidP="00530E59">
      <w:pPr>
        <w:rPr>
          <w:lang w:val="en-US"/>
        </w:rPr>
      </w:pPr>
      <w:r w:rsidRPr="00C70D04">
        <w:rPr>
          <w:lang w:val="en-US"/>
        </w:rPr>
        <w:t xml:space="preserve">Blanch, S.J., </w:t>
      </w:r>
      <w:proofErr w:type="spellStart"/>
      <w:r w:rsidRPr="00C70D04">
        <w:rPr>
          <w:lang w:val="en-US"/>
        </w:rPr>
        <w:t>Ganf</w:t>
      </w:r>
      <w:proofErr w:type="spellEnd"/>
      <w:r w:rsidRPr="00C70D04">
        <w:rPr>
          <w:lang w:val="en-US"/>
        </w:rPr>
        <w:t xml:space="preserve">, G.G. and Walker, K.F. (1999). Tolerance of riverine plants to flooding and exposure by water regime. </w:t>
      </w:r>
      <w:r w:rsidRPr="00C70D04">
        <w:rPr>
          <w:i/>
          <w:iCs/>
          <w:lang w:val="en-US"/>
        </w:rPr>
        <w:t>Regulated Rivers: Research and Management</w:t>
      </w:r>
      <w:r w:rsidRPr="00C70D04">
        <w:rPr>
          <w:lang w:val="en-US"/>
        </w:rPr>
        <w:t xml:space="preserve"> </w:t>
      </w:r>
      <w:r w:rsidRPr="00C70D04">
        <w:rPr>
          <w:b/>
          <w:bCs/>
          <w:lang w:val="en-US"/>
        </w:rPr>
        <w:t>15</w:t>
      </w:r>
      <w:r w:rsidRPr="00C70D04">
        <w:rPr>
          <w:lang w:val="en-US"/>
        </w:rPr>
        <w:t>, 43</w:t>
      </w:r>
      <w:r>
        <w:rPr>
          <w:lang w:val="en-US"/>
        </w:rPr>
        <w:t>–</w:t>
      </w:r>
      <w:r w:rsidRPr="00C70D04">
        <w:rPr>
          <w:lang w:val="en-US"/>
        </w:rPr>
        <w:t>62.</w:t>
      </w:r>
    </w:p>
    <w:p w14:paraId="29C430B8" w14:textId="77777777" w:rsidR="00530E59" w:rsidRPr="003F2FD1" w:rsidRDefault="00530E59" w:rsidP="00530E59">
      <w:pPr>
        <w:rPr>
          <w:lang w:val="en-US"/>
        </w:rPr>
      </w:pPr>
      <w:r w:rsidRPr="00C70D04">
        <w:rPr>
          <w:lang w:val="en-US"/>
        </w:rPr>
        <w:t xml:space="preserve">Blanch, S.J., Walker, K.F. and </w:t>
      </w:r>
      <w:proofErr w:type="spellStart"/>
      <w:r w:rsidRPr="00C70D04">
        <w:rPr>
          <w:lang w:val="en-US"/>
        </w:rPr>
        <w:t>Ganf</w:t>
      </w:r>
      <w:proofErr w:type="spellEnd"/>
      <w:r w:rsidRPr="00C70D04">
        <w:rPr>
          <w:lang w:val="en-US"/>
        </w:rPr>
        <w:t xml:space="preserve">, G.G. (2000). Water regimes and littoral plants in four weir pools of the River Murray, Australia. </w:t>
      </w:r>
      <w:r w:rsidRPr="00C70D04">
        <w:rPr>
          <w:i/>
          <w:iCs/>
          <w:lang w:val="en-US"/>
        </w:rPr>
        <w:t xml:space="preserve">Regulated Rivers </w:t>
      </w:r>
      <w:r w:rsidRPr="003F2FD1">
        <w:rPr>
          <w:i/>
          <w:iCs/>
          <w:lang w:val="en-US"/>
        </w:rPr>
        <w:t>Research and Management</w:t>
      </w:r>
      <w:r w:rsidRPr="003F2FD1">
        <w:rPr>
          <w:lang w:val="en-US"/>
        </w:rPr>
        <w:t xml:space="preserve"> </w:t>
      </w:r>
      <w:r w:rsidRPr="003F2FD1">
        <w:rPr>
          <w:b/>
          <w:bCs/>
          <w:lang w:val="en-US"/>
        </w:rPr>
        <w:t>16</w:t>
      </w:r>
      <w:r w:rsidRPr="003F2FD1">
        <w:rPr>
          <w:lang w:val="en-US"/>
        </w:rPr>
        <w:t>, 445</w:t>
      </w:r>
      <w:r>
        <w:rPr>
          <w:lang w:val="en-US"/>
        </w:rPr>
        <w:t>–</w:t>
      </w:r>
      <w:r w:rsidRPr="003F2FD1">
        <w:rPr>
          <w:lang w:val="en-US"/>
        </w:rPr>
        <w:t>456.</w:t>
      </w:r>
    </w:p>
    <w:p w14:paraId="668DDA48" w14:textId="77777777" w:rsidR="00530E59" w:rsidRPr="00346B75" w:rsidRDefault="00530E59" w:rsidP="00530E59">
      <w:pPr>
        <w:rPr>
          <w:lang w:val="en-US"/>
        </w:rPr>
      </w:pPr>
      <w:proofErr w:type="spellStart"/>
      <w:r w:rsidRPr="00346B75">
        <w:rPr>
          <w:lang w:val="en-US"/>
        </w:rPr>
        <w:t>Blom</w:t>
      </w:r>
      <w:proofErr w:type="spellEnd"/>
      <w:r w:rsidRPr="00346B75">
        <w:rPr>
          <w:lang w:val="en-US"/>
        </w:rPr>
        <w:t xml:space="preserve">, C.W.P.M., </w:t>
      </w:r>
      <w:proofErr w:type="spellStart"/>
      <w:r w:rsidRPr="00346B75">
        <w:rPr>
          <w:lang w:val="en-US"/>
        </w:rPr>
        <w:t>Bogemann</w:t>
      </w:r>
      <w:proofErr w:type="spellEnd"/>
      <w:r w:rsidRPr="00346B75">
        <w:rPr>
          <w:lang w:val="en-US"/>
        </w:rPr>
        <w:t xml:space="preserve">, G.M., </w:t>
      </w:r>
      <w:proofErr w:type="spellStart"/>
      <w:r w:rsidRPr="00346B75">
        <w:rPr>
          <w:lang w:val="en-US"/>
        </w:rPr>
        <w:t>Laan</w:t>
      </w:r>
      <w:proofErr w:type="spellEnd"/>
      <w:r w:rsidRPr="00346B75">
        <w:rPr>
          <w:lang w:val="en-US"/>
        </w:rPr>
        <w:t xml:space="preserve">, P., Van Der </w:t>
      </w:r>
      <w:proofErr w:type="spellStart"/>
      <w:r w:rsidRPr="00346B75">
        <w:rPr>
          <w:lang w:val="en-US"/>
        </w:rPr>
        <w:t>Sman</w:t>
      </w:r>
      <w:proofErr w:type="spellEnd"/>
      <w:r w:rsidRPr="00346B75">
        <w:rPr>
          <w:lang w:val="en-US"/>
        </w:rPr>
        <w:t xml:space="preserve">, A.J.M., Van De </w:t>
      </w:r>
      <w:proofErr w:type="spellStart"/>
      <w:r w:rsidRPr="00346B75">
        <w:rPr>
          <w:lang w:val="en-US"/>
        </w:rPr>
        <w:t>Steeg</w:t>
      </w:r>
      <w:proofErr w:type="spellEnd"/>
      <w:r w:rsidRPr="00346B75">
        <w:rPr>
          <w:lang w:val="en-US"/>
        </w:rPr>
        <w:t xml:space="preserve">, H.M. and </w:t>
      </w:r>
      <w:proofErr w:type="spellStart"/>
      <w:r w:rsidRPr="00346B75">
        <w:rPr>
          <w:lang w:val="en-US"/>
        </w:rPr>
        <w:t>Voesenek</w:t>
      </w:r>
      <w:proofErr w:type="spellEnd"/>
      <w:r w:rsidRPr="00346B75">
        <w:rPr>
          <w:lang w:val="en-US"/>
        </w:rPr>
        <w:t xml:space="preserve">, L.A.C.J. (1990). Adaptations to flooding in plants from river areas. </w:t>
      </w:r>
      <w:r w:rsidRPr="00346B75">
        <w:rPr>
          <w:i/>
          <w:iCs/>
          <w:lang w:val="en-US"/>
        </w:rPr>
        <w:t>Aquatic Botany</w:t>
      </w:r>
      <w:r w:rsidRPr="00346B75">
        <w:rPr>
          <w:lang w:val="en-US"/>
        </w:rPr>
        <w:t xml:space="preserve"> </w:t>
      </w:r>
      <w:r w:rsidRPr="00346B75">
        <w:rPr>
          <w:b/>
          <w:bCs/>
          <w:lang w:val="en-US"/>
        </w:rPr>
        <w:t>38</w:t>
      </w:r>
      <w:r w:rsidRPr="00346B75">
        <w:rPr>
          <w:lang w:val="en-US"/>
        </w:rPr>
        <w:t>, 29</w:t>
      </w:r>
      <w:r>
        <w:rPr>
          <w:lang w:val="en-US"/>
        </w:rPr>
        <w:t>–</w:t>
      </w:r>
      <w:r w:rsidRPr="00346B75">
        <w:rPr>
          <w:lang w:val="en-US"/>
        </w:rPr>
        <w:t>48.</w:t>
      </w:r>
    </w:p>
    <w:p w14:paraId="6AFBFB62" w14:textId="77777777" w:rsidR="00530E59" w:rsidRPr="000F3386" w:rsidRDefault="00530E59" w:rsidP="00530E59">
      <w:pPr>
        <w:rPr>
          <w:lang w:val="en-US"/>
        </w:rPr>
      </w:pPr>
      <w:proofErr w:type="spellStart"/>
      <w:r w:rsidRPr="00346B75">
        <w:rPr>
          <w:lang w:val="en-US"/>
        </w:rPr>
        <w:t>Borin</w:t>
      </w:r>
      <w:proofErr w:type="spellEnd"/>
      <w:r w:rsidRPr="00346B75">
        <w:rPr>
          <w:lang w:val="en-US"/>
        </w:rPr>
        <w:t xml:space="preserve">, M. and </w:t>
      </w:r>
      <w:proofErr w:type="spellStart"/>
      <w:r w:rsidRPr="00346B75">
        <w:rPr>
          <w:lang w:val="en-US"/>
        </w:rPr>
        <w:t>Salvato</w:t>
      </w:r>
      <w:proofErr w:type="spellEnd"/>
      <w:r w:rsidRPr="00346B75">
        <w:rPr>
          <w:lang w:val="en-US"/>
        </w:rPr>
        <w:t>, M. (2012). Effects of five macrophytes on nitrogen remediation and mass balance in wetla</w:t>
      </w:r>
      <w:r w:rsidRPr="000F3386">
        <w:rPr>
          <w:lang w:val="en-US"/>
        </w:rPr>
        <w:t xml:space="preserve">nd mesocosms. </w:t>
      </w:r>
      <w:r w:rsidRPr="000F3386">
        <w:rPr>
          <w:i/>
          <w:iCs/>
          <w:lang w:val="en-US"/>
        </w:rPr>
        <w:t xml:space="preserve">Ecological Engineering </w:t>
      </w:r>
      <w:r w:rsidRPr="000F3386">
        <w:rPr>
          <w:b/>
          <w:bCs/>
          <w:lang w:val="en-US"/>
        </w:rPr>
        <w:t>46</w:t>
      </w:r>
      <w:r w:rsidRPr="000F3386">
        <w:rPr>
          <w:lang w:val="en-US"/>
        </w:rPr>
        <w:t>, 34</w:t>
      </w:r>
      <w:r>
        <w:rPr>
          <w:lang w:val="en-US"/>
        </w:rPr>
        <w:t>–</w:t>
      </w:r>
      <w:r w:rsidRPr="000F3386">
        <w:rPr>
          <w:lang w:val="en-US"/>
        </w:rPr>
        <w:t>42.</w:t>
      </w:r>
    </w:p>
    <w:p w14:paraId="5FE7C8C6" w14:textId="77777777" w:rsidR="00530E59" w:rsidRPr="000F3386" w:rsidRDefault="00530E59" w:rsidP="00530E59">
      <w:pPr>
        <w:rPr>
          <w:lang w:val="en-US"/>
        </w:rPr>
      </w:pPr>
      <w:r w:rsidRPr="000F3386">
        <w:rPr>
          <w:lang w:val="en-US"/>
        </w:rPr>
        <w:t xml:space="preserve">Boulton, A.J. and Lloyd L.N. (1992). Flooding frequency and invertebrate emergence from dry floodplain sediments of the River Murray, Australia. </w:t>
      </w:r>
      <w:r w:rsidRPr="000F3386">
        <w:rPr>
          <w:i/>
          <w:lang w:val="en-US"/>
        </w:rPr>
        <w:t>Regulated Rivers: Research &amp; Management</w:t>
      </w:r>
      <w:r w:rsidRPr="000F3386">
        <w:rPr>
          <w:lang w:val="en-US"/>
        </w:rPr>
        <w:t xml:space="preserve"> </w:t>
      </w:r>
      <w:r w:rsidRPr="000F3386">
        <w:rPr>
          <w:b/>
          <w:lang w:val="en-US"/>
        </w:rPr>
        <w:t>7</w:t>
      </w:r>
      <w:r w:rsidRPr="000F3386">
        <w:rPr>
          <w:lang w:val="en-US"/>
        </w:rPr>
        <w:t>, 137–151.</w:t>
      </w:r>
    </w:p>
    <w:p w14:paraId="5A0E3C9A" w14:textId="77777777" w:rsidR="00530E59" w:rsidRPr="003F2FD1" w:rsidRDefault="00530E59" w:rsidP="00530E59">
      <w:pPr>
        <w:rPr>
          <w:lang w:val="en-US"/>
        </w:rPr>
      </w:pPr>
      <w:r w:rsidRPr="003F2FD1">
        <w:rPr>
          <w:lang w:val="en-US"/>
        </w:rPr>
        <w:t xml:space="preserve">Bray, J.R. and Curtis, J.T. (1957). An ordination of the upland forest communities of southern Wisconsin. </w:t>
      </w:r>
      <w:r w:rsidRPr="003F2FD1">
        <w:rPr>
          <w:i/>
          <w:iCs/>
          <w:lang w:val="en-US"/>
        </w:rPr>
        <w:t>Ecological Monographs</w:t>
      </w:r>
      <w:r w:rsidRPr="003F2FD1">
        <w:rPr>
          <w:lang w:val="en-US"/>
        </w:rPr>
        <w:t xml:space="preserve"> </w:t>
      </w:r>
      <w:r w:rsidRPr="003F2FD1">
        <w:rPr>
          <w:b/>
          <w:bCs/>
          <w:lang w:val="en-US"/>
        </w:rPr>
        <w:t>27</w:t>
      </w:r>
      <w:r w:rsidRPr="003F2FD1">
        <w:rPr>
          <w:lang w:val="en-US"/>
        </w:rPr>
        <w:t>, 325</w:t>
      </w:r>
      <w:r>
        <w:rPr>
          <w:lang w:val="en-US"/>
        </w:rPr>
        <w:t>–</w:t>
      </w:r>
      <w:r w:rsidRPr="003F2FD1">
        <w:rPr>
          <w:lang w:val="en-US"/>
        </w:rPr>
        <w:t>349.</w:t>
      </w:r>
    </w:p>
    <w:p w14:paraId="6F37D6A1" w14:textId="77777777" w:rsidR="00530E59" w:rsidRPr="000F3386" w:rsidRDefault="00530E59" w:rsidP="00530E59">
      <w:pPr>
        <w:rPr>
          <w:lang w:val="en-US"/>
        </w:rPr>
      </w:pPr>
      <w:proofErr w:type="spellStart"/>
      <w:r w:rsidRPr="000F3386">
        <w:rPr>
          <w:lang w:val="en-US"/>
        </w:rPr>
        <w:t>Brendonck</w:t>
      </w:r>
      <w:proofErr w:type="spellEnd"/>
      <w:r w:rsidRPr="000F3386">
        <w:rPr>
          <w:lang w:val="en-US"/>
        </w:rPr>
        <w:t xml:space="preserve">, L. and De </w:t>
      </w:r>
      <w:proofErr w:type="spellStart"/>
      <w:r w:rsidRPr="000F3386">
        <w:rPr>
          <w:lang w:val="en-US"/>
        </w:rPr>
        <w:t>Meester</w:t>
      </w:r>
      <w:proofErr w:type="spellEnd"/>
      <w:r w:rsidRPr="000F3386">
        <w:rPr>
          <w:lang w:val="en-US"/>
        </w:rPr>
        <w:t xml:space="preserve">, L. (2003). Egg banks in freshwater zooplankton: evolutionary and ecological archives in the sediment. </w:t>
      </w:r>
      <w:proofErr w:type="spellStart"/>
      <w:r w:rsidRPr="000F3386">
        <w:rPr>
          <w:i/>
          <w:lang w:val="en-US"/>
        </w:rPr>
        <w:t>Hydrobiologia</w:t>
      </w:r>
      <w:proofErr w:type="spellEnd"/>
      <w:r w:rsidRPr="000F3386">
        <w:rPr>
          <w:lang w:val="en-US"/>
        </w:rPr>
        <w:t xml:space="preserve"> </w:t>
      </w:r>
      <w:r w:rsidRPr="000F3386">
        <w:rPr>
          <w:b/>
          <w:lang w:val="en-US"/>
        </w:rPr>
        <w:t>491</w:t>
      </w:r>
      <w:r w:rsidRPr="000F3386">
        <w:rPr>
          <w:lang w:val="en-US"/>
        </w:rPr>
        <w:t>, 65–84.</w:t>
      </w:r>
    </w:p>
    <w:p w14:paraId="4C31D3E7" w14:textId="77777777" w:rsidR="00530E59" w:rsidRPr="000F3386" w:rsidRDefault="00530E59" w:rsidP="00530E59">
      <w:pPr>
        <w:rPr>
          <w:lang w:val="en-US"/>
        </w:rPr>
      </w:pPr>
      <w:r w:rsidRPr="000F3386">
        <w:rPr>
          <w:lang w:val="en-US"/>
        </w:rPr>
        <w:t xml:space="preserve">Brock, </w:t>
      </w:r>
      <w:proofErr w:type="gramStart"/>
      <w:r w:rsidRPr="000F3386">
        <w:rPr>
          <w:lang w:val="en-US"/>
        </w:rPr>
        <w:t>M.A.</w:t>
      </w:r>
      <w:proofErr w:type="gramEnd"/>
      <w:r w:rsidRPr="000F3386">
        <w:rPr>
          <w:lang w:val="en-US"/>
        </w:rPr>
        <w:t xml:space="preserve"> and Casanova, M.T. (1997). Frontiers in Ecology: Building the Links. Klomp, N. and Lunt, I. (eds), pp. 181-192, Elsevier Science, Oxford.</w:t>
      </w:r>
    </w:p>
    <w:p w14:paraId="2E9B10AC" w14:textId="77777777" w:rsidR="00530E59" w:rsidRPr="00346B75" w:rsidRDefault="00530E59" w:rsidP="00530E59">
      <w:pPr>
        <w:rPr>
          <w:lang w:val="en-US"/>
        </w:rPr>
      </w:pPr>
      <w:r w:rsidRPr="000F3386">
        <w:rPr>
          <w:lang w:val="en-US"/>
        </w:rPr>
        <w:t>Brookes, J.D., Lamontagne, S., Aldridge, K.T., Benger, S., Bissett, A., Bucater, L., Cheshire, A., Cook, P.L.</w:t>
      </w:r>
      <w:r w:rsidRPr="003F2FD1">
        <w:rPr>
          <w:lang w:val="en-US"/>
        </w:rPr>
        <w:t>M., Deegan</w:t>
      </w:r>
      <w:r w:rsidRPr="00346B75">
        <w:rPr>
          <w:lang w:val="en-US"/>
        </w:rPr>
        <w:t xml:space="preserve">, B.M., Dittmann, S., Fairweather, P.G., Fernandes, M.B., Ford, P.W., Geddes, M.C., </w:t>
      </w:r>
      <w:proofErr w:type="spellStart"/>
      <w:r w:rsidRPr="00346B75">
        <w:rPr>
          <w:lang w:val="en-US"/>
        </w:rPr>
        <w:t>Gillanders</w:t>
      </w:r>
      <w:proofErr w:type="spellEnd"/>
      <w:r w:rsidRPr="00346B75">
        <w:rPr>
          <w:lang w:val="en-US"/>
        </w:rPr>
        <w:t xml:space="preserve">, B.M., Grigg, N.J., </w:t>
      </w:r>
      <w:proofErr w:type="spellStart"/>
      <w:r w:rsidRPr="00346B75">
        <w:rPr>
          <w:lang w:val="en-US"/>
        </w:rPr>
        <w:t>Haese</w:t>
      </w:r>
      <w:proofErr w:type="spellEnd"/>
      <w:r w:rsidRPr="00346B75">
        <w:rPr>
          <w:lang w:val="en-US"/>
        </w:rPr>
        <w:t xml:space="preserve">, R.R., Krull, E., Langley, R.A., Lester, R.F., Loo, M., Munro, A.R., </w:t>
      </w:r>
      <w:proofErr w:type="spellStart"/>
      <w:r w:rsidRPr="00346B75">
        <w:rPr>
          <w:lang w:val="en-US"/>
        </w:rPr>
        <w:t>Noell</w:t>
      </w:r>
      <w:proofErr w:type="spellEnd"/>
      <w:r w:rsidRPr="00346B75">
        <w:rPr>
          <w:lang w:val="en-US"/>
        </w:rPr>
        <w:t xml:space="preserve">, C.J., </w:t>
      </w:r>
      <w:proofErr w:type="spellStart"/>
      <w:r w:rsidRPr="00346B75">
        <w:rPr>
          <w:lang w:val="en-US"/>
        </w:rPr>
        <w:t>Nayar</w:t>
      </w:r>
      <w:proofErr w:type="spellEnd"/>
      <w:r w:rsidRPr="00346B75">
        <w:rPr>
          <w:lang w:val="en-US"/>
        </w:rPr>
        <w:t xml:space="preserve">, S., Paton, D.C., </w:t>
      </w:r>
      <w:proofErr w:type="spellStart"/>
      <w:r w:rsidRPr="00346B75">
        <w:rPr>
          <w:lang w:val="en-US"/>
        </w:rPr>
        <w:t>Revill</w:t>
      </w:r>
      <w:proofErr w:type="spellEnd"/>
      <w:r w:rsidRPr="00346B75">
        <w:rPr>
          <w:lang w:val="en-US"/>
        </w:rPr>
        <w:t xml:space="preserve">, A.T., Rogers, D.J., Rolston, A.N., Sharma, S.K., Short, D.A., Tanner, J.E., Webster, I.T., </w:t>
      </w:r>
      <w:proofErr w:type="spellStart"/>
      <w:r w:rsidRPr="00346B75">
        <w:rPr>
          <w:lang w:val="en-US"/>
        </w:rPr>
        <w:t>Wellmann</w:t>
      </w:r>
      <w:proofErr w:type="spellEnd"/>
      <w:r w:rsidRPr="00346B75">
        <w:rPr>
          <w:lang w:val="en-US"/>
        </w:rPr>
        <w:t xml:space="preserve">, N.R. and Ye, Q. (2009). An Ecosystem Assessment Framework to Guide Management of the Coorong. Final Report of the </w:t>
      </w:r>
      <w:proofErr w:type="spellStart"/>
      <w:r w:rsidRPr="00346B75">
        <w:rPr>
          <w:lang w:val="en-US"/>
        </w:rPr>
        <w:t>CLLAMMecology</w:t>
      </w:r>
      <w:proofErr w:type="spellEnd"/>
      <w:r w:rsidRPr="00346B75">
        <w:rPr>
          <w:lang w:val="en-US"/>
        </w:rPr>
        <w:t xml:space="preserve"> Research Cluster. CSIRO: Water for a Healthy Country National Research Flagship, Canberra.</w:t>
      </w:r>
    </w:p>
    <w:p w14:paraId="0DDB6277" w14:textId="77777777" w:rsidR="00530E59" w:rsidRDefault="00530E59" w:rsidP="00530E59">
      <w:pPr>
        <w:rPr>
          <w:lang w:val="en-US"/>
        </w:rPr>
      </w:pPr>
      <w:r w:rsidRPr="0088031C">
        <w:rPr>
          <w:lang w:val="en-US"/>
        </w:rPr>
        <w:t xml:space="preserve">Bunn, S. and Arthington, A.H. (2002). Basic principles and ecological consequences of altered flow regimes for aquatic biodiversity. </w:t>
      </w:r>
      <w:r w:rsidRPr="0088031C">
        <w:rPr>
          <w:i/>
          <w:lang w:val="en-US"/>
        </w:rPr>
        <w:t>Environmental Management</w:t>
      </w:r>
      <w:r w:rsidRPr="0088031C">
        <w:rPr>
          <w:lang w:val="en-US"/>
        </w:rPr>
        <w:t xml:space="preserve"> </w:t>
      </w:r>
      <w:r w:rsidRPr="0088031C">
        <w:rPr>
          <w:b/>
          <w:lang w:val="en-US"/>
        </w:rPr>
        <w:t>30</w:t>
      </w:r>
      <w:r w:rsidRPr="0088031C">
        <w:rPr>
          <w:lang w:val="en-US"/>
        </w:rPr>
        <w:t>, 492–507.</w:t>
      </w:r>
    </w:p>
    <w:p w14:paraId="7318F30E" w14:textId="4226A441" w:rsidR="00F8184E" w:rsidRDefault="00F8184E" w:rsidP="00530E59">
      <w:pPr>
        <w:rPr>
          <w:lang w:val="en-US"/>
        </w:rPr>
      </w:pPr>
      <w:r w:rsidRPr="00F8184E">
        <w:rPr>
          <w:lang w:val="en-US"/>
        </w:rPr>
        <w:t>Burnham, K</w:t>
      </w:r>
      <w:r w:rsidR="0001666B">
        <w:rPr>
          <w:lang w:val="en-US"/>
        </w:rPr>
        <w:t>.</w:t>
      </w:r>
      <w:r w:rsidRPr="00F8184E">
        <w:rPr>
          <w:lang w:val="en-US"/>
        </w:rPr>
        <w:t>P</w:t>
      </w:r>
      <w:r w:rsidR="0001666B">
        <w:rPr>
          <w:lang w:val="en-US"/>
        </w:rPr>
        <w:t>. and</w:t>
      </w:r>
      <w:r w:rsidRPr="00F8184E">
        <w:rPr>
          <w:lang w:val="en-US"/>
        </w:rPr>
        <w:t xml:space="preserve"> Anderson</w:t>
      </w:r>
      <w:r w:rsidR="0001666B">
        <w:rPr>
          <w:lang w:val="en-US"/>
        </w:rPr>
        <w:t>, D.R.</w:t>
      </w:r>
      <w:r w:rsidRPr="00F8184E">
        <w:rPr>
          <w:lang w:val="en-US"/>
        </w:rPr>
        <w:t xml:space="preserve"> </w:t>
      </w:r>
      <w:r>
        <w:rPr>
          <w:lang w:val="en-US"/>
        </w:rPr>
        <w:t>(</w:t>
      </w:r>
      <w:r w:rsidRPr="00F8184E">
        <w:rPr>
          <w:lang w:val="en-US"/>
        </w:rPr>
        <w:t>2002</w:t>
      </w:r>
      <w:r>
        <w:rPr>
          <w:lang w:val="en-US"/>
        </w:rPr>
        <w:t>)</w:t>
      </w:r>
      <w:r w:rsidRPr="00F8184E">
        <w:rPr>
          <w:lang w:val="en-US"/>
        </w:rPr>
        <w:t xml:space="preserve">. Model selection and </w:t>
      </w:r>
      <w:proofErr w:type="spellStart"/>
      <w:r w:rsidRPr="00F8184E">
        <w:rPr>
          <w:lang w:val="en-US"/>
        </w:rPr>
        <w:t>multimodel</w:t>
      </w:r>
      <w:proofErr w:type="spellEnd"/>
      <w:r w:rsidRPr="00F8184E">
        <w:rPr>
          <w:lang w:val="en-US"/>
        </w:rPr>
        <w:t xml:space="preserve"> inference: a practical information-theoretic approach. Springer-Verlag.</w:t>
      </w:r>
    </w:p>
    <w:p w14:paraId="75177F44" w14:textId="2834226A" w:rsidR="00530E59" w:rsidRPr="003F2FD1" w:rsidRDefault="00530E59" w:rsidP="00530E59">
      <w:pPr>
        <w:rPr>
          <w:lang w:val="en-US"/>
        </w:rPr>
      </w:pPr>
      <w:r w:rsidRPr="003F2FD1">
        <w:rPr>
          <w:lang w:val="en-US"/>
        </w:rPr>
        <w:t xml:space="preserve">Casanova, M.T. (2011). Using water plant functional groups to investigate environmental water requirements. </w:t>
      </w:r>
      <w:r w:rsidRPr="003F2FD1">
        <w:rPr>
          <w:i/>
          <w:iCs/>
          <w:lang w:val="en-US"/>
        </w:rPr>
        <w:t>Freshwater Biology</w:t>
      </w:r>
      <w:r w:rsidRPr="003F2FD1">
        <w:rPr>
          <w:lang w:val="en-US"/>
        </w:rPr>
        <w:t xml:space="preserve"> </w:t>
      </w:r>
      <w:r w:rsidRPr="003F2FD1">
        <w:rPr>
          <w:b/>
          <w:bCs/>
          <w:lang w:val="en-US"/>
        </w:rPr>
        <w:t>56</w:t>
      </w:r>
      <w:r w:rsidRPr="003F2FD1">
        <w:rPr>
          <w:lang w:val="en-US"/>
        </w:rPr>
        <w:t>, 2637</w:t>
      </w:r>
      <w:r>
        <w:rPr>
          <w:lang w:val="en-US"/>
        </w:rPr>
        <w:t>–</w:t>
      </w:r>
      <w:r w:rsidRPr="003F2FD1">
        <w:rPr>
          <w:lang w:val="en-US"/>
        </w:rPr>
        <w:t>2652.</w:t>
      </w:r>
    </w:p>
    <w:p w14:paraId="217A4FB6" w14:textId="77777777" w:rsidR="00530E59" w:rsidRDefault="00530E59" w:rsidP="00530E59">
      <w:pPr>
        <w:rPr>
          <w:lang w:val="en-US"/>
        </w:rPr>
      </w:pPr>
      <w:r w:rsidRPr="001850B4">
        <w:rPr>
          <w:lang w:val="en-US"/>
        </w:rPr>
        <w:t xml:space="preserve">Capon, S.J. (2007). Effects of flooding on seedling emergence from the soil seed bank of a large desert floodplain. </w:t>
      </w:r>
      <w:r w:rsidRPr="006A170D">
        <w:rPr>
          <w:i/>
          <w:iCs/>
          <w:lang w:val="en-US"/>
        </w:rPr>
        <w:t xml:space="preserve">Wetlands </w:t>
      </w:r>
      <w:r w:rsidRPr="006A170D">
        <w:rPr>
          <w:b/>
          <w:bCs/>
          <w:lang w:val="en-US"/>
        </w:rPr>
        <w:t>27</w:t>
      </w:r>
      <w:r w:rsidRPr="001850B4">
        <w:rPr>
          <w:lang w:val="en-US"/>
        </w:rPr>
        <w:t>, 904–914.</w:t>
      </w:r>
    </w:p>
    <w:p w14:paraId="6C50C445" w14:textId="77777777" w:rsidR="00530E59" w:rsidRPr="002826E4" w:rsidRDefault="00530E59" w:rsidP="00530E59">
      <w:pPr>
        <w:rPr>
          <w:lang w:val="en-US"/>
        </w:rPr>
      </w:pPr>
      <w:r w:rsidRPr="002826E4">
        <w:rPr>
          <w:lang w:val="en-US"/>
        </w:rPr>
        <w:t>Centre for Australian National Biodiversity Research and Council of Heads of Australasian Herbaria (2020). Australian Plant Census, IBIS database, http://www.chah.gov.au/apc/index.html.</w:t>
      </w:r>
    </w:p>
    <w:p w14:paraId="71866C05" w14:textId="1825A2BC" w:rsidR="00530E59" w:rsidRPr="00127E7F" w:rsidRDefault="00F3534A" w:rsidP="00530E59">
      <w:pPr>
        <w:rPr>
          <w:lang w:val="en-US"/>
        </w:rPr>
      </w:pPr>
      <w:proofErr w:type="spellStart"/>
      <w:r w:rsidRPr="00F3534A">
        <w:rPr>
          <w:lang w:val="en-US"/>
        </w:rPr>
        <w:t>Chengalath</w:t>
      </w:r>
      <w:proofErr w:type="spellEnd"/>
      <w:r>
        <w:rPr>
          <w:lang w:val="en-US"/>
        </w:rPr>
        <w:t>,</w:t>
      </w:r>
      <w:r w:rsidRPr="00F3534A">
        <w:rPr>
          <w:lang w:val="en-US"/>
        </w:rPr>
        <w:t xml:space="preserve"> R</w:t>
      </w:r>
      <w:r>
        <w:rPr>
          <w:lang w:val="en-US"/>
        </w:rPr>
        <w:t>. and</w:t>
      </w:r>
      <w:r w:rsidRPr="00F3534A">
        <w:rPr>
          <w:lang w:val="en-US"/>
        </w:rPr>
        <w:t xml:space="preserve"> </w:t>
      </w:r>
      <w:proofErr w:type="spellStart"/>
      <w:r w:rsidRPr="00F3534A">
        <w:rPr>
          <w:lang w:val="en-US"/>
        </w:rPr>
        <w:t>Mulamoottil</w:t>
      </w:r>
      <w:proofErr w:type="spellEnd"/>
      <w:r>
        <w:rPr>
          <w:lang w:val="en-US"/>
        </w:rPr>
        <w:t>,</w:t>
      </w:r>
      <w:r w:rsidRPr="00F3534A">
        <w:rPr>
          <w:lang w:val="en-US"/>
        </w:rPr>
        <w:t xml:space="preserve"> G</w:t>
      </w:r>
      <w:r>
        <w:rPr>
          <w:lang w:val="en-US"/>
        </w:rPr>
        <w:t>.</w:t>
      </w:r>
      <w:r w:rsidRPr="00F3534A">
        <w:rPr>
          <w:lang w:val="en-US"/>
        </w:rPr>
        <w:t xml:space="preserve"> (1975)</w:t>
      </w:r>
      <w:r>
        <w:rPr>
          <w:lang w:val="en-US"/>
        </w:rPr>
        <w:t>.</w:t>
      </w:r>
      <w:r w:rsidRPr="00F3534A">
        <w:rPr>
          <w:lang w:val="en-US"/>
        </w:rPr>
        <w:t xml:space="preserve"> Littoral </w:t>
      </w:r>
      <w:proofErr w:type="spellStart"/>
      <w:r w:rsidRPr="00F3534A">
        <w:rPr>
          <w:lang w:val="en-US"/>
        </w:rPr>
        <w:t>rotifera</w:t>
      </w:r>
      <w:proofErr w:type="spellEnd"/>
      <w:r w:rsidRPr="00F3534A">
        <w:rPr>
          <w:lang w:val="en-US"/>
        </w:rPr>
        <w:t xml:space="preserve"> of Ontario—genus </w:t>
      </w:r>
      <w:proofErr w:type="spellStart"/>
      <w:r w:rsidRPr="00F3534A">
        <w:rPr>
          <w:i/>
          <w:iCs/>
          <w:lang w:val="en-US"/>
        </w:rPr>
        <w:t>Trichocerca</w:t>
      </w:r>
      <w:proofErr w:type="spellEnd"/>
      <w:r w:rsidRPr="00F3534A">
        <w:rPr>
          <w:lang w:val="en-US"/>
        </w:rPr>
        <w:t xml:space="preserve">. </w:t>
      </w:r>
      <w:r w:rsidRPr="00F3534A">
        <w:rPr>
          <w:i/>
          <w:iCs/>
          <w:lang w:val="en-US"/>
        </w:rPr>
        <w:t>Canadian Journal of Zoology</w:t>
      </w:r>
      <w:r w:rsidRPr="00F3534A">
        <w:rPr>
          <w:lang w:val="en-US"/>
        </w:rPr>
        <w:t xml:space="preserve"> </w:t>
      </w:r>
      <w:r w:rsidRPr="00F3534A">
        <w:rPr>
          <w:b/>
          <w:bCs/>
          <w:lang w:val="en-US"/>
        </w:rPr>
        <w:t>53</w:t>
      </w:r>
      <w:r>
        <w:rPr>
          <w:lang w:val="en-US"/>
        </w:rPr>
        <w:t xml:space="preserve">, </w:t>
      </w:r>
      <w:r w:rsidRPr="00F3534A">
        <w:rPr>
          <w:lang w:val="en-US"/>
        </w:rPr>
        <w:t>1403</w:t>
      </w:r>
      <w:r>
        <w:rPr>
          <w:lang w:val="en-US"/>
        </w:rPr>
        <w:t>–</w:t>
      </w:r>
      <w:r w:rsidRPr="00F3534A">
        <w:rPr>
          <w:lang w:val="en-US"/>
        </w:rPr>
        <w:t>1411</w:t>
      </w:r>
      <w:r>
        <w:rPr>
          <w:lang w:val="en-US"/>
        </w:rPr>
        <w:t>.</w:t>
      </w:r>
    </w:p>
    <w:p w14:paraId="4CEAFDD1" w14:textId="77777777" w:rsidR="00530E59" w:rsidRPr="003F2FD1" w:rsidRDefault="00530E59" w:rsidP="00530E59">
      <w:pPr>
        <w:rPr>
          <w:lang w:val="en-US"/>
        </w:rPr>
      </w:pPr>
      <w:r w:rsidRPr="0059173F">
        <w:rPr>
          <w:lang w:val="en-US"/>
        </w:rPr>
        <w:t xml:space="preserve">Chow, V.T., Maidment, D.R. and Mays, L.W. (1988). Applied Hydrology. McGraw Hill </w:t>
      </w:r>
      <w:r w:rsidRPr="003F2FD1">
        <w:rPr>
          <w:lang w:val="en-US"/>
        </w:rPr>
        <w:t>International Editions: Singapore.</w:t>
      </w:r>
    </w:p>
    <w:p w14:paraId="6E181A75" w14:textId="77777777" w:rsidR="00530E59" w:rsidRPr="003F2FD1" w:rsidRDefault="00530E59" w:rsidP="00530E59">
      <w:pPr>
        <w:rPr>
          <w:lang w:val="en-US"/>
        </w:rPr>
      </w:pPr>
      <w:r w:rsidRPr="003F2FD1">
        <w:rPr>
          <w:lang w:val="en-US"/>
        </w:rPr>
        <w:t xml:space="preserve">Clarke, K.R. and </w:t>
      </w:r>
      <w:proofErr w:type="spellStart"/>
      <w:r w:rsidRPr="003F2FD1">
        <w:rPr>
          <w:lang w:val="en-US"/>
        </w:rPr>
        <w:t>Gorley</w:t>
      </w:r>
      <w:proofErr w:type="spellEnd"/>
      <w:r w:rsidRPr="003F2FD1">
        <w:rPr>
          <w:lang w:val="en-US"/>
        </w:rPr>
        <w:t>, R.N. (2015). PRIMER Version 7.0.12: User Manual/Tutorial, p. 296, PRIMER-E, Plymouth.</w:t>
      </w:r>
    </w:p>
    <w:p w14:paraId="2DBBEB0C" w14:textId="77777777" w:rsidR="00530E59" w:rsidRPr="0093711B" w:rsidRDefault="00530E59" w:rsidP="00530E59">
      <w:pPr>
        <w:rPr>
          <w:lang w:val="en-US"/>
        </w:rPr>
      </w:pPr>
      <w:r w:rsidRPr="00346B75">
        <w:rPr>
          <w:lang w:val="en-US"/>
        </w:rPr>
        <w:t xml:space="preserve">Collier, C., van Dijk, K.-J., </w:t>
      </w:r>
      <w:proofErr w:type="spellStart"/>
      <w:r w:rsidRPr="00346B75">
        <w:rPr>
          <w:lang w:val="en-US"/>
        </w:rPr>
        <w:t>Erftemeijer</w:t>
      </w:r>
      <w:proofErr w:type="spellEnd"/>
      <w:r w:rsidRPr="00346B75">
        <w:rPr>
          <w:lang w:val="en-US"/>
        </w:rPr>
        <w:t xml:space="preserve">, P., Foster, N., </w:t>
      </w:r>
      <w:proofErr w:type="spellStart"/>
      <w:r w:rsidRPr="00346B75">
        <w:rPr>
          <w:lang w:val="en-US"/>
        </w:rPr>
        <w:t>Hipsey</w:t>
      </w:r>
      <w:proofErr w:type="spellEnd"/>
      <w:r w:rsidRPr="00346B75">
        <w:rPr>
          <w:lang w:val="en-US"/>
        </w:rPr>
        <w:t xml:space="preserve">, M., O'Loughlin, E., </w:t>
      </w:r>
      <w:proofErr w:type="spellStart"/>
      <w:r w:rsidRPr="00346B75">
        <w:rPr>
          <w:lang w:val="en-US"/>
        </w:rPr>
        <w:t>Ticli</w:t>
      </w:r>
      <w:proofErr w:type="spellEnd"/>
      <w:r w:rsidRPr="00346B75">
        <w:rPr>
          <w:lang w:val="en-US"/>
        </w:rPr>
        <w:t xml:space="preserve">, K. and </w:t>
      </w:r>
      <w:proofErr w:type="spellStart"/>
      <w:r w:rsidRPr="00346B75">
        <w:rPr>
          <w:lang w:val="en-US"/>
        </w:rPr>
        <w:t>Waycott</w:t>
      </w:r>
      <w:proofErr w:type="spellEnd"/>
      <w:r w:rsidRPr="00346B75">
        <w:rPr>
          <w:lang w:val="en-US"/>
        </w:rPr>
        <w:t xml:space="preserve">, M. (2017). </w:t>
      </w:r>
      <w:proofErr w:type="spellStart"/>
      <w:r w:rsidRPr="00346B75">
        <w:rPr>
          <w:lang w:val="en-US"/>
        </w:rPr>
        <w:t>Optimising</w:t>
      </w:r>
      <w:proofErr w:type="spellEnd"/>
      <w:r w:rsidRPr="00346B75">
        <w:rPr>
          <w:lang w:val="en-US"/>
        </w:rPr>
        <w:t xml:space="preserve"> Coorong </w:t>
      </w:r>
      <w:proofErr w:type="spellStart"/>
      <w:r w:rsidRPr="00B61F40">
        <w:rPr>
          <w:i/>
          <w:iCs/>
          <w:lang w:val="en-US"/>
        </w:rPr>
        <w:t>Ruppia</w:t>
      </w:r>
      <w:proofErr w:type="spellEnd"/>
      <w:r w:rsidRPr="00346B75">
        <w:rPr>
          <w:lang w:val="en-US"/>
        </w:rPr>
        <w:t xml:space="preserve"> habitat: Strategies to improve habitat conditions for </w:t>
      </w:r>
      <w:proofErr w:type="spellStart"/>
      <w:r w:rsidRPr="00F8184E">
        <w:rPr>
          <w:i/>
          <w:iCs/>
          <w:lang w:val="en-US"/>
        </w:rPr>
        <w:t>Ruppia</w:t>
      </w:r>
      <w:proofErr w:type="spellEnd"/>
      <w:r w:rsidRPr="00F8184E">
        <w:rPr>
          <w:i/>
          <w:iCs/>
          <w:lang w:val="en-US"/>
        </w:rPr>
        <w:t xml:space="preserve"> tuberosa</w:t>
      </w:r>
      <w:r w:rsidRPr="00346B75">
        <w:rPr>
          <w:lang w:val="en-US"/>
        </w:rPr>
        <w:t xml:space="preserve"> in the Coorong (South Australia) based on literature review, manipulative </w:t>
      </w:r>
      <w:proofErr w:type="gramStart"/>
      <w:r w:rsidRPr="00346B75">
        <w:rPr>
          <w:lang w:val="en-US"/>
        </w:rPr>
        <w:t>experiments</w:t>
      </w:r>
      <w:proofErr w:type="gramEnd"/>
      <w:r w:rsidRPr="00346B75">
        <w:rPr>
          <w:lang w:val="en-US"/>
        </w:rPr>
        <w:t xml:space="preserve"> and predictive modelling. In: </w:t>
      </w:r>
      <w:proofErr w:type="spellStart"/>
      <w:r w:rsidRPr="00346B75">
        <w:rPr>
          <w:lang w:val="en-US"/>
        </w:rPr>
        <w:t>Waycott</w:t>
      </w:r>
      <w:proofErr w:type="spellEnd"/>
      <w:r w:rsidRPr="00346B75">
        <w:rPr>
          <w:lang w:val="en-US"/>
        </w:rPr>
        <w:t xml:space="preserve">, M. (Ed.), Reports to Department of Environment and Natural Resources (DEWNR). The University of Adelaide, School of Biological Sciences, </w:t>
      </w:r>
      <w:r w:rsidRPr="0093711B">
        <w:rPr>
          <w:lang w:val="en-US"/>
        </w:rPr>
        <w:t>Adelaide, South Australia, p. 169 pp.</w:t>
      </w:r>
    </w:p>
    <w:p w14:paraId="1D34FE9B" w14:textId="77777777" w:rsidR="00530E59" w:rsidRPr="0093711B" w:rsidRDefault="00530E59" w:rsidP="00530E59">
      <w:r w:rsidRPr="0093711B">
        <w:t>Conde-</w:t>
      </w:r>
      <w:proofErr w:type="spellStart"/>
      <w:r w:rsidRPr="0093711B">
        <w:t>Porcuna</w:t>
      </w:r>
      <w:proofErr w:type="spellEnd"/>
      <w:r>
        <w:t>,</w:t>
      </w:r>
      <w:r w:rsidRPr="0093711B">
        <w:t xml:space="preserve"> J</w:t>
      </w:r>
      <w:r>
        <w:t>.</w:t>
      </w:r>
      <w:r w:rsidRPr="0093711B">
        <w:t>M</w:t>
      </w:r>
      <w:r>
        <w:t>. and</w:t>
      </w:r>
      <w:r w:rsidRPr="0093711B">
        <w:t xml:space="preserve"> </w:t>
      </w:r>
      <w:proofErr w:type="spellStart"/>
      <w:r w:rsidRPr="0093711B">
        <w:t>Sarma</w:t>
      </w:r>
      <w:proofErr w:type="spellEnd"/>
      <w:r>
        <w:t>,</w:t>
      </w:r>
      <w:r w:rsidRPr="0093711B">
        <w:t xml:space="preserve"> S</w:t>
      </w:r>
      <w:r>
        <w:t>.</w:t>
      </w:r>
      <w:r w:rsidRPr="0093711B">
        <w:t>S</w:t>
      </w:r>
      <w:r>
        <w:t>.</w:t>
      </w:r>
      <w:r w:rsidRPr="0093711B">
        <w:t>S</w:t>
      </w:r>
      <w:r>
        <w:t>.</w:t>
      </w:r>
      <w:r w:rsidRPr="0093711B">
        <w:t xml:space="preserve"> (1995) Prey selection by </w:t>
      </w:r>
      <w:proofErr w:type="spellStart"/>
      <w:r w:rsidRPr="00B61F40">
        <w:rPr>
          <w:i/>
          <w:iCs/>
        </w:rPr>
        <w:t>Asplanchna</w:t>
      </w:r>
      <w:proofErr w:type="spellEnd"/>
      <w:r w:rsidRPr="00B61F40">
        <w:rPr>
          <w:i/>
          <w:iCs/>
        </w:rPr>
        <w:t xml:space="preserve"> </w:t>
      </w:r>
      <w:proofErr w:type="spellStart"/>
      <w:r w:rsidRPr="00B61F40">
        <w:rPr>
          <w:i/>
          <w:iCs/>
        </w:rPr>
        <w:t>girodi</w:t>
      </w:r>
      <w:proofErr w:type="spellEnd"/>
      <w:r w:rsidRPr="0093711B">
        <w:t xml:space="preserve"> (</w:t>
      </w:r>
      <w:proofErr w:type="spellStart"/>
      <w:r w:rsidRPr="0093711B">
        <w:t>Rotifera</w:t>
      </w:r>
      <w:proofErr w:type="spellEnd"/>
      <w:r w:rsidRPr="0093711B">
        <w:t xml:space="preserve">): the importance of prey defence mechanisms. </w:t>
      </w:r>
      <w:r w:rsidRPr="0093711B">
        <w:rPr>
          <w:i/>
          <w:iCs/>
        </w:rPr>
        <w:t>Freshwater Biology</w:t>
      </w:r>
      <w:r w:rsidRPr="0093711B">
        <w:t xml:space="preserve"> </w:t>
      </w:r>
      <w:r w:rsidRPr="0093711B">
        <w:rPr>
          <w:b/>
          <w:bCs/>
        </w:rPr>
        <w:t>33</w:t>
      </w:r>
      <w:r w:rsidRPr="0093711B">
        <w:t>, 341–348.</w:t>
      </w:r>
    </w:p>
    <w:p w14:paraId="15185295" w14:textId="77777777" w:rsidR="00530E59" w:rsidRPr="00346B75" w:rsidRDefault="00530E59" w:rsidP="00530E59">
      <w:r w:rsidRPr="0093711B">
        <w:t>Cook, P.L.M., Aldridge, K.T., Lamontagne</w:t>
      </w:r>
      <w:r w:rsidRPr="00346B75">
        <w:t xml:space="preserve">, S. and Brookes, J.D. (2010). Retention of nitrogen, </w:t>
      </w:r>
      <w:proofErr w:type="gramStart"/>
      <w:r w:rsidRPr="00346B75">
        <w:t>phosphorus</w:t>
      </w:r>
      <w:proofErr w:type="gramEnd"/>
      <w:r w:rsidRPr="00346B75">
        <w:t xml:space="preserve"> and silicon in a large semi-arid riverine lake system. </w:t>
      </w:r>
      <w:r w:rsidRPr="00346B75">
        <w:rPr>
          <w:i/>
        </w:rPr>
        <w:t xml:space="preserve">Biogeochemistry </w:t>
      </w:r>
      <w:r w:rsidRPr="00346B75">
        <w:rPr>
          <w:b/>
        </w:rPr>
        <w:t>99</w:t>
      </w:r>
      <w:r w:rsidRPr="00346B75">
        <w:t>, 49–63.</w:t>
      </w:r>
    </w:p>
    <w:p w14:paraId="6124E289" w14:textId="77777777" w:rsidR="00530E59" w:rsidRPr="002826E4" w:rsidRDefault="00530E59" w:rsidP="00530E59">
      <w:r w:rsidRPr="002826E4">
        <w:t>Cooling, M.P., Lloyd, L.N. and Walker, K.F. (2010). SA River Murray Weir Operating Strategy. Lloyd Environmental report to the SA Murray-Darling Basin NRM Board, Syndal, Victoria.</w:t>
      </w:r>
    </w:p>
    <w:p w14:paraId="5F139BC0" w14:textId="77777777" w:rsidR="00530E59" w:rsidRPr="000F3386" w:rsidRDefault="00530E59" w:rsidP="00530E59">
      <w:r w:rsidRPr="000F3386">
        <w:t xml:space="preserve">Cooper, </w:t>
      </w:r>
      <w:proofErr w:type="gramStart"/>
      <w:r w:rsidRPr="000F3386">
        <w:t>S.D.</w:t>
      </w:r>
      <w:proofErr w:type="gramEnd"/>
      <w:r w:rsidRPr="000F3386">
        <w:t xml:space="preserve"> and Goldman C.R. (1980). Opossum Shrimp (</w:t>
      </w:r>
      <w:r w:rsidRPr="000F3386">
        <w:rPr>
          <w:i/>
        </w:rPr>
        <w:t xml:space="preserve">Mysis </w:t>
      </w:r>
      <w:proofErr w:type="spellStart"/>
      <w:r w:rsidRPr="000F3386">
        <w:rPr>
          <w:i/>
        </w:rPr>
        <w:t>relicta</w:t>
      </w:r>
      <w:proofErr w:type="spellEnd"/>
      <w:r w:rsidRPr="000F3386">
        <w:t xml:space="preserve">) Predation on Zooplankton. </w:t>
      </w:r>
      <w:r w:rsidRPr="000F3386">
        <w:rPr>
          <w:i/>
        </w:rPr>
        <w:t>Canadian Journal of Fisheries and Aquatic Sciences</w:t>
      </w:r>
      <w:r w:rsidRPr="000F3386">
        <w:t xml:space="preserve"> </w:t>
      </w:r>
      <w:r w:rsidRPr="000F3386">
        <w:rPr>
          <w:b/>
        </w:rPr>
        <w:t>37</w:t>
      </w:r>
      <w:r w:rsidRPr="000F3386">
        <w:t>, 909–919.</w:t>
      </w:r>
    </w:p>
    <w:p w14:paraId="0E4B09DE" w14:textId="77777777" w:rsidR="00530E59" w:rsidRPr="003F2FD1" w:rsidRDefault="00530E59" w:rsidP="00530E59">
      <w:pPr>
        <w:rPr>
          <w:lang w:val="en-US"/>
        </w:rPr>
      </w:pPr>
      <w:r w:rsidRPr="003F2FD1">
        <w:rPr>
          <w:lang w:val="en-US"/>
        </w:rPr>
        <w:t xml:space="preserve">Cunningham, G.M., </w:t>
      </w:r>
      <w:proofErr w:type="spellStart"/>
      <w:r w:rsidRPr="003F2FD1">
        <w:rPr>
          <w:lang w:val="en-US"/>
        </w:rPr>
        <w:t>Mulham</w:t>
      </w:r>
      <w:proofErr w:type="spellEnd"/>
      <w:r w:rsidRPr="003F2FD1">
        <w:rPr>
          <w:lang w:val="en-US"/>
        </w:rPr>
        <w:t xml:space="preserve">, W.E., </w:t>
      </w:r>
      <w:proofErr w:type="spellStart"/>
      <w:r w:rsidRPr="003F2FD1">
        <w:rPr>
          <w:lang w:val="en-US"/>
        </w:rPr>
        <w:t>Milthorpe</w:t>
      </w:r>
      <w:proofErr w:type="spellEnd"/>
      <w:r w:rsidRPr="003F2FD1">
        <w:rPr>
          <w:lang w:val="en-US"/>
        </w:rPr>
        <w:t>, P.L. and Leigh, J.H. (1992). Plants of Western New South Wales, CSIRO Publishing, Collingwood.</w:t>
      </w:r>
    </w:p>
    <w:p w14:paraId="6FC63973" w14:textId="77777777" w:rsidR="00530E59" w:rsidRPr="00BC2A5A" w:rsidRDefault="00530E59" w:rsidP="00530E59">
      <w:pPr>
        <w:rPr>
          <w:highlight w:val="yellow"/>
        </w:rPr>
      </w:pPr>
      <w:r w:rsidRPr="00102309">
        <w:t xml:space="preserve">Davis, T.L.O. (1977). Reproductive biology of the freshwater catfish, </w:t>
      </w:r>
      <w:proofErr w:type="spellStart"/>
      <w:r w:rsidRPr="00102309">
        <w:rPr>
          <w:i/>
        </w:rPr>
        <w:t>Tandanus</w:t>
      </w:r>
      <w:proofErr w:type="spellEnd"/>
      <w:r w:rsidRPr="00102309">
        <w:rPr>
          <w:i/>
        </w:rPr>
        <w:t xml:space="preserve"> </w:t>
      </w:r>
      <w:proofErr w:type="spellStart"/>
      <w:r w:rsidRPr="00102309">
        <w:rPr>
          <w:i/>
        </w:rPr>
        <w:t>tandanus</w:t>
      </w:r>
      <w:proofErr w:type="spellEnd"/>
      <w:r w:rsidRPr="00102309">
        <w:t xml:space="preserve"> Mitchell, in the Gwydir River, Australia. II. Gonadal cycle and fecundity. </w:t>
      </w:r>
      <w:r w:rsidRPr="00102309">
        <w:rPr>
          <w:i/>
        </w:rPr>
        <w:t xml:space="preserve">Australian Journal of Marine and Freshwater Research </w:t>
      </w:r>
      <w:r w:rsidRPr="00102309">
        <w:rPr>
          <w:b/>
        </w:rPr>
        <w:t>28</w:t>
      </w:r>
      <w:r w:rsidRPr="00102309">
        <w:t>, 159–169.</w:t>
      </w:r>
    </w:p>
    <w:p w14:paraId="2296ECA3" w14:textId="77777777" w:rsidR="00530E59" w:rsidRPr="00C70D04" w:rsidRDefault="00530E59" w:rsidP="00530E59">
      <w:pPr>
        <w:rPr>
          <w:lang w:val="en-US"/>
        </w:rPr>
      </w:pPr>
      <w:r w:rsidRPr="00C70D04">
        <w:rPr>
          <w:lang w:val="en-US"/>
        </w:rPr>
        <w:t>Department for Environment and Water (2020). South Australian River Murray Basin Plan Environmental Outcome Evaluation: SA Channel and Floodplain Priority Environmental Assets, DEW Technical report 2020/19, Government of South Australia, Department for Environment and Water, Adelaide.</w:t>
      </w:r>
    </w:p>
    <w:p w14:paraId="1300E66F" w14:textId="77777777" w:rsidR="00530E59" w:rsidRPr="0059173F" w:rsidRDefault="00530E59" w:rsidP="00530E59">
      <w:r w:rsidRPr="0059173F">
        <w:t xml:space="preserve">Department of Environment, Water and Natural Resources (2015). South Australian River Murray Long-Term Environmental Watering Plan. November 2015. </w:t>
      </w:r>
      <w:hyperlink r:id="rId120" w:history="1">
        <w:r w:rsidRPr="006A170D">
          <w:rPr>
            <w:rStyle w:val="Hyperlink"/>
            <w:color w:val="auto"/>
            <w:u w:val="none"/>
          </w:rPr>
          <w:t>https://www</w:t>
        </w:r>
      </w:hyperlink>
      <w:r w:rsidRPr="0059173F">
        <w:t>.mdba.gov.au/sites/default/files/pubs/long-term-e-water-plan-sa-river-murray-nov-15.PDF.</w:t>
      </w:r>
    </w:p>
    <w:p w14:paraId="2494F32A" w14:textId="77777777" w:rsidR="00530E59" w:rsidRPr="00127E7F" w:rsidRDefault="00530E59" w:rsidP="00530E59">
      <w:pPr>
        <w:rPr>
          <w:lang w:val="en-US"/>
        </w:rPr>
      </w:pPr>
      <w:r w:rsidRPr="00127E7F">
        <w:rPr>
          <w:lang w:val="en-US"/>
        </w:rPr>
        <w:t>Dev</w:t>
      </w:r>
      <w:r>
        <w:rPr>
          <w:lang w:val="en-US"/>
        </w:rPr>
        <w:t>,</w:t>
      </w:r>
      <w:r w:rsidRPr="00127E7F">
        <w:rPr>
          <w:lang w:val="en-US"/>
        </w:rPr>
        <w:t xml:space="preserve"> B</w:t>
      </w:r>
      <w:r>
        <w:rPr>
          <w:lang w:val="en-US"/>
        </w:rPr>
        <w:t>.</w:t>
      </w:r>
      <w:r w:rsidRPr="00127E7F">
        <w:rPr>
          <w:lang w:val="en-US"/>
        </w:rPr>
        <w:t xml:space="preserve">, </w:t>
      </w:r>
      <w:proofErr w:type="spellStart"/>
      <w:r w:rsidRPr="00127E7F">
        <w:rPr>
          <w:lang w:val="en-US"/>
        </w:rPr>
        <w:t>Rahmatullah</w:t>
      </w:r>
      <w:proofErr w:type="spellEnd"/>
      <w:r>
        <w:rPr>
          <w:lang w:val="en-US"/>
        </w:rPr>
        <w:t>,</w:t>
      </w:r>
      <w:r w:rsidRPr="00127E7F">
        <w:rPr>
          <w:lang w:val="en-US"/>
        </w:rPr>
        <w:t xml:space="preserve"> S</w:t>
      </w:r>
      <w:r>
        <w:rPr>
          <w:lang w:val="en-US"/>
        </w:rPr>
        <w:t>.</w:t>
      </w:r>
      <w:r w:rsidRPr="00127E7F">
        <w:rPr>
          <w:lang w:val="en-US"/>
        </w:rPr>
        <w:t xml:space="preserve"> (1998)</w:t>
      </w:r>
      <w:r>
        <w:rPr>
          <w:lang w:val="en-US"/>
        </w:rPr>
        <w:t>.</w:t>
      </w:r>
      <w:r w:rsidRPr="00127E7F">
        <w:rPr>
          <w:lang w:val="en-US"/>
        </w:rPr>
        <w:t xml:space="preserve"> Food Selection and Electivity Indices of the Thai Barb </w:t>
      </w:r>
      <w:r w:rsidRPr="006A170D">
        <w:rPr>
          <w:i/>
          <w:iCs/>
          <w:lang w:val="en-US"/>
        </w:rPr>
        <w:t xml:space="preserve">Puntius </w:t>
      </w:r>
      <w:r w:rsidRPr="00127E7F">
        <w:rPr>
          <w:lang w:val="en-US"/>
        </w:rPr>
        <w:t xml:space="preserve">(= </w:t>
      </w:r>
      <w:proofErr w:type="spellStart"/>
      <w:r w:rsidRPr="006A170D">
        <w:rPr>
          <w:i/>
          <w:iCs/>
          <w:lang w:val="en-US"/>
        </w:rPr>
        <w:t>Barbodes</w:t>
      </w:r>
      <w:proofErr w:type="spellEnd"/>
      <w:r w:rsidRPr="00127E7F">
        <w:rPr>
          <w:lang w:val="en-US"/>
        </w:rPr>
        <w:t xml:space="preserve">) </w:t>
      </w:r>
      <w:proofErr w:type="spellStart"/>
      <w:r w:rsidRPr="006A170D">
        <w:rPr>
          <w:i/>
          <w:iCs/>
          <w:lang w:val="en-US"/>
        </w:rPr>
        <w:t>gonionotus</w:t>
      </w:r>
      <w:proofErr w:type="spellEnd"/>
      <w:r w:rsidRPr="00127E7F">
        <w:rPr>
          <w:lang w:val="en-US"/>
        </w:rPr>
        <w:t xml:space="preserve"> in Extensively Managed, Rain-fed Ponds in Bangladesh. </w:t>
      </w:r>
      <w:r w:rsidRPr="006A170D">
        <w:rPr>
          <w:i/>
          <w:iCs/>
          <w:lang w:val="en-US"/>
        </w:rPr>
        <w:t>Asian Fisheries Science</w:t>
      </w:r>
      <w:r w:rsidRPr="00127E7F">
        <w:rPr>
          <w:lang w:val="en-US"/>
        </w:rPr>
        <w:t xml:space="preserve"> </w:t>
      </w:r>
      <w:r w:rsidRPr="006A170D">
        <w:rPr>
          <w:b/>
          <w:bCs/>
          <w:lang w:val="en-US"/>
        </w:rPr>
        <w:t>11</w:t>
      </w:r>
      <w:r>
        <w:rPr>
          <w:lang w:val="en-US"/>
        </w:rPr>
        <w:t xml:space="preserve">, </w:t>
      </w:r>
      <w:r w:rsidRPr="00127E7F">
        <w:rPr>
          <w:lang w:val="en-US"/>
        </w:rPr>
        <w:t>111</w:t>
      </w:r>
      <w:r>
        <w:rPr>
          <w:lang w:val="en-US"/>
        </w:rPr>
        <w:t>–</w:t>
      </w:r>
      <w:r w:rsidRPr="00127E7F">
        <w:rPr>
          <w:lang w:val="en-US"/>
        </w:rPr>
        <w:t>120</w:t>
      </w:r>
      <w:r>
        <w:rPr>
          <w:lang w:val="en-US"/>
        </w:rPr>
        <w:t>.</w:t>
      </w:r>
    </w:p>
    <w:p w14:paraId="014146A3" w14:textId="77777777" w:rsidR="00530E59" w:rsidRPr="00346B75" w:rsidRDefault="00530E59" w:rsidP="00530E59">
      <w:pPr>
        <w:rPr>
          <w:lang w:val="en-US"/>
        </w:rPr>
      </w:pPr>
      <w:proofErr w:type="spellStart"/>
      <w:r w:rsidRPr="00346B75">
        <w:rPr>
          <w:lang w:val="en-US"/>
        </w:rPr>
        <w:t>Dickopp</w:t>
      </w:r>
      <w:proofErr w:type="spellEnd"/>
      <w:r w:rsidRPr="00346B75">
        <w:rPr>
          <w:lang w:val="en-US"/>
        </w:rPr>
        <w:t xml:space="preserve">, J., </w:t>
      </w:r>
      <w:proofErr w:type="spellStart"/>
      <w:r w:rsidRPr="00346B75">
        <w:rPr>
          <w:lang w:val="en-US"/>
        </w:rPr>
        <w:t>Kazda</w:t>
      </w:r>
      <w:proofErr w:type="spellEnd"/>
      <w:r w:rsidRPr="00346B75">
        <w:rPr>
          <w:lang w:val="en-US"/>
        </w:rPr>
        <w:t xml:space="preserve">, M. and </w:t>
      </w:r>
      <w:proofErr w:type="spellStart"/>
      <w:r w:rsidRPr="00346B75">
        <w:rPr>
          <w:lang w:val="en-US"/>
        </w:rPr>
        <w:t>Cizkova</w:t>
      </w:r>
      <w:proofErr w:type="spellEnd"/>
      <w:r w:rsidRPr="00346B75">
        <w:rPr>
          <w:lang w:val="en-US"/>
        </w:rPr>
        <w:t xml:space="preserve">, H. (2011). Differences in rhizome aeration of </w:t>
      </w:r>
      <w:r w:rsidRPr="00346B75">
        <w:rPr>
          <w:i/>
          <w:iCs/>
          <w:lang w:val="en-US"/>
        </w:rPr>
        <w:t>Phragmites australis</w:t>
      </w:r>
      <w:r w:rsidRPr="00346B75">
        <w:rPr>
          <w:lang w:val="en-US"/>
        </w:rPr>
        <w:t xml:space="preserve"> in a constructed wetland. </w:t>
      </w:r>
      <w:r w:rsidRPr="00346B75">
        <w:rPr>
          <w:i/>
          <w:iCs/>
          <w:lang w:val="en-US"/>
        </w:rPr>
        <w:t>Ecological Engineering</w:t>
      </w:r>
      <w:r w:rsidRPr="00346B75">
        <w:rPr>
          <w:lang w:val="en-US"/>
        </w:rPr>
        <w:t xml:space="preserve"> </w:t>
      </w:r>
      <w:r w:rsidRPr="00346B75">
        <w:rPr>
          <w:b/>
          <w:bCs/>
          <w:lang w:val="en-US"/>
        </w:rPr>
        <w:t>37</w:t>
      </w:r>
      <w:r w:rsidRPr="00346B75">
        <w:rPr>
          <w:lang w:val="en-US"/>
        </w:rPr>
        <w:t>, 1647</w:t>
      </w:r>
      <w:r>
        <w:rPr>
          <w:lang w:val="en-US"/>
        </w:rPr>
        <w:t>–</w:t>
      </w:r>
      <w:r w:rsidRPr="00346B75">
        <w:rPr>
          <w:lang w:val="en-US"/>
        </w:rPr>
        <w:t>1653.</w:t>
      </w:r>
    </w:p>
    <w:p w14:paraId="403F8D6B" w14:textId="77777777" w:rsidR="00530E59" w:rsidRPr="003F2FD1" w:rsidRDefault="00530E59" w:rsidP="00530E59">
      <w:pPr>
        <w:rPr>
          <w:lang w:val="en-US"/>
        </w:rPr>
      </w:pPr>
      <w:r w:rsidRPr="003F2FD1">
        <w:rPr>
          <w:lang w:val="en-US"/>
        </w:rPr>
        <w:t xml:space="preserve">Dufrene, M. and Legendre, P. (1997). Species assemblages and indicator species: the need for a flexible asymmetrical approach. </w:t>
      </w:r>
      <w:r w:rsidRPr="003F2FD1">
        <w:rPr>
          <w:i/>
          <w:iCs/>
          <w:lang w:val="en-US"/>
        </w:rPr>
        <w:t>Ecological Monographs</w:t>
      </w:r>
      <w:r w:rsidRPr="003F2FD1">
        <w:rPr>
          <w:lang w:val="en-US"/>
        </w:rPr>
        <w:t xml:space="preserve"> </w:t>
      </w:r>
      <w:r w:rsidRPr="003F2FD1">
        <w:rPr>
          <w:b/>
          <w:bCs/>
          <w:lang w:val="en-US"/>
        </w:rPr>
        <w:t>67</w:t>
      </w:r>
      <w:r w:rsidRPr="003F2FD1">
        <w:rPr>
          <w:lang w:val="en-US"/>
        </w:rPr>
        <w:t>, 345</w:t>
      </w:r>
      <w:r>
        <w:rPr>
          <w:lang w:val="en-US"/>
        </w:rPr>
        <w:t>–</w:t>
      </w:r>
      <w:r w:rsidRPr="003F2FD1">
        <w:rPr>
          <w:lang w:val="en-US"/>
        </w:rPr>
        <w:t>366.</w:t>
      </w:r>
    </w:p>
    <w:p w14:paraId="6121102C" w14:textId="77777777" w:rsidR="00530E59" w:rsidRPr="00C70D04" w:rsidRDefault="00530E59" w:rsidP="00530E59">
      <w:pPr>
        <w:rPr>
          <w:noProof/>
        </w:rPr>
      </w:pPr>
      <w:r w:rsidRPr="00C70D04">
        <w:rPr>
          <w:noProof/>
        </w:rPr>
        <w:t>Dyer, F., Broadhurst, B., Tschierschke, A., Thiem, J., Thompson, R., Bowen, S., Asmus, M., Brandis, K., Lyons, M., Spencer, J., Callaghan, D., Driver, P. and Lenehan, J. (2017). Commonwealth Environmental Water Office Long Term Intervention Monitoring Project: Lower Lachlan river system Selected Area 2016-17 Monitoring and Evaluation Report. Commonwealth of Australia, 2017.</w:t>
      </w:r>
    </w:p>
    <w:p w14:paraId="4C76462B" w14:textId="77777777" w:rsidR="00530E59" w:rsidRPr="00FB4859" w:rsidRDefault="00530E59" w:rsidP="00530E59">
      <w:r w:rsidRPr="00FB4859">
        <w:t xml:space="preserve">Fredberg, J., Zampatti, B.P. and Bice, C.M. (2019). </w:t>
      </w:r>
      <w:bookmarkStart w:id="361" w:name="OLE_LINK1"/>
      <w:bookmarkStart w:id="362" w:name="OLE_LINK2"/>
      <w:bookmarkStart w:id="363" w:name="OLE_LINK3"/>
      <w:bookmarkStart w:id="364" w:name="OLE_LINK4"/>
      <w:r w:rsidRPr="00FB4859">
        <w:t>Chowilla Icon Site Fish Assemblage Condition Monitoring 201</w:t>
      </w:r>
      <w:bookmarkEnd w:id="361"/>
      <w:bookmarkEnd w:id="362"/>
      <w:bookmarkEnd w:id="363"/>
      <w:bookmarkEnd w:id="364"/>
      <w:r w:rsidRPr="00FB4859">
        <w:t>9. South Australian Research and Development Institute (Aquatic Sciences), Adelaide. SARDI Publication No. F2008/000907-10. SARDI Research Report Series No. 1005. 62pp.</w:t>
      </w:r>
    </w:p>
    <w:p w14:paraId="706EC5D2" w14:textId="77777777" w:rsidR="00530E59" w:rsidRPr="000F3386" w:rsidRDefault="00530E59" w:rsidP="00530E59">
      <w:pPr>
        <w:rPr>
          <w:lang w:val="en-US"/>
        </w:rPr>
      </w:pPr>
      <w:proofErr w:type="spellStart"/>
      <w:r w:rsidRPr="00FB4859">
        <w:rPr>
          <w:lang w:val="en-US"/>
        </w:rPr>
        <w:t>Froend</w:t>
      </w:r>
      <w:proofErr w:type="spellEnd"/>
      <w:r w:rsidRPr="00FB4859">
        <w:rPr>
          <w:lang w:val="en-US"/>
        </w:rPr>
        <w:t xml:space="preserve">, R.H. and </w:t>
      </w:r>
      <w:proofErr w:type="spellStart"/>
      <w:r w:rsidRPr="00FB4859">
        <w:rPr>
          <w:lang w:val="en-US"/>
        </w:rPr>
        <w:t>McComb</w:t>
      </w:r>
      <w:proofErr w:type="spellEnd"/>
      <w:r w:rsidRPr="00FB4859">
        <w:rPr>
          <w:lang w:val="en-US"/>
        </w:rPr>
        <w:t xml:space="preserve">, A.J. (1994). Distribution, </w:t>
      </w:r>
      <w:proofErr w:type="gramStart"/>
      <w:r w:rsidRPr="00FB4859">
        <w:rPr>
          <w:lang w:val="en-US"/>
        </w:rPr>
        <w:t>productivity</w:t>
      </w:r>
      <w:proofErr w:type="gramEnd"/>
      <w:r w:rsidRPr="00FB4859">
        <w:rPr>
          <w:lang w:val="en-US"/>
        </w:rPr>
        <w:t xml:space="preserve"> and reproductive phenology of emergent macrophytes in relation to water regimes at wetlands of south-western Australia. </w:t>
      </w:r>
      <w:r w:rsidRPr="00FB4859">
        <w:rPr>
          <w:i/>
          <w:iCs/>
          <w:lang w:val="en-US"/>
        </w:rPr>
        <w:t xml:space="preserve">Australian </w:t>
      </w:r>
      <w:r w:rsidRPr="000F3386">
        <w:rPr>
          <w:i/>
          <w:iCs/>
          <w:lang w:val="en-US"/>
        </w:rPr>
        <w:t xml:space="preserve">Journal of Marine and Freshwater Research </w:t>
      </w:r>
      <w:r w:rsidRPr="000F3386">
        <w:rPr>
          <w:b/>
          <w:bCs/>
          <w:lang w:val="en-US"/>
        </w:rPr>
        <w:t>45</w:t>
      </w:r>
      <w:r w:rsidRPr="000F3386">
        <w:rPr>
          <w:lang w:val="en-US"/>
        </w:rPr>
        <w:t>, 1491</w:t>
      </w:r>
      <w:r>
        <w:rPr>
          <w:lang w:val="en-US"/>
        </w:rPr>
        <w:t>–</w:t>
      </w:r>
      <w:r w:rsidRPr="000F3386">
        <w:rPr>
          <w:lang w:val="en-US"/>
        </w:rPr>
        <w:t>1508.</w:t>
      </w:r>
    </w:p>
    <w:p w14:paraId="64A80033" w14:textId="77777777" w:rsidR="00530E59" w:rsidRPr="000F3386" w:rsidRDefault="00530E59" w:rsidP="00530E59">
      <w:pPr>
        <w:rPr>
          <w:lang w:val="en-US"/>
        </w:rPr>
      </w:pPr>
      <w:r w:rsidRPr="000F3386">
        <w:rPr>
          <w:lang w:val="en-US"/>
        </w:rPr>
        <w:t>Furst</w:t>
      </w:r>
      <w:r>
        <w:rPr>
          <w:lang w:val="en-US"/>
        </w:rPr>
        <w:t>,</w:t>
      </w:r>
      <w:r w:rsidRPr="000F3386">
        <w:rPr>
          <w:lang w:val="en-US"/>
        </w:rPr>
        <w:t xml:space="preserve"> D</w:t>
      </w:r>
      <w:r>
        <w:rPr>
          <w:lang w:val="en-US"/>
        </w:rPr>
        <w:t>.</w:t>
      </w:r>
      <w:r w:rsidRPr="000F3386">
        <w:rPr>
          <w:lang w:val="en-US"/>
        </w:rPr>
        <w:t>, Aldridge</w:t>
      </w:r>
      <w:r>
        <w:rPr>
          <w:lang w:val="en-US"/>
        </w:rPr>
        <w:t>,</w:t>
      </w:r>
      <w:r w:rsidRPr="000F3386">
        <w:rPr>
          <w:lang w:val="en-US"/>
        </w:rPr>
        <w:t xml:space="preserve"> K</w:t>
      </w:r>
      <w:r>
        <w:rPr>
          <w:lang w:val="en-US"/>
        </w:rPr>
        <w:t>.</w:t>
      </w:r>
      <w:r w:rsidRPr="000F3386">
        <w:rPr>
          <w:lang w:val="en-US"/>
        </w:rPr>
        <w:t>, Bice</w:t>
      </w:r>
      <w:r>
        <w:rPr>
          <w:lang w:val="en-US"/>
        </w:rPr>
        <w:t>,</w:t>
      </w:r>
      <w:r w:rsidRPr="000F3386">
        <w:rPr>
          <w:lang w:val="en-US"/>
        </w:rPr>
        <w:t xml:space="preserve"> C</w:t>
      </w:r>
      <w:r>
        <w:rPr>
          <w:lang w:val="en-US"/>
        </w:rPr>
        <w:t>.</w:t>
      </w:r>
      <w:r w:rsidRPr="000F3386">
        <w:rPr>
          <w:lang w:val="en-US"/>
        </w:rPr>
        <w:t>, Zampatti</w:t>
      </w:r>
      <w:r>
        <w:rPr>
          <w:lang w:val="en-US"/>
        </w:rPr>
        <w:t>,</w:t>
      </w:r>
      <w:r w:rsidRPr="000F3386">
        <w:rPr>
          <w:lang w:val="en-US"/>
        </w:rPr>
        <w:t xml:space="preserve"> B</w:t>
      </w:r>
      <w:r>
        <w:rPr>
          <w:lang w:val="en-US"/>
        </w:rPr>
        <w:t>. and</w:t>
      </w:r>
      <w:r w:rsidRPr="000F3386">
        <w:rPr>
          <w:lang w:val="en-US"/>
        </w:rPr>
        <w:t xml:space="preserve"> Ye</w:t>
      </w:r>
      <w:r>
        <w:rPr>
          <w:lang w:val="en-US"/>
        </w:rPr>
        <w:t>,</w:t>
      </w:r>
      <w:r w:rsidRPr="000F3386">
        <w:rPr>
          <w:lang w:val="en-US"/>
        </w:rPr>
        <w:t xml:space="preserve"> Q</w:t>
      </w:r>
      <w:r>
        <w:rPr>
          <w:lang w:val="en-US"/>
        </w:rPr>
        <w:t>.</w:t>
      </w:r>
      <w:r w:rsidRPr="000F3386">
        <w:rPr>
          <w:lang w:val="en-US"/>
        </w:rPr>
        <w:t xml:space="preserve"> (2017)</w:t>
      </w:r>
      <w:r>
        <w:rPr>
          <w:lang w:val="en-US"/>
        </w:rPr>
        <w:t>.</w:t>
      </w:r>
      <w:r w:rsidRPr="000F3386">
        <w:rPr>
          <w:lang w:val="en-US"/>
        </w:rPr>
        <w:t xml:space="preserve"> The influence of longitudinal hydrological connectivity on resource availability and lower order food web structure in the Murray River. Report to the Commonwealth Environmental Water Office and Murray-Darling Basin Authority, Canberra.</w:t>
      </w:r>
    </w:p>
    <w:p w14:paraId="1C1C888F" w14:textId="77777777" w:rsidR="00530E59" w:rsidRPr="000F3386" w:rsidRDefault="00530E59" w:rsidP="00530E59">
      <w:pPr>
        <w:rPr>
          <w:lang w:val="en-US"/>
        </w:rPr>
      </w:pPr>
      <w:r w:rsidRPr="000F3386">
        <w:rPr>
          <w:lang w:val="en-US"/>
        </w:rPr>
        <w:t>Furst</w:t>
      </w:r>
      <w:r>
        <w:rPr>
          <w:lang w:val="en-US"/>
        </w:rPr>
        <w:t>,</w:t>
      </w:r>
      <w:r w:rsidRPr="000F3386">
        <w:rPr>
          <w:lang w:val="en-US"/>
        </w:rPr>
        <w:t xml:space="preserve"> D</w:t>
      </w:r>
      <w:r>
        <w:rPr>
          <w:lang w:val="en-US"/>
        </w:rPr>
        <w:t>.</w:t>
      </w:r>
      <w:r w:rsidRPr="000F3386">
        <w:rPr>
          <w:lang w:val="en-US"/>
        </w:rPr>
        <w:t>, Aldridge</w:t>
      </w:r>
      <w:r>
        <w:rPr>
          <w:lang w:val="en-US"/>
        </w:rPr>
        <w:t>,</w:t>
      </w:r>
      <w:r w:rsidRPr="000F3386">
        <w:rPr>
          <w:lang w:val="en-US"/>
        </w:rPr>
        <w:t xml:space="preserve"> K</w:t>
      </w:r>
      <w:r>
        <w:rPr>
          <w:lang w:val="en-US"/>
        </w:rPr>
        <w:t>.</w:t>
      </w:r>
      <w:r w:rsidRPr="000F3386">
        <w:rPr>
          <w:lang w:val="en-US"/>
        </w:rPr>
        <w:t>, Bice</w:t>
      </w:r>
      <w:r>
        <w:rPr>
          <w:lang w:val="en-US"/>
        </w:rPr>
        <w:t>,</w:t>
      </w:r>
      <w:r w:rsidRPr="000F3386">
        <w:rPr>
          <w:lang w:val="en-US"/>
        </w:rPr>
        <w:t xml:space="preserve"> C</w:t>
      </w:r>
      <w:r>
        <w:rPr>
          <w:lang w:val="en-US"/>
        </w:rPr>
        <w:t>.</w:t>
      </w:r>
      <w:r w:rsidRPr="000F3386">
        <w:rPr>
          <w:lang w:val="en-US"/>
        </w:rPr>
        <w:t>, Zampatti</w:t>
      </w:r>
      <w:r>
        <w:rPr>
          <w:lang w:val="en-US"/>
        </w:rPr>
        <w:t>,</w:t>
      </w:r>
      <w:r w:rsidRPr="000F3386">
        <w:rPr>
          <w:lang w:val="en-US"/>
        </w:rPr>
        <w:t xml:space="preserve"> B</w:t>
      </w:r>
      <w:r>
        <w:rPr>
          <w:lang w:val="en-US"/>
        </w:rPr>
        <w:t>. and</w:t>
      </w:r>
      <w:r w:rsidRPr="000F3386">
        <w:rPr>
          <w:lang w:val="en-US"/>
        </w:rPr>
        <w:t xml:space="preserve"> Ye</w:t>
      </w:r>
      <w:r>
        <w:rPr>
          <w:lang w:val="en-US"/>
        </w:rPr>
        <w:t>,</w:t>
      </w:r>
      <w:r w:rsidRPr="000F3386">
        <w:rPr>
          <w:lang w:val="en-US"/>
        </w:rPr>
        <w:t xml:space="preserve"> Q</w:t>
      </w:r>
      <w:r>
        <w:rPr>
          <w:lang w:val="en-US"/>
        </w:rPr>
        <w:t>.</w:t>
      </w:r>
      <w:r w:rsidRPr="000F3386">
        <w:rPr>
          <w:lang w:val="en-US"/>
        </w:rPr>
        <w:t xml:space="preserve"> (2018)</w:t>
      </w:r>
      <w:r>
        <w:rPr>
          <w:lang w:val="en-US"/>
        </w:rPr>
        <w:t>.</w:t>
      </w:r>
      <w:r w:rsidRPr="000F3386">
        <w:rPr>
          <w:lang w:val="en-US"/>
        </w:rPr>
        <w:t xml:space="preserve"> Ecological response to the Lake Victoria bypass trial 2015–2017. Report to the Commonwealth Environmental Water Office, Canberra. </w:t>
      </w:r>
    </w:p>
    <w:p w14:paraId="0DAF9C3C" w14:textId="77777777" w:rsidR="00530E59" w:rsidRPr="000F3386" w:rsidRDefault="00530E59" w:rsidP="00530E59">
      <w:pPr>
        <w:rPr>
          <w:lang w:val="en-US"/>
        </w:rPr>
      </w:pPr>
      <w:r w:rsidRPr="000F3386">
        <w:rPr>
          <w:lang w:val="en-US"/>
        </w:rPr>
        <w:t>Furst</w:t>
      </w:r>
      <w:r>
        <w:rPr>
          <w:lang w:val="en-US"/>
        </w:rPr>
        <w:t>,</w:t>
      </w:r>
      <w:r w:rsidRPr="000F3386">
        <w:rPr>
          <w:lang w:val="en-US"/>
        </w:rPr>
        <w:t xml:space="preserve"> D</w:t>
      </w:r>
      <w:r>
        <w:rPr>
          <w:lang w:val="en-US"/>
        </w:rPr>
        <w:t>.</w:t>
      </w:r>
      <w:r w:rsidRPr="000F3386">
        <w:rPr>
          <w:lang w:val="en-US"/>
        </w:rPr>
        <w:t>, Ye</w:t>
      </w:r>
      <w:r>
        <w:rPr>
          <w:lang w:val="en-US"/>
        </w:rPr>
        <w:t>,</w:t>
      </w:r>
      <w:r w:rsidRPr="000F3386">
        <w:rPr>
          <w:lang w:val="en-US"/>
        </w:rPr>
        <w:t xml:space="preserve"> Q</w:t>
      </w:r>
      <w:r>
        <w:rPr>
          <w:lang w:val="en-US"/>
        </w:rPr>
        <w:t>.</w:t>
      </w:r>
      <w:r w:rsidRPr="000F3386">
        <w:rPr>
          <w:lang w:val="en-US"/>
        </w:rPr>
        <w:t>, Bice</w:t>
      </w:r>
      <w:r>
        <w:rPr>
          <w:lang w:val="en-US"/>
        </w:rPr>
        <w:t>,</w:t>
      </w:r>
      <w:r w:rsidRPr="000F3386">
        <w:rPr>
          <w:lang w:val="en-US"/>
        </w:rPr>
        <w:t xml:space="preserve"> C</w:t>
      </w:r>
      <w:r>
        <w:rPr>
          <w:lang w:val="en-US"/>
        </w:rPr>
        <w:t>.,</w:t>
      </w:r>
      <w:r w:rsidRPr="000F3386">
        <w:rPr>
          <w:lang w:val="en-US"/>
        </w:rPr>
        <w:t xml:space="preserve"> </w:t>
      </w:r>
      <w:r>
        <w:rPr>
          <w:lang w:val="en-US"/>
        </w:rPr>
        <w:t>McInerny, P., Biswas, T., Rees, G. and Watts, R.</w:t>
      </w:r>
      <w:r w:rsidRPr="000F3386">
        <w:rPr>
          <w:lang w:val="en-US"/>
        </w:rPr>
        <w:t xml:space="preserve"> (2020)</w:t>
      </w:r>
      <w:r>
        <w:rPr>
          <w:lang w:val="en-US"/>
        </w:rPr>
        <w:t>.</w:t>
      </w:r>
      <w:r w:rsidRPr="000F3386">
        <w:rPr>
          <w:lang w:val="en-US"/>
        </w:rPr>
        <w:t xml:space="preserve"> Zooplankton response to a multi-site environmental watering event during spring 2019 in the River Murray. A report to the Commonwealth Environmental Water Office, Canberra. Project number: CEWO- 2000007157.</w:t>
      </w:r>
    </w:p>
    <w:p w14:paraId="25096BD0" w14:textId="77777777" w:rsidR="00530E59" w:rsidRPr="00346B75" w:rsidRDefault="00530E59" w:rsidP="00530E59">
      <w:pPr>
        <w:rPr>
          <w:lang w:val="en-US"/>
        </w:rPr>
      </w:pPr>
      <w:proofErr w:type="spellStart"/>
      <w:r w:rsidRPr="00346B75">
        <w:rPr>
          <w:lang w:val="en-US"/>
        </w:rPr>
        <w:t>Gawne</w:t>
      </w:r>
      <w:proofErr w:type="spellEnd"/>
      <w:r w:rsidRPr="00346B75">
        <w:rPr>
          <w:lang w:val="en-US"/>
        </w:rPr>
        <w:t xml:space="preserve">, B., Merrick, C., Williams, D.G., Rees, G., Oliver, R., Bowen, P.M., Treadwell, S., Beattie, G., Ellis, I., Frankenberg, J. and Lorenz, Z. (2007). Patterns of primary and heterotrophic productivity in an arid lowland river. </w:t>
      </w:r>
      <w:r w:rsidRPr="00346B75">
        <w:rPr>
          <w:i/>
          <w:lang w:val="en-US"/>
        </w:rPr>
        <w:t>River Research and Applications</w:t>
      </w:r>
      <w:r w:rsidRPr="00346B75">
        <w:rPr>
          <w:lang w:val="en-US"/>
        </w:rPr>
        <w:t xml:space="preserve"> </w:t>
      </w:r>
      <w:r w:rsidRPr="00346B75">
        <w:rPr>
          <w:b/>
          <w:lang w:val="en-US"/>
        </w:rPr>
        <w:t>23</w:t>
      </w:r>
      <w:r w:rsidRPr="00346B75">
        <w:rPr>
          <w:lang w:val="en-US"/>
        </w:rPr>
        <w:t>, 1070–1087.</w:t>
      </w:r>
    </w:p>
    <w:p w14:paraId="5AA1B59F" w14:textId="77777777" w:rsidR="00530E59" w:rsidRPr="00C70D04" w:rsidRDefault="00530E59" w:rsidP="00530E59">
      <w:pPr>
        <w:rPr>
          <w:lang w:val="en-US"/>
        </w:rPr>
      </w:pPr>
      <w:proofErr w:type="spellStart"/>
      <w:r w:rsidRPr="00C70D04">
        <w:rPr>
          <w:lang w:val="en-US"/>
        </w:rPr>
        <w:t>Gawne</w:t>
      </w:r>
      <w:proofErr w:type="spellEnd"/>
      <w:r w:rsidRPr="00C70D04">
        <w:rPr>
          <w:lang w:val="en-US"/>
        </w:rPr>
        <w:t>, B., Hale, J., Butcher, R., Brooks, S., Roots, J., Cottingham, P., Stewardson, M. and Everingham, P. (2014). Commonwealth Environmental Water Office Long Term Intervention Monitoring Project: Evaluation Plan. Final Report prepared for the Commonwealth Environmental Water Office by The Murray–Darling Freshwater Research Centre. MDFRC Publication 29/2014.</w:t>
      </w:r>
    </w:p>
    <w:p w14:paraId="08C18562" w14:textId="77777777" w:rsidR="00530E59" w:rsidRPr="00F15181" w:rsidRDefault="00530E59" w:rsidP="00530E59">
      <w:pPr>
        <w:rPr>
          <w:lang w:val="en-US"/>
        </w:rPr>
      </w:pPr>
      <w:r w:rsidRPr="00F15181">
        <w:rPr>
          <w:lang w:val="en-US"/>
        </w:rPr>
        <w:t>Gehrig, S.L., Frahn, K. and Nicol, J.M. (2015). Monitoring the response of littoral and floodplain vegetation to weir pool raising, p. 74, South Australian Research and Development Institute (Aquatic Sciences), Adelaide.</w:t>
      </w:r>
    </w:p>
    <w:p w14:paraId="0326B44E" w14:textId="77777777" w:rsidR="00530E59" w:rsidRPr="00F15181" w:rsidRDefault="00530E59" w:rsidP="00530E59">
      <w:pPr>
        <w:rPr>
          <w:lang w:val="en-US"/>
        </w:rPr>
      </w:pPr>
      <w:r w:rsidRPr="00F15181">
        <w:rPr>
          <w:lang w:val="en-US"/>
        </w:rPr>
        <w:t>Gehrig, S.L., Frahn, K.A. and Nicol, J.M. (2016). Monitoring the response of littoral and floodplain vegetation and soil moisture flux to weir pool raising – 2015. South Australian Research and Development Institute (Aquatic Sciences), Adelaide. SARDI Publication No. F2015/000390-2.</w:t>
      </w:r>
    </w:p>
    <w:p w14:paraId="7EDFD48C" w14:textId="77777777" w:rsidR="00530E59" w:rsidRPr="002826E4" w:rsidRDefault="00530E59" w:rsidP="00530E59">
      <w:pPr>
        <w:rPr>
          <w:lang w:val="en-US"/>
        </w:rPr>
      </w:pPr>
      <w:r w:rsidRPr="002826E4">
        <w:rPr>
          <w:lang w:val="en-US"/>
        </w:rPr>
        <w:t>Giatas, G., Lamontagne, S., Bice, C. and Paton, D. (2018). Food webs of the Coorong. In: Natural History of the Coorong, Lower Lakes and Murray Mouth. Eds. Mosley, L., Ye, Q., Shepherd, S.A., Hemming, S., Fitzpatrick, R. Royal Society of South Australia, Adelaide, pp 422–441.</w:t>
      </w:r>
    </w:p>
    <w:p w14:paraId="6BE9F240" w14:textId="77777777" w:rsidR="00530E59" w:rsidRPr="0059173F" w:rsidRDefault="00530E59" w:rsidP="00530E59">
      <w:pPr>
        <w:rPr>
          <w:lang w:val="en-US"/>
        </w:rPr>
      </w:pPr>
      <w:r w:rsidRPr="0059173F">
        <w:rPr>
          <w:lang w:val="en-US"/>
        </w:rPr>
        <w:t xml:space="preserve">Gibbs, M.S., Bice, C., Brookes, J., Furst, D., Gao, L., </w:t>
      </w:r>
      <w:proofErr w:type="spellStart"/>
      <w:r w:rsidRPr="0059173F">
        <w:rPr>
          <w:lang w:val="en-US"/>
        </w:rPr>
        <w:t>Joehnk</w:t>
      </w:r>
      <w:proofErr w:type="spellEnd"/>
      <w:r w:rsidRPr="0059173F">
        <w:rPr>
          <w:lang w:val="en-US"/>
        </w:rPr>
        <w:t xml:space="preserve">, K. </w:t>
      </w:r>
      <w:proofErr w:type="spellStart"/>
      <w:r w:rsidRPr="0059173F">
        <w:rPr>
          <w:lang w:val="en-US"/>
        </w:rPr>
        <w:t>Marklund</w:t>
      </w:r>
      <w:proofErr w:type="spellEnd"/>
      <w:r w:rsidRPr="0059173F">
        <w:rPr>
          <w:lang w:val="en-US"/>
        </w:rPr>
        <w:t>, M. Nicol, J. Zampatti, B. and Wallace, T. (2020). Ecological connectivity of the River Murray: Managing ecological outcomes and water quality risks through integrated river management. Goyder Institute for Water Research Technical Report Series No. 20/03.</w:t>
      </w:r>
    </w:p>
    <w:p w14:paraId="08FF67AE" w14:textId="15B51E54" w:rsidR="00530E59" w:rsidRPr="00127EA7" w:rsidRDefault="00E7089B" w:rsidP="00530E59">
      <w:pPr>
        <w:rPr>
          <w:lang w:val="en-US"/>
        </w:rPr>
      </w:pPr>
      <w:proofErr w:type="spellStart"/>
      <w:r w:rsidRPr="00E7089B">
        <w:rPr>
          <w:lang w:val="en-US"/>
        </w:rPr>
        <w:t>Gigney</w:t>
      </w:r>
      <w:proofErr w:type="spellEnd"/>
      <w:r>
        <w:rPr>
          <w:lang w:val="en-US"/>
        </w:rPr>
        <w:t>,</w:t>
      </w:r>
      <w:r w:rsidRPr="00E7089B">
        <w:rPr>
          <w:lang w:val="en-US"/>
        </w:rPr>
        <w:t xml:space="preserve"> H</w:t>
      </w:r>
      <w:r>
        <w:rPr>
          <w:lang w:val="en-US"/>
        </w:rPr>
        <w:t>.</w:t>
      </w:r>
      <w:r w:rsidRPr="00E7089B">
        <w:rPr>
          <w:lang w:val="en-US"/>
        </w:rPr>
        <w:t>, Petrie</w:t>
      </w:r>
      <w:r>
        <w:rPr>
          <w:lang w:val="en-US"/>
        </w:rPr>
        <w:t>,</w:t>
      </w:r>
      <w:r w:rsidRPr="00E7089B">
        <w:rPr>
          <w:lang w:val="en-US"/>
        </w:rPr>
        <w:t xml:space="preserve"> R</w:t>
      </w:r>
      <w:r>
        <w:rPr>
          <w:lang w:val="en-US"/>
        </w:rPr>
        <w:t>.</w:t>
      </w:r>
      <w:r w:rsidRPr="00E7089B">
        <w:rPr>
          <w:lang w:val="en-US"/>
        </w:rPr>
        <w:t xml:space="preserve">, </w:t>
      </w:r>
      <w:proofErr w:type="spellStart"/>
      <w:r w:rsidRPr="00E7089B">
        <w:rPr>
          <w:lang w:val="en-US"/>
        </w:rPr>
        <w:t>Gawne</w:t>
      </w:r>
      <w:proofErr w:type="spellEnd"/>
      <w:r>
        <w:rPr>
          <w:lang w:val="en-US"/>
        </w:rPr>
        <w:t>,</w:t>
      </w:r>
      <w:r w:rsidRPr="00E7089B">
        <w:rPr>
          <w:lang w:val="en-US"/>
        </w:rPr>
        <w:t xml:space="preserve"> B</w:t>
      </w:r>
      <w:r>
        <w:rPr>
          <w:lang w:val="en-US"/>
        </w:rPr>
        <w:t>.</w:t>
      </w:r>
      <w:r w:rsidRPr="00E7089B">
        <w:rPr>
          <w:lang w:val="en-US"/>
        </w:rPr>
        <w:t>, Nielsen</w:t>
      </w:r>
      <w:r>
        <w:rPr>
          <w:lang w:val="en-US"/>
        </w:rPr>
        <w:t>,</w:t>
      </w:r>
      <w:r w:rsidRPr="00E7089B">
        <w:rPr>
          <w:lang w:val="en-US"/>
        </w:rPr>
        <w:t xml:space="preserve"> D</w:t>
      </w:r>
      <w:r>
        <w:rPr>
          <w:lang w:val="en-US"/>
        </w:rPr>
        <w:t>.</w:t>
      </w:r>
      <w:r w:rsidRPr="00E7089B">
        <w:rPr>
          <w:lang w:val="en-US"/>
        </w:rPr>
        <w:t>L</w:t>
      </w:r>
      <w:r>
        <w:rPr>
          <w:lang w:val="en-US"/>
        </w:rPr>
        <w:t>.</w:t>
      </w:r>
      <w:r w:rsidRPr="00E7089B">
        <w:rPr>
          <w:lang w:val="en-US"/>
        </w:rPr>
        <w:t>, Howitt</w:t>
      </w:r>
      <w:r>
        <w:rPr>
          <w:lang w:val="en-US"/>
        </w:rPr>
        <w:t>,</w:t>
      </w:r>
      <w:r w:rsidRPr="00E7089B">
        <w:rPr>
          <w:lang w:val="en-US"/>
        </w:rPr>
        <w:t xml:space="preserve"> J</w:t>
      </w:r>
      <w:r>
        <w:rPr>
          <w:lang w:val="en-US"/>
        </w:rPr>
        <w:t>.</w:t>
      </w:r>
      <w:r w:rsidRPr="00E7089B">
        <w:rPr>
          <w:lang w:val="en-US"/>
        </w:rPr>
        <w:t>A</w:t>
      </w:r>
      <w:r>
        <w:rPr>
          <w:lang w:val="en-US"/>
        </w:rPr>
        <w:t>.</w:t>
      </w:r>
      <w:r w:rsidRPr="00E7089B">
        <w:rPr>
          <w:lang w:val="en-US"/>
        </w:rPr>
        <w:t xml:space="preserve"> (2006)</w:t>
      </w:r>
      <w:r>
        <w:rPr>
          <w:lang w:val="en-US"/>
        </w:rPr>
        <w:t>.</w:t>
      </w:r>
      <w:r w:rsidRPr="00E7089B">
        <w:rPr>
          <w:lang w:val="en-US"/>
        </w:rPr>
        <w:t xml:space="preserve"> The Exchange of Material between the Murray River Channel and Barmah-</w:t>
      </w:r>
      <w:proofErr w:type="spellStart"/>
      <w:r w:rsidRPr="00E7089B">
        <w:rPr>
          <w:lang w:val="en-US"/>
        </w:rPr>
        <w:t>Millewa</w:t>
      </w:r>
      <w:proofErr w:type="spellEnd"/>
      <w:r w:rsidRPr="00E7089B">
        <w:rPr>
          <w:lang w:val="en-US"/>
        </w:rPr>
        <w:t xml:space="preserve"> Forest during the 2005/2006 Floodplain Watering.</w:t>
      </w:r>
    </w:p>
    <w:p w14:paraId="49393D60" w14:textId="77777777" w:rsidR="00530E59" w:rsidRPr="0093711B" w:rsidRDefault="00530E59" w:rsidP="00530E59">
      <w:pPr>
        <w:rPr>
          <w:lang w:val="en-US"/>
        </w:rPr>
      </w:pPr>
      <w:r w:rsidRPr="0093711B">
        <w:rPr>
          <w:lang w:val="en-US"/>
        </w:rPr>
        <w:t>Gilbert</w:t>
      </w:r>
      <w:r>
        <w:rPr>
          <w:lang w:val="en-US"/>
        </w:rPr>
        <w:t>,</w:t>
      </w:r>
      <w:r w:rsidRPr="0093711B">
        <w:rPr>
          <w:lang w:val="en-US"/>
        </w:rPr>
        <w:t xml:space="preserve"> J</w:t>
      </w:r>
      <w:r>
        <w:rPr>
          <w:lang w:val="en-US"/>
        </w:rPr>
        <w:t>.</w:t>
      </w:r>
      <w:r w:rsidRPr="0093711B">
        <w:rPr>
          <w:lang w:val="en-US"/>
        </w:rPr>
        <w:t>J</w:t>
      </w:r>
      <w:r>
        <w:rPr>
          <w:lang w:val="en-US"/>
        </w:rPr>
        <w:t>.</w:t>
      </w:r>
      <w:r w:rsidRPr="0093711B">
        <w:rPr>
          <w:lang w:val="en-US"/>
        </w:rPr>
        <w:t>, Williamson</w:t>
      </w:r>
      <w:r>
        <w:rPr>
          <w:lang w:val="en-US"/>
        </w:rPr>
        <w:t>,</w:t>
      </w:r>
      <w:r w:rsidRPr="0093711B">
        <w:rPr>
          <w:lang w:val="en-US"/>
        </w:rPr>
        <w:t xml:space="preserve"> C</w:t>
      </w:r>
      <w:r>
        <w:rPr>
          <w:lang w:val="en-US"/>
        </w:rPr>
        <w:t>.</w:t>
      </w:r>
      <w:r w:rsidRPr="0093711B">
        <w:rPr>
          <w:lang w:val="en-US"/>
        </w:rPr>
        <w:t>E</w:t>
      </w:r>
      <w:r>
        <w:rPr>
          <w:lang w:val="en-US"/>
        </w:rPr>
        <w:t>.</w:t>
      </w:r>
      <w:r w:rsidRPr="0093711B">
        <w:rPr>
          <w:lang w:val="en-US"/>
        </w:rPr>
        <w:t xml:space="preserve"> (1978)</w:t>
      </w:r>
      <w:r>
        <w:rPr>
          <w:lang w:val="en-US"/>
        </w:rPr>
        <w:t>.</w:t>
      </w:r>
      <w:r w:rsidRPr="0093711B">
        <w:rPr>
          <w:lang w:val="en-US"/>
        </w:rPr>
        <w:t xml:space="preserve"> Predator-prey behavior and its effect on rotifer survival in associations of </w:t>
      </w:r>
      <w:proofErr w:type="spellStart"/>
      <w:r w:rsidRPr="006A170D">
        <w:rPr>
          <w:i/>
          <w:iCs/>
          <w:lang w:val="en-US"/>
        </w:rPr>
        <w:t>Mesocyclops</w:t>
      </w:r>
      <w:proofErr w:type="spellEnd"/>
      <w:r w:rsidRPr="006A170D">
        <w:rPr>
          <w:i/>
          <w:iCs/>
          <w:lang w:val="en-US"/>
        </w:rPr>
        <w:t xml:space="preserve"> </w:t>
      </w:r>
      <w:proofErr w:type="spellStart"/>
      <w:r w:rsidRPr="006A170D">
        <w:rPr>
          <w:i/>
          <w:iCs/>
          <w:lang w:val="en-US"/>
        </w:rPr>
        <w:t>edax</w:t>
      </w:r>
      <w:proofErr w:type="spellEnd"/>
      <w:r w:rsidRPr="0093711B">
        <w:rPr>
          <w:lang w:val="en-US"/>
        </w:rPr>
        <w:t xml:space="preserve">, </w:t>
      </w:r>
      <w:proofErr w:type="spellStart"/>
      <w:r w:rsidRPr="006A170D">
        <w:rPr>
          <w:i/>
          <w:iCs/>
          <w:lang w:val="en-US"/>
        </w:rPr>
        <w:t>Asplanchna</w:t>
      </w:r>
      <w:proofErr w:type="spellEnd"/>
      <w:r w:rsidRPr="006A170D">
        <w:rPr>
          <w:i/>
          <w:iCs/>
          <w:lang w:val="en-US"/>
        </w:rPr>
        <w:t xml:space="preserve"> </w:t>
      </w:r>
      <w:proofErr w:type="spellStart"/>
      <w:r w:rsidRPr="006A170D">
        <w:rPr>
          <w:i/>
          <w:iCs/>
          <w:lang w:val="en-US"/>
        </w:rPr>
        <w:t>girodi</w:t>
      </w:r>
      <w:proofErr w:type="spellEnd"/>
      <w:r w:rsidRPr="0093711B">
        <w:rPr>
          <w:lang w:val="en-US"/>
        </w:rPr>
        <w:t xml:space="preserve">, </w:t>
      </w:r>
      <w:proofErr w:type="spellStart"/>
      <w:r w:rsidRPr="006A170D">
        <w:rPr>
          <w:i/>
          <w:iCs/>
          <w:lang w:val="en-US"/>
        </w:rPr>
        <w:t>Polyarthra</w:t>
      </w:r>
      <w:proofErr w:type="spellEnd"/>
      <w:r w:rsidRPr="006A170D">
        <w:rPr>
          <w:i/>
          <w:iCs/>
          <w:lang w:val="en-US"/>
        </w:rPr>
        <w:t xml:space="preserve"> vulgaris</w:t>
      </w:r>
      <w:r w:rsidRPr="0093711B">
        <w:rPr>
          <w:lang w:val="en-US"/>
        </w:rPr>
        <w:t xml:space="preserve">, and </w:t>
      </w:r>
      <w:proofErr w:type="spellStart"/>
      <w:r w:rsidRPr="006A170D">
        <w:rPr>
          <w:i/>
          <w:iCs/>
          <w:lang w:val="en-US"/>
        </w:rPr>
        <w:t>Keratella</w:t>
      </w:r>
      <w:proofErr w:type="spellEnd"/>
      <w:r w:rsidRPr="006A170D">
        <w:rPr>
          <w:i/>
          <w:iCs/>
          <w:lang w:val="en-US"/>
        </w:rPr>
        <w:t xml:space="preserve"> </w:t>
      </w:r>
      <w:proofErr w:type="spellStart"/>
      <w:r w:rsidRPr="006A170D">
        <w:rPr>
          <w:i/>
          <w:iCs/>
          <w:lang w:val="en-US"/>
        </w:rPr>
        <w:t>cochlearis</w:t>
      </w:r>
      <w:proofErr w:type="spellEnd"/>
      <w:r w:rsidRPr="0093711B">
        <w:rPr>
          <w:lang w:val="en-US"/>
        </w:rPr>
        <w:t xml:space="preserve">. </w:t>
      </w:r>
      <w:proofErr w:type="spellStart"/>
      <w:r w:rsidRPr="006A170D">
        <w:rPr>
          <w:i/>
          <w:iCs/>
          <w:lang w:val="en-US"/>
        </w:rPr>
        <w:t>Oecologia</w:t>
      </w:r>
      <w:proofErr w:type="spellEnd"/>
      <w:r w:rsidRPr="0093711B">
        <w:rPr>
          <w:lang w:val="en-US"/>
        </w:rPr>
        <w:t xml:space="preserve"> </w:t>
      </w:r>
      <w:r w:rsidRPr="006A170D">
        <w:rPr>
          <w:b/>
          <w:bCs/>
          <w:lang w:val="en-US"/>
        </w:rPr>
        <w:t>37</w:t>
      </w:r>
      <w:r>
        <w:rPr>
          <w:lang w:val="en-US"/>
        </w:rPr>
        <w:t xml:space="preserve">, </w:t>
      </w:r>
      <w:r w:rsidRPr="0093711B">
        <w:rPr>
          <w:lang w:val="en-US"/>
        </w:rPr>
        <w:t>13</w:t>
      </w:r>
      <w:r>
        <w:rPr>
          <w:lang w:val="en-US"/>
        </w:rPr>
        <w:t>–</w:t>
      </w:r>
      <w:r w:rsidRPr="0093711B">
        <w:rPr>
          <w:lang w:val="en-US"/>
        </w:rPr>
        <w:t>22</w:t>
      </w:r>
      <w:r>
        <w:rPr>
          <w:lang w:val="en-US"/>
        </w:rPr>
        <w:t>.</w:t>
      </w:r>
    </w:p>
    <w:p w14:paraId="33F46A70" w14:textId="77777777" w:rsidR="00530E59" w:rsidRPr="00346B75" w:rsidRDefault="00530E59" w:rsidP="00530E59">
      <w:pPr>
        <w:rPr>
          <w:lang w:val="en-US"/>
        </w:rPr>
      </w:pPr>
      <w:r w:rsidRPr="00346B75">
        <w:rPr>
          <w:lang w:val="en-US"/>
        </w:rPr>
        <w:t xml:space="preserve">Grace, M.R., </w:t>
      </w:r>
      <w:proofErr w:type="spellStart"/>
      <w:r w:rsidRPr="00346B75">
        <w:rPr>
          <w:lang w:val="en-US"/>
        </w:rPr>
        <w:t>Giling</w:t>
      </w:r>
      <w:proofErr w:type="spellEnd"/>
      <w:r w:rsidRPr="00346B75">
        <w:rPr>
          <w:lang w:val="en-US"/>
        </w:rPr>
        <w:t xml:space="preserve">, D.P., </w:t>
      </w:r>
      <w:proofErr w:type="spellStart"/>
      <w:r w:rsidRPr="00346B75">
        <w:rPr>
          <w:lang w:val="en-US"/>
        </w:rPr>
        <w:t>Hladyz</w:t>
      </w:r>
      <w:proofErr w:type="spellEnd"/>
      <w:r w:rsidRPr="00346B75">
        <w:rPr>
          <w:lang w:val="en-US"/>
        </w:rPr>
        <w:t xml:space="preserve">, S., Caron, V., Thompson, R.M. and Mac Nally, R. (2015). Fast processing of diel oxygen curves: estimating stream metabolism with BASE (Bayesian Single-station Estimation). </w:t>
      </w:r>
      <w:r w:rsidRPr="00346B75">
        <w:rPr>
          <w:i/>
          <w:lang w:val="en-US"/>
        </w:rPr>
        <w:t>Limnology &amp; Oceanography: Methods</w:t>
      </w:r>
      <w:r w:rsidRPr="00346B75">
        <w:rPr>
          <w:lang w:val="en-US"/>
        </w:rPr>
        <w:t xml:space="preserve"> </w:t>
      </w:r>
      <w:r w:rsidRPr="00346B75">
        <w:rPr>
          <w:b/>
          <w:lang w:val="en-US"/>
        </w:rPr>
        <w:t>13</w:t>
      </w:r>
      <w:r w:rsidRPr="00346B75">
        <w:rPr>
          <w:lang w:val="en-US"/>
        </w:rPr>
        <w:t>, 103–114.</w:t>
      </w:r>
    </w:p>
    <w:p w14:paraId="42A40701" w14:textId="77777777" w:rsidR="00530E59" w:rsidRPr="00346B75" w:rsidRDefault="00530E59" w:rsidP="00530E59">
      <w:pPr>
        <w:rPr>
          <w:lang w:val="en-US"/>
        </w:rPr>
      </w:pPr>
      <w:r w:rsidRPr="00346B75">
        <w:rPr>
          <w:lang w:val="en-US"/>
        </w:rPr>
        <w:t xml:space="preserve">Graeber, D., Poulsen, J.R., Heinz, M., Rasmussen, J.J., Zak, D., </w:t>
      </w:r>
      <w:proofErr w:type="spellStart"/>
      <w:r w:rsidRPr="00346B75">
        <w:rPr>
          <w:lang w:val="en-US"/>
        </w:rPr>
        <w:t>Gücker</w:t>
      </w:r>
      <w:proofErr w:type="spellEnd"/>
      <w:r w:rsidRPr="00346B75">
        <w:rPr>
          <w:lang w:val="en-US"/>
        </w:rPr>
        <w:t xml:space="preserve">, B., </w:t>
      </w:r>
      <w:proofErr w:type="spellStart"/>
      <w:r w:rsidRPr="00346B75">
        <w:rPr>
          <w:lang w:val="en-US"/>
        </w:rPr>
        <w:t>Kronvang</w:t>
      </w:r>
      <w:proofErr w:type="spellEnd"/>
      <w:r w:rsidRPr="00346B75">
        <w:rPr>
          <w:lang w:val="en-US"/>
        </w:rPr>
        <w:t xml:space="preserve">, B. and </w:t>
      </w:r>
      <w:proofErr w:type="spellStart"/>
      <w:r w:rsidRPr="00346B75">
        <w:rPr>
          <w:lang w:val="en-US"/>
        </w:rPr>
        <w:t>Kamjunke</w:t>
      </w:r>
      <w:proofErr w:type="spellEnd"/>
      <w:r w:rsidRPr="00346B75">
        <w:rPr>
          <w:lang w:val="en-US"/>
        </w:rPr>
        <w:t xml:space="preserve">, N. (2018). “Going with the flow: Planktonic processing of dissolved organic carbon in streams.” </w:t>
      </w:r>
      <w:r w:rsidRPr="00346B75">
        <w:rPr>
          <w:i/>
          <w:lang w:val="en-US"/>
        </w:rPr>
        <w:t>Science of The Total Environment</w:t>
      </w:r>
      <w:r w:rsidRPr="00346B75">
        <w:rPr>
          <w:lang w:val="en-US"/>
        </w:rPr>
        <w:t xml:space="preserve"> </w:t>
      </w:r>
      <w:r w:rsidRPr="00346B75">
        <w:rPr>
          <w:b/>
          <w:lang w:val="en-US"/>
        </w:rPr>
        <w:t>625</w:t>
      </w:r>
      <w:r w:rsidRPr="00346B75">
        <w:rPr>
          <w:lang w:val="en-US"/>
        </w:rPr>
        <w:t>, 519–530.</w:t>
      </w:r>
    </w:p>
    <w:p w14:paraId="29AD93AC" w14:textId="77777777" w:rsidR="00530E59" w:rsidRPr="003F2FD1" w:rsidRDefault="00530E59" w:rsidP="00530E59">
      <w:pPr>
        <w:rPr>
          <w:lang w:val="en-US"/>
        </w:rPr>
      </w:pPr>
      <w:r w:rsidRPr="00D813A6">
        <w:rPr>
          <w:lang w:val="en-US"/>
        </w:rPr>
        <w:t xml:space="preserve">Grill, G., Lehner, B., </w:t>
      </w:r>
      <w:proofErr w:type="spellStart"/>
      <w:r w:rsidRPr="00D813A6">
        <w:rPr>
          <w:lang w:val="en-US"/>
        </w:rPr>
        <w:t>Thieme</w:t>
      </w:r>
      <w:proofErr w:type="spellEnd"/>
      <w:r w:rsidRPr="00D813A6">
        <w:rPr>
          <w:lang w:val="en-US"/>
        </w:rPr>
        <w:t xml:space="preserve">, M., </w:t>
      </w:r>
      <w:proofErr w:type="spellStart"/>
      <w:r w:rsidRPr="00D813A6">
        <w:rPr>
          <w:lang w:val="en-US"/>
        </w:rPr>
        <w:t>Geenen</w:t>
      </w:r>
      <w:proofErr w:type="spellEnd"/>
      <w:r w:rsidRPr="00D813A6">
        <w:rPr>
          <w:lang w:val="en-US"/>
        </w:rPr>
        <w:t xml:space="preserve">, B., Tickner, D., Antonelli, F., Babu, S., Borrelli, P., Cheng, L., </w:t>
      </w:r>
      <w:proofErr w:type="spellStart"/>
      <w:r w:rsidRPr="00D813A6">
        <w:rPr>
          <w:lang w:val="en-US"/>
        </w:rPr>
        <w:t>Crochetiere</w:t>
      </w:r>
      <w:proofErr w:type="spellEnd"/>
      <w:r w:rsidRPr="00D813A6">
        <w:rPr>
          <w:lang w:val="en-US"/>
        </w:rPr>
        <w:t xml:space="preserve">, H., </w:t>
      </w:r>
      <w:proofErr w:type="spellStart"/>
      <w:r w:rsidRPr="00D813A6">
        <w:rPr>
          <w:lang w:val="en-US"/>
        </w:rPr>
        <w:t>Ehalt</w:t>
      </w:r>
      <w:proofErr w:type="spellEnd"/>
      <w:r w:rsidRPr="00D813A6">
        <w:rPr>
          <w:lang w:val="en-US"/>
        </w:rPr>
        <w:t xml:space="preserve"> Macedo, H., </w:t>
      </w:r>
      <w:proofErr w:type="spellStart"/>
      <w:r w:rsidRPr="00D813A6">
        <w:rPr>
          <w:lang w:val="en-US"/>
        </w:rPr>
        <w:t>Filgueiras</w:t>
      </w:r>
      <w:proofErr w:type="spellEnd"/>
      <w:r w:rsidRPr="00D813A6">
        <w:rPr>
          <w:lang w:val="en-US"/>
        </w:rPr>
        <w:t xml:space="preserve">, R., </w:t>
      </w:r>
      <w:proofErr w:type="spellStart"/>
      <w:r w:rsidRPr="00D813A6">
        <w:rPr>
          <w:lang w:val="en-US"/>
        </w:rPr>
        <w:t>Goichot</w:t>
      </w:r>
      <w:proofErr w:type="spellEnd"/>
      <w:r w:rsidRPr="00D813A6">
        <w:rPr>
          <w:lang w:val="en-US"/>
        </w:rPr>
        <w:t xml:space="preserve">, M., Higgins, J., Hogan, Z., Lip, B., McClain, M. E., Meng, J., Mulligan, M., Nilsson, C., Olden, J. D., Opperman, J. J., Petry, P., </w:t>
      </w:r>
      <w:proofErr w:type="spellStart"/>
      <w:r w:rsidRPr="00D813A6">
        <w:rPr>
          <w:lang w:val="en-US"/>
        </w:rPr>
        <w:t>Liermann</w:t>
      </w:r>
      <w:proofErr w:type="spellEnd"/>
      <w:r w:rsidRPr="00D813A6">
        <w:rPr>
          <w:lang w:val="en-US"/>
        </w:rPr>
        <w:t xml:space="preserve">, C. R., </w:t>
      </w:r>
      <w:proofErr w:type="spellStart"/>
      <w:r w:rsidRPr="00D813A6">
        <w:rPr>
          <w:lang w:val="en-US"/>
        </w:rPr>
        <w:t>Sa´enz</w:t>
      </w:r>
      <w:proofErr w:type="spellEnd"/>
      <w:r w:rsidRPr="00D813A6">
        <w:rPr>
          <w:lang w:val="en-US"/>
        </w:rPr>
        <w:t>, L., Salinas-</w:t>
      </w:r>
      <w:proofErr w:type="spellStart"/>
      <w:r w:rsidRPr="00D813A6">
        <w:rPr>
          <w:lang w:val="en-US"/>
        </w:rPr>
        <w:t>Rodrı´guez</w:t>
      </w:r>
      <w:proofErr w:type="spellEnd"/>
      <w:r w:rsidRPr="00D813A6">
        <w:rPr>
          <w:lang w:val="en-US"/>
        </w:rPr>
        <w:t xml:space="preserve">, S., </w:t>
      </w:r>
      <w:proofErr w:type="spellStart"/>
      <w:r w:rsidRPr="00D813A6">
        <w:rPr>
          <w:lang w:val="en-US"/>
        </w:rPr>
        <w:t>Schelle</w:t>
      </w:r>
      <w:proofErr w:type="spellEnd"/>
      <w:r w:rsidRPr="00D813A6">
        <w:rPr>
          <w:lang w:val="en-US"/>
        </w:rPr>
        <w:t xml:space="preserve">, P., Schmitt, R. J. P., Snider, J., Tan, </w:t>
      </w:r>
      <w:r w:rsidRPr="003F2FD1">
        <w:rPr>
          <w:lang w:val="en-US"/>
        </w:rPr>
        <w:t xml:space="preserve">F., </w:t>
      </w:r>
      <w:proofErr w:type="spellStart"/>
      <w:r w:rsidRPr="003F2FD1">
        <w:rPr>
          <w:lang w:val="en-US"/>
        </w:rPr>
        <w:t>Tockner</w:t>
      </w:r>
      <w:proofErr w:type="spellEnd"/>
      <w:r w:rsidRPr="003F2FD1">
        <w:rPr>
          <w:lang w:val="en-US"/>
        </w:rPr>
        <w:t xml:space="preserve">, K., </w:t>
      </w:r>
      <w:proofErr w:type="spellStart"/>
      <w:r w:rsidRPr="003F2FD1">
        <w:rPr>
          <w:lang w:val="en-US"/>
        </w:rPr>
        <w:t>Valdujo</w:t>
      </w:r>
      <w:proofErr w:type="spellEnd"/>
      <w:r w:rsidRPr="003F2FD1">
        <w:rPr>
          <w:lang w:val="en-US"/>
        </w:rPr>
        <w:t xml:space="preserve">, P. H., van </w:t>
      </w:r>
      <w:proofErr w:type="spellStart"/>
      <w:r w:rsidRPr="003F2FD1">
        <w:rPr>
          <w:lang w:val="en-US"/>
        </w:rPr>
        <w:t>Soesbergen</w:t>
      </w:r>
      <w:proofErr w:type="spellEnd"/>
      <w:r w:rsidRPr="003F2FD1">
        <w:rPr>
          <w:lang w:val="en-US"/>
        </w:rPr>
        <w:t xml:space="preserve">, A. and </w:t>
      </w:r>
      <w:proofErr w:type="spellStart"/>
      <w:r w:rsidRPr="003F2FD1">
        <w:rPr>
          <w:lang w:val="en-US"/>
        </w:rPr>
        <w:t>Zarfl</w:t>
      </w:r>
      <w:proofErr w:type="spellEnd"/>
      <w:r w:rsidRPr="003F2FD1">
        <w:rPr>
          <w:lang w:val="en-US"/>
        </w:rPr>
        <w:t xml:space="preserve">, S. C. (2019). Mapping the world’s </w:t>
      </w:r>
      <w:proofErr w:type="spellStart"/>
      <w:r w:rsidRPr="003F2FD1">
        <w:rPr>
          <w:lang w:val="en-US"/>
        </w:rPr>
        <w:t>freeflowing</w:t>
      </w:r>
      <w:proofErr w:type="spellEnd"/>
      <w:r w:rsidRPr="003F2FD1">
        <w:rPr>
          <w:lang w:val="en-US"/>
        </w:rPr>
        <w:t xml:space="preserve"> rivers. </w:t>
      </w:r>
      <w:r w:rsidRPr="003F2FD1">
        <w:rPr>
          <w:i/>
          <w:iCs/>
          <w:lang w:val="en-US"/>
        </w:rPr>
        <w:t>Nature</w:t>
      </w:r>
      <w:r w:rsidRPr="003F2FD1">
        <w:rPr>
          <w:lang w:val="en-US"/>
        </w:rPr>
        <w:t xml:space="preserve"> </w:t>
      </w:r>
      <w:r w:rsidRPr="003F2FD1">
        <w:rPr>
          <w:b/>
          <w:bCs/>
          <w:lang w:val="en-US"/>
        </w:rPr>
        <w:t>569</w:t>
      </w:r>
      <w:r w:rsidRPr="003F2FD1">
        <w:rPr>
          <w:lang w:val="en-US"/>
        </w:rPr>
        <w:t>, 215–221.</w:t>
      </w:r>
    </w:p>
    <w:p w14:paraId="0306ECF4" w14:textId="77777777" w:rsidR="00530E59" w:rsidRPr="00127E7F" w:rsidRDefault="00530E59" w:rsidP="00530E59">
      <w:pPr>
        <w:rPr>
          <w:lang w:val="en-US"/>
        </w:rPr>
      </w:pPr>
      <w:r w:rsidRPr="003F2FD1">
        <w:rPr>
          <w:lang w:val="en-US"/>
        </w:rPr>
        <w:t xml:space="preserve">Grime, J.P. (1979). Plant </w:t>
      </w:r>
      <w:r w:rsidRPr="00127E7F">
        <w:rPr>
          <w:lang w:val="en-US"/>
        </w:rPr>
        <w:t>Strategies and Vegetation Processes, John Wiley and Sons Ltd, Chichester.</w:t>
      </w:r>
    </w:p>
    <w:p w14:paraId="3BBCFA59" w14:textId="77777777" w:rsidR="00530E59" w:rsidRPr="00127E7F" w:rsidRDefault="00530E59" w:rsidP="00530E59">
      <w:pPr>
        <w:rPr>
          <w:lang w:val="en-US"/>
        </w:rPr>
      </w:pPr>
      <w:proofErr w:type="spellStart"/>
      <w:r w:rsidRPr="00127E7F">
        <w:rPr>
          <w:lang w:val="en-US"/>
        </w:rPr>
        <w:t>Grossnickle</w:t>
      </w:r>
      <w:proofErr w:type="spellEnd"/>
      <w:r>
        <w:rPr>
          <w:lang w:val="en-US"/>
        </w:rPr>
        <w:t>,</w:t>
      </w:r>
      <w:r w:rsidRPr="00127E7F">
        <w:rPr>
          <w:lang w:val="en-US"/>
        </w:rPr>
        <w:t xml:space="preserve"> N</w:t>
      </w:r>
      <w:r>
        <w:rPr>
          <w:lang w:val="en-US"/>
        </w:rPr>
        <w:t>.</w:t>
      </w:r>
      <w:r w:rsidRPr="00127E7F">
        <w:rPr>
          <w:lang w:val="en-US"/>
        </w:rPr>
        <w:t xml:space="preserve"> (2001)</w:t>
      </w:r>
      <w:r>
        <w:rPr>
          <w:lang w:val="en-US"/>
        </w:rPr>
        <w:t>.</w:t>
      </w:r>
      <w:r w:rsidRPr="00127E7F">
        <w:rPr>
          <w:lang w:val="en-US"/>
        </w:rPr>
        <w:t xml:space="preserve"> Predation and herbivory in the opossum shrimp, </w:t>
      </w:r>
      <w:r w:rsidRPr="00B61F40">
        <w:rPr>
          <w:i/>
          <w:iCs/>
          <w:lang w:val="en-US"/>
        </w:rPr>
        <w:t xml:space="preserve">Mysis </w:t>
      </w:r>
      <w:proofErr w:type="spellStart"/>
      <w:r w:rsidRPr="00B61F40">
        <w:rPr>
          <w:i/>
          <w:iCs/>
          <w:lang w:val="en-US"/>
        </w:rPr>
        <w:t>relicta</w:t>
      </w:r>
      <w:proofErr w:type="spellEnd"/>
      <w:r w:rsidRPr="00127E7F">
        <w:rPr>
          <w:lang w:val="en-US"/>
        </w:rPr>
        <w:t xml:space="preserve"> </w:t>
      </w:r>
      <w:proofErr w:type="spellStart"/>
      <w:r w:rsidRPr="00127E7F">
        <w:rPr>
          <w:lang w:val="en-US"/>
        </w:rPr>
        <w:t>Loven</w:t>
      </w:r>
      <w:proofErr w:type="spellEnd"/>
      <w:r w:rsidRPr="00127E7F">
        <w:rPr>
          <w:lang w:val="en-US"/>
        </w:rPr>
        <w:t xml:space="preserve"> (Crustacea: </w:t>
      </w:r>
      <w:proofErr w:type="spellStart"/>
      <w:r w:rsidRPr="00127E7F">
        <w:rPr>
          <w:lang w:val="en-US"/>
        </w:rPr>
        <w:t>Mysidacea</w:t>
      </w:r>
      <w:proofErr w:type="spellEnd"/>
      <w:r w:rsidRPr="00127E7F">
        <w:rPr>
          <w:lang w:val="en-US"/>
        </w:rPr>
        <w:t xml:space="preserve">). </w:t>
      </w:r>
      <w:proofErr w:type="spellStart"/>
      <w:r w:rsidRPr="00127E7F">
        <w:rPr>
          <w:lang w:val="en-US"/>
        </w:rPr>
        <w:t>Internationale</w:t>
      </w:r>
      <w:proofErr w:type="spellEnd"/>
      <w:r w:rsidRPr="00127E7F">
        <w:rPr>
          <w:lang w:val="en-US"/>
        </w:rPr>
        <w:t xml:space="preserve"> </w:t>
      </w:r>
      <w:proofErr w:type="spellStart"/>
      <w:r w:rsidRPr="00127E7F">
        <w:rPr>
          <w:lang w:val="en-US"/>
        </w:rPr>
        <w:t>Vereinigung</w:t>
      </w:r>
      <w:proofErr w:type="spellEnd"/>
      <w:r w:rsidRPr="00127E7F">
        <w:rPr>
          <w:lang w:val="en-US"/>
        </w:rPr>
        <w:t xml:space="preserve"> </w:t>
      </w:r>
      <w:proofErr w:type="spellStart"/>
      <w:r w:rsidRPr="00127E7F">
        <w:rPr>
          <w:lang w:val="en-US"/>
        </w:rPr>
        <w:t>für</w:t>
      </w:r>
      <w:proofErr w:type="spellEnd"/>
      <w:r w:rsidRPr="00127E7F">
        <w:rPr>
          <w:lang w:val="en-US"/>
        </w:rPr>
        <w:t xml:space="preserve"> </w:t>
      </w:r>
      <w:proofErr w:type="spellStart"/>
      <w:r w:rsidRPr="00127E7F">
        <w:rPr>
          <w:lang w:val="en-US"/>
        </w:rPr>
        <w:t>theoretische</w:t>
      </w:r>
      <w:proofErr w:type="spellEnd"/>
      <w:r w:rsidRPr="00127E7F">
        <w:rPr>
          <w:lang w:val="en-US"/>
        </w:rPr>
        <w:t xml:space="preserve"> und </w:t>
      </w:r>
      <w:proofErr w:type="spellStart"/>
      <w:r w:rsidRPr="00127E7F">
        <w:rPr>
          <w:lang w:val="en-US"/>
        </w:rPr>
        <w:t>angewandte</w:t>
      </w:r>
      <w:proofErr w:type="spellEnd"/>
      <w:r w:rsidRPr="00127E7F">
        <w:rPr>
          <w:lang w:val="en-US"/>
        </w:rPr>
        <w:t xml:space="preserve"> </w:t>
      </w:r>
      <w:proofErr w:type="spellStart"/>
      <w:r w:rsidRPr="00771B14">
        <w:rPr>
          <w:i/>
          <w:iCs/>
          <w:lang w:val="en-US"/>
        </w:rPr>
        <w:t>Limnologie</w:t>
      </w:r>
      <w:proofErr w:type="spellEnd"/>
      <w:r w:rsidRPr="00771B14">
        <w:rPr>
          <w:i/>
          <w:iCs/>
          <w:lang w:val="en-US"/>
        </w:rPr>
        <w:t xml:space="preserve">: </w:t>
      </w:r>
      <w:proofErr w:type="spellStart"/>
      <w:r w:rsidRPr="00771B14">
        <w:rPr>
          <w:i/>
          <w:iCs/>
          <w:lang w:val="en-US"/>
        </w:rPr>
        <w:t>Verhandlungen</w:t>
      </w:r>
      <w:proofErr w:type="spellEnd"/>
      <w:r w:rsidRPr="00127E7F">
        <w:rPr>
          <w:lang w:val="en-US"/>
        </w:rPr>
        <w:t xml:space="preserve"> </w:t>
      </w:r>
      <w:r w:rsidRPr="00771B14">
        <w:rPr>
          <w:b/>
          <w:bCs/>
          <w:lang w:val="en-US"/>
        </w:rPr>
        <w:t>27</w:t>
      </w:r>
      <w:r>
        <w:rPr>
          <w:lang w:val="en-US"/>
        </w:rPr>
        <w:t xml:space="preserve">, </w:t>
      </w:r>
      <w:r w:rsidRPr="00127E7F">
        <w:rPr>
          <w:lang w:val="en-US"/>
        </w:rPr>
        <w:t>3694</w:t>
      </w:r>
      <w:r>
        <w:rPr>
          <w:lang w:val="en-US"/>
        </w:rPr>
        <w:t>–</w:t>
      </w:r>
      <w:r w:rsidRPr="00127E7F">
        <w:rPr>
          <w:lang w:val="en-US"/>
        </w:rPr>
        <w:t>3700.</w:t>
      </w:r>
    </w:p>
    <w:p w14:paraId="5BDCFA88" w14:textId="77777777" w:rsidR="00530E59" w:rsidRPr="00127E7F" w:rsidRDefault="00530E59" w:rsidP="00530E59">
      <w:pPr>
        <w:rPr>
          <w:lang w:val="en-US"/>
        </w:rPr>
      </w:pPr>
      <w:r w:rsidRPr="00127E7F">
        <w:rPr>
          <w:lang w:val="en-US"/>
        </w:rPr>
        <w:t>Gutierrez</w:t>
      </w:r>
      <w:r>
        <w:rPr>
          <w:lang w:val="en-US"/>
        </w:rPr>
        <w:t>,</w:t>
      </w:r>
      <w:r w:rsidRPr="00127E7F">
        <w:rPr>
          <w:lang w:val="en-US"/>
        </w:rPr>
        <w:t xml:space="preserve"> M</w:t>
      </w:r>
      <w:r>
        <w:rPr>
          <w:lang w:val="en-US"/>
        </w:rPr>
        <w:t>.</w:t>
      </w:r>
      <w:r w:rsidRPr="00127E7F">
        <w:rPr>
          <w:lang w:val="en-US"/>
        </w:rPr>
        <w:t>F</w:t>
      </w:r>
      <w:r>
        <w:rPr>
          <w:lang w:val="en-US"/>
        </w:rPr>
        <w:t>.</w:t>
      </w:r>
      <w:r w:rsidRPr="00127E7F">
        <w:rPr>
          <w:lang w:val="en-US"/>
        </w:rPr>
        <w:t xml:space="preserve">, </w:t>
      </w:r>
      <w:proofErr w:type="spellStart"/>
      <w:r w:rsidRPr="00127E7F">
        <w:rPr>
          <w:lang w:val="en-US"/>
        </w:rPr>
        <w:t>Tavşanoğlu</w:t>
      </w:r>
      <w:proofErr w:type="spellEnd"/>
      <w:r>
        <w:rPr>
          <w:lang w:val="en-US"/>
        </w:rPr>
        <w:t>,</w:t>
      </w:r>
      <w:r w:rsidRPr="00127E7F">
        <w:rPr>
          <w:lang w:val="en-US"/>
        </w:rPr>
        <w:t xml:space="preserve"> Ü</w:t>
      </w:r>
      <w:r>
        <w:rPr>
          <w:lang w:val="en-US"/>
        </w:rPr>
        <w:t>.</w:t>
      </w:r>
      <w:r w:rsidRPr="00127E7F">
        <w:rPr>
          <w:lang w:val="en-US"/>
        </w:rPr>
        <w:t>N</w:t>
      </w:r>
      <w:r>
        <w:rPr>
          <w:lang w:val="en-US"/>
        </w:rPr>
        <w:t>.</w:t>
      </w:r>
      <w:r w:rsidRPr="00127E7F">
        <w:rPr>
          <w:lang w:val="en-US"/>
        </w:rPr>
        <w:t>, Vidal</w:t>
      </w:r>
      <w:r>
        <w:rPr>
          <w:lang w:val="en-US"/>
        </w:rPr>
        <w:t>,</w:t>
      </w:r>
      <w:r w:rsidRPr="00127E7F">
        <w:rPr>
          <w:lang w:val="en-US"/>
        </w:rPr>
        <w:t xml:space="preserve"> N</w:t>
      </w:r>
      <w:r>
        <w:rPr>
          <w:lang w:val="en-US"/>
        </w:rPr>
        <w:t>.,</w:t>
      </w:r>
      <w:r w:rsidRPr="00127E7F">
        <w:rPr>
          <w:lang w:val="en-US"/>
        </w:rPr>
        <w:t xml:space="preserve"> </w:t>
      </w:r>
      <w:r w:rsidRPr="00771B14">
        <w:rPr>
          <w:lang w:val="en-US"/>
        </w:rPr>
        <w:t>Yu,</w:t>
      </w:r>
      <w:r>
        <w:rPr>
          <w:lang w:val="en-US"/>
        </w:rPr>
        <w:t xml:space="preserve"> J.,</w:t>
      </w:r>
      <w:r w:rsidRPr="00771B14">
        <w:rPr>
          <w:lang w:val="en-US"/>
        </w:rPr>
        <w:t xml:space="preserve"> Teixeira-de Mello,</w:t>
      </w:r>
      <w:r>
        <w:rPr>
          <w:lang w:val="en-US"/>
        </w:rPr>
        <w:t xml:space="preserve"> F.,</w:t>
      </w:r>
      <w:r w:rsidRPr="00771B14">
        <w:rPr>
          <w:lang w:val="en-US"/>
        </w:rPr>
        <w:t xml:space="preserve"> </w:t>
      </w:r>
      <w:proofErr w:type="spellStart"/>
      <w:r w:rsidRPr="00771B14">
        <w:rPr>
          <w:lang w:val="en-US"/>
        </w:rPr>
        <w:t>Çakiroglu</w:t>
      </w:r>
      <w:proofErr w:type="spellEnd"/>
      <w:r w:rsidRPr="00771B14">
        <w:rPr>
          <w:lang w:val="en-US"/>
        </w:rPr>
        <w:t>,</w:t>
      </w:r>
      <w:r>
        <w:rPr>
          <w:lang w:val="en-US"/>
        </w:rPr>
        <w:t xml:space="preserve"> A.I.,</w:t>
      </w:r>
      <w:r w:rsidRPr="00771B14">
        <w:rPr>
          <w:lang w:val="en-US"/>
        </w:rPr>
        <w:t xml:space="preserve"> He,</w:t>
      </w:r>
      <w:r>
        <w:rPr>
          <w:lang w:val="en-US"/>
        </w:rPr>
        <w:t xml:space="preserve"> H.,</w:t>
      </w:r>
      <w:r w:rsidRPr="00771B14">
        <w:rPr>
          <w:lang w:val="en-US"/>
        </w:rPr>
        <w:t xml:space="preserve"> Liu,</w:t>
      </w:r>
      <w:r>
        <w:rPr>
          <w:lang w:val="en-US"/>
        </w:rPr>
        <w:t xml:space="preserve"> Z.,</w:t>
      </w:r>
      <w:r w:rsidRPr="00771B14">
        <w:rPr>
          <w:lang w:val="en-US"/>
        </w:rPr>
        <w:t xml:space="preserve"> Jeppesen</w:t>
      </w:r>
      <w:r>
        <w:rPr>
          <w:lang w:val="en-US"/>
        </w:rPr>
        <w:t>, E.</w:t>
      </w:r>
      <w:r w:rsidRPr="00127E7F">
        <w:rPr>
          <w:lang w:val="en-US"/>
        </w:rPr>
        <w:t xml:space="preserve"> (2018) Salinity shapes zooplankton communities and functional diversity and has complex effects on size structure in lakes. </w:t>
      </w:r>
      <w:proofErr w:type="spellStart"/>
      <w:r w:rsidRPr="00771B14">
        <w:rPr>
          <w:i/>
          <w:iCs/>
          <w:lang w:val="en-US"/>
        </w:rPr>
        <w:t>Hydrobiologia</w:t>
      </w:r>
      <w:proofErr w:type="spellEnd"/>
      <w:r w:rsidRPr="00127E7F">
        <w:rPr>
          <w:lang w:val="en-US"/>
        </w:rPr>
        <w:t xml:space="preserve"> </w:t>
      </w:r>
      <w:r w:rsidRPr="00771B14">
        <w:rPr>
          <w:b/>
          <w:bCs/>
          <w:lang w:val="en-US"/>
        </w:rPr>
        <w:t>813</w:t>
      </w:r>
      <w:r>
        <w:rPr>
          <w:lang w:val="en-US"/>
        </w:rPr>
        <w:t xml:space="preserve">, </w:t>
      </w:r>
      <w:r w:rsidRPr="00127E7F">
        <w:rPr>
          <w:lang w:val="en-US"/>
        </w:rPr>
        <w:t>237</w:t>
      </w:r>
      <w:r>
        <w:rPr>
          <w:lang w:val="en-US"/>
        </w:rPr>
        <w:t>–</w:t>
      </w:r>
      <w:r w:rsidRPr="00127E7F">
        <w:rPr>
          <w:lang w:val="en-US"/>
        </w:rPr>
        <w:t>255.</w:t>
      </w:r>
    </w:p>
    <w:p w14:paraId="478407DA" w14:textId="77777777" w:rsidR="00530E59" w:rsidRPr="0059173F" w:rsidRDefault="00530E59" w:rsidP="00530E59">
      <w:pPr>
        <w:rPr>
          <w:lang w:val="en-US"/>
        </w:rPr>
      </w:pPr>
      <w:r w:rsidRPr="0059173F">
        <w:rPr>
          <w:lang w:val="en-US"/>
        </w:rPr>
        <w:t xml:space="preserve">Hale, J., Stoffels, R., Butcher, R., Shackleton, M., Brooks, S. and </w:t>
      </w:r>
      <w:proofErr w:type="spellStart"/>
      <w:r w:rsidRPr="0059173F">
        <w:rPr>
          <w:lang w:val="en-US"/>
        </w:rPr>
        <w:t>Gawne</w:t>
      </w:r>
      <w:proofErr w:type="spellEnd"/>
      <w:r w:rsidRPr="0059173F">
        <w:rPr>
          <w:lang w:val="en-US"/>
        </w:rPr>
        <w:t>, B. (2014). Commonwealth Environmental Water Office Long Term Intervention Monitoring Project – Standard Methods. Final Report prepared for the Commonwealth Environmental Water Office by The Murray-Darling Freshwater Research Centre. Murray-Darling Freshwater Research Centre, MDFRC Publication 29.2/2014.</w:t>
      </w:r>
    </w:p>
    <w:p w14:paraId="2F2E04DF" w14:textId="77777777" w:rsidR="00530E59" w:rsidRPr="00127E7F" w:rsidRDefault="00530E59" w:rsidP="00530E59">
      <w:r w:rsidRPr="00127E7F">
        <w:t>Haskell</w:t>
      </w:r>
      <w:r>
        <w:t>,</w:t>
      </w:r>
      <w:r w:rsidRPr="00127E7F">
        <w:t xml:space="preserve"> C</w:t>
      </w:r>
      <w:r>
        <w:t>.</w:t>
      </w:r>
      <w:r w:rsidRPr="00127E7F">
        <w:t>A</w:t>
      </w:r>
      <w:r>
        <w:t>. and</w:t>
      </w:r>
      <w:r w:rsidRPr="00127E7F">
        <w:t xml:space="preserve"> Stanford</w:t>
      </w:r>
      <w:r>
        <w:t>,</w:t>
      </w:r>
      <w:r w:rsidRPr="00127E7F">
        <w:t xml:space="preserve"> J</w:t>
      </w:r>
      <w:r>
        <w:t>.</w:t>
      </w:r>
      <w:r w:rsidRPr="00127E7F">
        <w:t>A</w:t>
      </w:r>
      <w:r>
        <w:t>.</w:t>
      </w:r>
      <w:r w:rsidRPr="00127E7F">
        <w:t xml:space="preserve"> (2006)</w:t>
      </w:r>
      <w:r>
        <w:t>.</w:t>
      </w:r>
      <w:r w:rsidRPr="00127E7F">
        <w:t xml:space="preserve"> Ecology of an estuarine mysid shrimp in the Columbia River (USA). </w:t>
      </w:r>
      <w:r w:rsidRPr="00771B14">
        <w:rPr>
          <w:i/>
          <w:iCs/>
        </w:rPr>
        <w:t>River Research and Applications</w:t>
      </w:r>
      <w:r w:rsidRPr="00127E7F">
        <w:t xml:space="preserve"> </w:t>
      </w:r>
      <w:r w:rsidRPr="00771B14">
        <w:rPr>
          <w:b/>
          <w:bCs/>
        </w:rPr>
        <w:t>22</w:t>
      </w:r>
      <w:r>
        <w:t xml:space="preserve">, </w:t>
      </w:r>
      <w:r w:rsidRPr="00127E7F">
        <w:t>739</w:t>
      </w:r>
      <w:r>
        <w:t>–</w:t>
      </w:r>
      <w:r w:rsidRPr="00127E7F">
        <w:t>753.</w:t>
      </w:r>
    </w:p>
    <w:p w14:paraId="137DAE37" w14:textId="0AC6F082" w:rsidR="00530E59" w:rsidRDefault="00530E59" w:rsidP="00530E59">
      <w:proofErr w:type="spellStart"/>
      <w:r w:rsidRPr="00346B75">
        <w:t>Herczeg</w:t>
      </w:r>
      <w:proofErr w:type="spellEnd"/>
      <w:r w:rsidRPr="00346B75">
        <w:t xml:space="preserve">, A.L., </w:t>
      </w:r>
      <w:proofErr w:type="spellStart"/>
      <w:r w:rsidRPr="00346B75">
        <w:t>Dogramaci</w:t>
      </w:r>
      <w:proofErr w:type="spellEnd"/>
      <w:r w:rsidRPr="00346B75">
        <w:t xml:space="preserve">, S.S. and </w:t>
      </w:r>
      <w:proofErr w:type="spellStart"/>
      <w:r w:rsidRPr="00346B75">
        <w:t>Leaney</w:t>
      </w:r>
      <w:proofErr w:type="spellEnd"/>
      <w:r w:rsidRPr="00346B75">
        <w:t xml:space="preserve">, F.W.J. (2001). Origin of dissolved salts in a large, semi-arid groundwater system: Murray Basin, Australia. </w:t>
      </w:r>
      <w:r w:rsidRPr="00346B75">
        <w:rPr>
          <w:i/>
        </w:rPr>
        <w:t xml:space="preserve">Marine and </w:t>
      </w:r>
      <w:r w:rsidR="00DB4B43">
        <w:rPr>
          <w:i/>
        </w:rPr>
        <w:t>F</w:t>
      </w:r>
      <w:r w:rsidRPr="00346B75">
        <w:rPr>
          <w:i/>
        </w:rPr>
        <w:t>reshwater Research</w:t>
      </w:r>
      <w:r w:rsidRPr="00346B75">
        <w:t xml:space="preserve"> </w:t>
      </w:r>
      <w:r w:rsidRPr="00346B75">
        <w:rPr>
          <w:b/>
        </w:rPr>
        <w:t>52</w:t>
      </w:r>
      <w:r w:rsidRPr="00346B75">
        <w:t>, 41–51.</w:t>
      </w:r>
    </w:p>
    <w:p w14:paraId="5791273B" w14:textId="2D3D5E86" w:rsidR="00530E59" w:rsidRPr="00346B75" w:rsidRDefault="00E7089B" w:rsidP="00530E59">
      <w:r w:rsidRPr="00E7089B">
        <w:t>Hillebrand</w:t>
      </w:r>
      <w:r>
        <w:t>,</w:t>
      </w:r>
      <w:r w:rsidRPr="00E7089B">
        <w:t xml:space="preserve"> H</w:t>
      </w:r>
      <w:r>
        <w:t>.</w:t>
      </w:r>
      <w:r w:rsidRPr="00E7089B">
        <w:t>, Bennett</w:t>
      </w:r>
      <w:r>
        <w:t>,</w:t>
      </w:r>
      <w:r w:rsidRPr="00E7089B">
        <w:t xml:space="preserve"> D</w:t>
      </w:r>
      <w:r>
        <w:t>.</w:t>
      </w:r>
      <w:r w:rsidRPr="00E7089B">
        <w:t>M</w:t>
      </w:r>
      <w:r>
        <w:t>. and</w:t>
      </w:r>
      <w:r w:rsidRPr="00E7089B">
        <w:t xml:space="preserve"> </w:t>
      </w:r>
      <w:proofErr w:type="spellStart"/>
      <w:r w:rsidRPr="00E7089B">
        <w:t>Cadotte</w:t>
      </w:r>
      <w:proofErr w:type="spellEnd"/>
      <w:r>
        <w:t>,</w:t>
      </w:r>
      <w:r w:rsidRPr="00E7089B">
        <w:t xml:space="preserve"> M</w:t>
      </w:r>
      <w:r>
        <w:t>.</w:t>
      </w:r>
      <w:r w:rsidRPr="00E7089B">
        <w:t>W</w:t>
      </w:r>
      <w:r>
        <w:t>.</w:t>
      </w:r>
      <w:r w:rsidRPr="00E7089B">
        <w:t xml:space="preserve"> (2008)</w:t>
      </w:r>
      <w:r>
        <w:t>.</w:t>
      </w:r>
      <w:r w:rsidRPr="00E7089B">
        <w:t xml:space="preserve"> Consequences of dominance: a review of evenness effects on local and regional ecosystem processes. </w:t>
      </w:r>
      <w:r w:rsidRPr="00E7089B">
        <w:rPr>
          <w:i/>
          <w:iCs/>
        </w:rPr>
        <w:t>Ecology</w:t>
      </w:r>
      <w:r w:rsidRPr="00E7089B">
        <w:t xml:space="preserve"> </w:t>
      </w:r>
      <w:r w:rsidRPr="00E7089B">
        <w:rPr>
          <w:b/>
          <w:bCs/>
        </w:rPr>
        <w:t>89</w:t>
      </w:r>
      <w:r>
        <w:t xml:space="preserve">, </w:t>
      </w:r>
      <w:r w:rsidRPr="00E7089B">
        <w:t>1510</w:t>
      </w:r>
      <w:r>
        <w:t>–</w:t>
      </w:r>
      <w:r w:rsidRPr="00E7089B">
        <w:t>1520</w:t>
      </w:r>
      <w:r>
        <w:t>.</w:t>
      </w:r>
    </w:p>
    <w:p w14:paraId="769AE590" w14:textId="77777777" w:rsidR="00530E59" w:rsidRPr="003F6FA6" w:rsidRDefault="00530E59" w:rsidP="00530E59">
      <w:pPr>
        <w:rPr>
          <w:lang w:val="en-US"/>
        </w:rPr>
      </w:pPr>
      <w:r w:rsidRPr="003F6FA6">
        <w:rPr>
          <w:lang w:val="en-US"/>
        </w:rPr>
        <w:t xml:space="preserve">Hocking, P.J. (1983). Features of the growth and mineral nutrition of </w:t>
      </w:r>
      <w:proofErr w:type="spellStart"/>
      <w:r w:rsidRPr="003F6FA6">
        <w:rPr>
          <w:lang w:val="en-US"/>
        </w:rPr>
        <w:t>Noogoora</w:t>
      </w:r>
      <w:proofErr w:type="spellEnd"/>
      <w:r w:rsidRPr="003F6FA6">
        <w:rPr>
          <w:lang w:val="en-US"/>
        </w:rPr>
        <w:t xml:space="preserve"> burr (</w:t>
      </w:r>
      <w:r w:rsidRPr="003F6FA6">
        <w:rPr>
          <w:i/>
          <w:iCs/>
          <w:lang w:val="en-US"/>
        </w:rPr>
        <w:t>Xanthium occidentale</w:t>
      </w:r>
      <w:r w:rsidRPr="003F6FA6">
        <w:rPr>
          <w:lang w:val="en-US"/>
        </w:rPr>
        <w:t xml:space="preserve"> </w:t>
      </w:r>
      <w:proofErr w:type="spellStart"/>
      <w:r w:rsidRPr="003F6FA6">
        <w:rPr>
          <w:lang w:val="en-US"/>
        </w:rPr>
        <w:t>Bertol</w:t>
      </w:r>
      <w:proofErr w:type="spellEnd"/>
      <w:r w:rsidRPr="003F6FA6">
        <w:rPr>
          <w:lang w:val="en-US"/>
        </w:rPr>
        <w:t xml:space="preserve">.), a noxious weed in central New South Wales. </w:t>
      </w:r>
      <w:r w:rsidRPr="003F6FA6">
        <w:rPr>
          <w:i/>
          <w:iCs/>
          <w:lang w:val="en-US"/>
        </w:rPr>
        <w:t>Australian Journal of Agricultural Research</w:t>
      </w:r>
      <w:r w:rsidRPr="003F6FA6">
        <w:rPr>
          <w:lang w:val="en-US"/>
        </w:rPr>
        <w:t xml:space="preserve"> </w:t>
      </w:r>
      <w:r w:rsidRPr="003F6FA6">
        <w:rPr>
          <w:b/>
          <w:bCs/>
          <w:lang w:val="en-US"/>
        </w:rPr>
        <w:t>34</w:t>
      </w:r>
      <w:r w:rsidRPr="003F6FA6">
        <w:rPr>
          <w:lang w:val="en-US"/>
        </w:rPr>
        <w:t>, 155</w:t>
      </w:r>
      <w:r>
        <w:rPr>
          <w:lang w:val="en-US"/>
        </w:rPr>
        <w:t>–</w:t>
      </w:r>
      <w:r w:rsidRPr="003F6FA6">
        <w:rPr>
          <w:lang w:val="en-US"/>
        </w:rPr>
        <w:t>166.</w:t>
      </w:r>
    </w:p>
    <w:p w14:paraId="2F65AB11" w14:textId="77777777" w:rsidR="00530E59" w:rsidRDefault="00530E59" w:rsidP="00530E59">
      <w:pPr>
        <w:rPr>
          <w:lang w:val="en-US"/>
        </w:rPr>
      </w:pPr>
      <w:r w:rsidRPr="00127EA7">
        <w:rPr>
          <w:lang w:val="en-US"/>
        </w:rPr>
        <w:t>Humphries</w:t>
      </w:r>
      <w:r>
        <w:rPr>
          <w:lang w:val="en-US"/>
        </w:rPr>
        <w:t>,</w:t>
      </w:r>
      <w:r w:rsidRPr="00127EA7">
        <w:rPr>
          <w:lang w:val="en-US"/>
        </w:rPr>
        <w:t xml:space="preserve"> P</w:t>
      </w:r>
      <w:r>
        <w:rPr>
          <w:lang w:val="en-US"/>
        </w:rPr>
        <w:t>.</w:t>
      </w:r>
      <w:r w:rsidRPr="00127EA7">
        <w:rPr>
          <w:lang w:val="en-US"/>
        </w:rPr>
        <w:t xml:space="preserve"> (2005)</w:t>
      </w:r>
      <w:r>
        <w:rPr>
          <w:lang w:val="en-US"/>
        </w:rPr>
        <w:t>.</w:t>
      </w:r>
      <w:r w:rsidRPr="00127EA7">
        <w:rPr>
          <w:lang w:val="en-US"/>
        </w:rPr>
        <w:t xml:space="preserve"> Spawning time and early life history of Murray cod, </w:t>
      </w:r>
      <w:proofErr w:type="spellStart"/>
      <w:r w:rsidRPr="00771B14">
        <w:rPr>
          <w:i/>
          <w:iCs/>
          <w:lang w:val="en-US"/>
        </w:rPr>
        <w:t>Maccullochella</w:t>
      </w:r>
      <w:proofErr w:type="spellEnd"/>
      <w:r w:rsidRPr="00771B14">
        <w:rPr>
          <w:i/>
          <w:iCs/>
          <w:lang w:val="en-US"/>
        </w:rPr>
        <w:t xml:space="preserve"> </w:t>
      </w:r>
      <w:proofErr w:type="spellStart"/>
      <w:r w:rsidRPr="00771B14">
        <w:rPr>
          <w:i/>
          <w:iCs/>
          <w:lang w:val="en-US"/>
        </w:rPr>
        <w:t>peelii</w:t>
      </w:r>
      <w:proofErr w:type="spellEnd"/>
      <w:r w:rsidRPr="00127EA7">
        <w:rPr>
          <w:lang w:val="en-US"/>
        </w:rPr>
        <w:t xml:space="preserve"> (Mitchell) in an Australian river. </w:t>
      </w:r>
      <w:r w:rsidRPr="00771B14">
        <w:rPr>
          <w:i/>
          <w:iCs/>
          <w:lang w:val="en-US"/>
        </w:rPr>
        <w:t>Environmental Biology of Fishes</w:t>
      </w:r>
      <w:r w:rsidRPr="00127EA7">
        <w:rPr>
          <w:lang w:val="en-US"/>
        </w:rPr>
        <w:t xml:space="preserve"> </w:t>
      </w:r>
      <w:r w:rsidRPr="00771B14">
        <w:rPr>
          <w:b/>
          <w:bCs/>
          <w:lang w:val="en-US"/>
        </w:rPr>
        <w:t>72</w:t>
      </w:r>
      <w:r>
        <w:rPr>
          <w:lang w:val="en-US"/>
        </w:rPr>
        <w:t xml:space="preserve">, </w:t>
      </w:r>
      <w:r w:rsidRPr="00127EA7">
        <w:rPr>
          <w:lang w:val="en-US"/>
        </w:rPr>
        <w:t>393</w:t>
      </w:r>
      <w:r>
        <w:rPr>
          <w:lang w:val="en-US"/>
        </w:rPr>
        <w:t>–</w:t>
      </w:r>
      <w:r w:rsidRPr="00127EA7">
        <w:rPr>
          <w:lang w:val="en-US"/>
        </w:rPr>
        <w:t>407.</w:t>
      </w:r>
    </w:p>
    <w:p w14:paraId="6A60786D" w14:textId="529FCC1B" w:rsidR="00530E59" w:rsidRPr="0001666B" w:rsidRDefault="00E7089B" w:rsidP="00530E59">
      <w:pPr>
        <w:rPr>
          <w:lang w:val="en-US"/>
        </w:rPr>
      </w:pPr>
      <w:r w:rsidRPr="00E7089B">
        <w:rPr>
          <w:lang w:val="en-US"/>
        </w:rPr>
        <w:t>Hynes</w:t>
      </w:r>
      <w:r>
        <w:rPr>
          <w:lang w:val="en-US"/>
        </w:rPr>
        <w:t>,</w:t>
      </w:r>
      <w:r w:rsidRPr="00E7089B">
        <w:rPr>
          <w:lang w:val="en-US"/>
        </w:rPr>
        <w:t xml:space="preserve"> H</w:t>
      </w:r>
      <w:r>
        <w:rPr>
          <w:lang w:val="en-US"/>
        </w:rPr>
        <w:t>.</w:t>
      </w:r>
      <w:r w:rsidRPr="00E7089B">
        <w:rPr>
          <w:lang w:val="en-US"/>
        </w:rPr>
        <w:t>B</w:t>
      </w:r>
      <w:r>
        <w:rPr>
          <w:lang w:val="en-US"/>
        </w:rPr>
        <w:t>.</w:t>
      </w:r>
      <w:r w:rsidRPr="00E7089B">
        <w:rPr>
          <w:lang w:val="en-US"/>
        </w:rPr>
        <w:t>N</w:t>
      </w:r>
      <w:r>
        <w:rPr>
          <w:lang w:val="en-US"/>
        </w:rPr>
        <w:t>. and</w:t>
      </w:r>
      <w:r w:rsidRPr="00E7089B">
        <w:rPr>
          <w:lang w:val="en-US"/>
        </w:rPr>
        <w:t xml:space="preserve"> Hynes</w:t>
      </w:r>
      <w:r>
        <w:rPr>
          <w:lang w:val="en-US"/>
        </w:rPr>
        <w:t>,</w:t>
      </w:r>
      <w:r w:rsidRPr="00E7089B">
        <w:rPr>
          <w:lang w:val="en-US"/>
        </w:rPr>
        <w:t xml:space="preserve"> H</w:t>
      </w:r>
      <w:r>
        <w:rPr>
          <w:lang w:val="en-US"/>
        </w:rPr>
        <w:t>.</w:t>
      </w:r>
      <w:r w:rsidRPr="00E7089B">
        <w:rPr>
          <w:lang w:val="en-US"/>
        </w:rPr>
        <w:t xml:space="preserve"> (1970)</w:t>
      </w:r>
      <w:r>
        <w:rPr>
          <w:lang w:val="en-US"/>
        </w:rPr>
        <w:t>.</w:t>
      </w:r>
      <w:r w:rsidRPr="00E7089B">
        <w:rPr>
          <w:lang w:val="en-US"/>
        </w:rPr>
        <w:t xml:space="preserve"> </w:t>
      </w:r>
      <w:r w:rsidRPr="0001666B">
        <w:rPr>
          <w:lang w:val="en-US"/>
        </w:rPr>
        <w:t>The ecology of running waters. Liverpool University Press Liverpool.</w:t>
      </w:r>
    </w:p>
    <w:p w14:paraId="11F8D1DB" w14:textId="48D0160A" w:rsidR="00530E59" w:rsidRPr="00B615B4" w:rsidRDefault="00530E59" w:rsidP="0001666B">
      <w:r w:rsidRPr="0001666B">
        <w:t>Ingram</w:t>
      </w:r>
      <w:r w:rsidR="0001666B" w:rsidRPr="0001666B">
        <w:t xml:space="preserve">, B.A., ho, H.H., </w:t>
      </w:r>
      <w:proofErr w:type="spellStart"/>
      <w:r w:rsidR="0001666B" w:rsidRPr="0001666B">
        <w:t>Turchini</w:t>
      </w:r>
      <w:proofErr w:type="spellEnd"/>
      <w:r w:rsidR="0001666B" w:rsidRPr="0001666B">
        <w:t>, G.M. and Holland, M.</w:t>
      </w:r>
      <w:r w:rsidRPr="0001666B">
        <w:t xml:space="preserve"> </w:t>
      </w:r>
      <w:r w:rsidR="0001666B" w:rsidRPr="0001666B">
        <w:t>(</w:t>
      </w:r>
      <w:r w:rsidRPr="0001666B">
        <w:t>2012</w:t>
      </w:r>
      <w:r w:rsidR="0001666B" w:rsidRPr="0001666B">
        <w:t xml:space="preserve">). Gamete quality and spawning in captive Murray cod </w:t>
      </w:r>
      <w:proofErr w:type="spellStart"/>
      <w:r w:rsidR="0001666B" w:rsidRPr="0001666B">
        <w:t>broodstock</w:t>
      </w:r>
      <w:proofErr w:type="spellEnd"/>
      <w:r w:rsidR="0001666B" w:rsidRPr="0001666B">
        <w:t>. Fisheries Victoria Research Report Series No. 58.</w:t>
      </w:r>
    </w:p>
    <w:p w14:paraId="11977363" w14:textId="77777777" w:rsidR="00530E59" w:rsidRPr="00346B75" w:rsidRDefault="00530E59" w:rsidP="00530E59">
      <w:pPr>
        <w:rPr>
          <w:lang w:val="en-US"/>
        </w:rPr>
      </w:pPr>
      <w:r w:rsidRPr="00346B75">
        <w:rPr>
          <w:lang w:val="en-US"/>
        </w:rPr>
        <w:t xml:space="preserve">Jansen, </w:t>
      </w:r>
      <w:proofErr w:type="gramStart"/>
      <w:r w:rsidRPr="00346B75">
        <w:rPr>
          <w:lang w:val="en-US"/>
        </w:rPr>
        <w:t>A.</w:t>
      </w:r>
      <w:proofErr w:type="gramEnd"/>
      <w:r w:rsidRPr="00346B75">
        <w:rPr>
          <w:lang w:val="en-US"/>
        </w:rPr>
        <w:t xml:space="preserve"> and Robertson, A.I. (2001). Riparian bird communities in relation to land management practices in floodplain woodlands of south-eastern Australia. </w:t>
      </w:r>
      <w:r w:rsidRPr="00346B75">
        <w:rPr>
          <w:i/>
          <w:iCs/>
          <w:lang w:val="en-US"/>
        </w:rPr>
        <w:t>Biological Conservation</w:t>
      </w:r>
      <w:r w:rsidRPr="00346B75">
        <w:rPr>
          <w:lang w:val="en-US"/>
        </w:rPr>
        <w:t xml:space="preserve"> </w:t>
      </w:r>
      <w:r w:rsidRPr="00346B75">
        <w:rPr>
          <w:b/>
          <w:bCs/>
          <w:lang w:val="en-US"/>
        </w:rPr>
        <w:t>100</w:t>
      </w:r>
      <w:r w:rsidRPr="00346B75">
        <w:rPr>
          <w:lang w:val="en-US"/>
        </w:rPr>
        <w:t>, 173</w:t>
      </w:r>
      <w:r>
        <w:rPr>
          <w:lang w:val="en-US"/>
        </w:rPr>
        <w:t>–</w:t>
      </w:r>
      <w:r w:rsidRPr="00346B75">
        <w:rPr>
          <w:lang w:val="en-US"/>
        </w:rPr>
        <w:t>185.</w:t>
      </w:r>
    </w:p>
    <w:p w14:paraId="7A32529C" w14:textId="77777777" w:rsidR="00530E59" w:rsidRPr="000F3386" w:rsidRDefault="00530E59" w:rsidP="00530E59">
      <w:r w:rsidRPr="000F3386">
        <w:t xml:space="preserve">Jenkins, K. and Boulton, A. (2003). Connectivity in a dryland river: short-term aquatic </w:t>
      </w:r>
      <w:proofErr w:type="spellStart"/>
      <w:r w:rsidRPr="000F3386">
        <w:t>microinvertebrate</w:t>
      </w:r>
      <w:proofErr w:type="spellEnd"/>
      <w:r w:rsidRPr="000F3386">
        <w:t xml:space="preserve"> recruitment following floodplain inundation. </w:t>
      </w:r>
      <w:r w:rsidRPr="000F3386">
        <w:rPr>
          <w:i/>
        </w:rPr>
        <w:t>Ecology</w:t>
      </w:r>
      <w:r w:rsidRPr="000F3386">
        <w:t xml:space="preserve"> </w:t>
      </w:r>
      <w:r w:rsidRPr="000F3386">
        <w:rPr>
          <w:b/>
        </w:rPr>
        <w:t>84</w:t>
      </w:r>
      <w:r w:rsidRPr="000F3386">
        <w:t>, 2708–2723.</w:t>
      </w:r>
    </w:p>
    <w:p w14:paraId="77982CF8" w14:textId="77777777" w:rsidR="00530E59" w:rsidRPr="002826E4" w:rsidRDefault="00530E59" w:rsidP="00530E59">
      <w:pPr>
        <w:rPr>
          <w:lang w:val="en-US"/>
        </w:rPr>
      </w:pPr>
      <w:r w:rsidRPr="002826E4">
        <w:rPr>
          <w:lang w:val="en-US"/>
        </w:rPr>
        <w:t xml:space="preserve">Jessop, J., </w:t>
      </w:r>
      <w:proofErr w:type="spellStart"/>
      <w:r w:rsidRPr="002826E4">
        <w:rPr>
          <w:lang w:val="en-US"/>
        </w:rPr>
        <w:t>Dashorst</w:t>
      </w:r>
      <w:proofErr w:type="spellEnd"/>
      <w:r w:rsidRPr="002826E4">
        <w:rPr>
          <w:lang w:val="en-US"/>
        </w:rPr>
        <w:t xml:space="preserve">, G.R.M. and James, F.R. (2006). Grasses of South Australia. An illustrated guide to the native and </w:t>
      </w:r>
      <w:proofErr w:type="spellStart"/>
      <w:r w:rsidRPr="002826E4">
        <w:rPr>
          <w:lang w:val="en-US"/>
        </w:rPr>
        <w:t>naturalised</w:t>
      </w:r>
      <w:proofErr w:type="spellEnd"/>
      <w:r w:rsidRPr="002826E4">
        <w:rPr>
          <w:lang w:val="en-US"/>
        </w:rPr>
        <w:t xml:space="preserve"> species, Wakefield Press, Adelaide.</w:t>
      </w:r>
    </w:p>
    <w:p w14:paraId="24022181" w14:textId="77777777" w:rsidR="00530E59" w:rsidRPr="003F2FD1" w:rsidRDefault="00530E59" w:rsidP="00530E59">
      <w:pPr>
        <w:rPr>
          <w:lang w:val="en-US"/>
        </w:rPr>
      </w:pPr>
      <w:r w:rsidRPr="003F2FD1">
        <w:rPr>
          <w:lang w:val="en-US"/>
        </w:rPr>
        <w:t xml:space="preserve">Jessop, J.P. and </w:t>
      </w:r>
      <w:proofErr w:type="spellStart"/>
      <w:r w:rsidRPr="003F2FD1">
        <w:rPr>
          <w:lang w:val="en-US"/>
        </w:rPr>
        <w:t>To</w:t>
      </w:r>
      <w:r>
        <w:rPr>
          <w:lang w:val="en-US"/>
        </w:rPr>
        <w:t>e</w:t>
      </w:r>
      <w:r w:rsidRPr="003F2FD1">
        <w:rPr>
          <w:lang w:val="en-US"/>
        </w:rPr>
        <w:t>lken</w:t>
      </w:r>
      <w:proofErr w:type="spellEnd"/>
      <w:r w:rsidRPr="003F2FD1">
        <w:rPr>
          <w:lang w:val="en-US"/>
        </w:rPr>
        <w:t>, H.R. (1986). The Flora of South Australia, Government of South Australia Printer, Adelaide.</w:t>
      </w:r>
    </w:p>
    <w:p w14:paraId="00CC0BA3" w14:textId="77777777" w:rsidR="00530E59" w:rsidRPr="00346B75" w:rsidRDefault="00530E59" w:rsidP="00530E59">
      <w:r w:rsidRPr="0088031C">
        <w:t xml:space="preserve">Junk, W.J., Bayley, P.B. and Sparks, R.E. (1989). The flood pulse concept in river-floodplain systems. </w:t>
      </w:r>
      <w:r w:rsidRPr="0088031C">
        <w:rPr>
          <w:i/>
        </w:rPr>
        <w:t>Canadian Special Publication of Fisheries a</w:t>
      </w:r>
      <w:r w:rsidRPr="00346B75">
        <w:rPr>
          <w:i/>
        </w:rPr>
        <w:t>nd Aquatic Sciences</w:t>
      </w:r>
      <w:r w:rsidRPr="00346B75">
        <w:t xml:space="preserve"> </w:t>
      </w:r>
      <w:r w:rsidRPr="00346B75">
        <w:rPr>
          <w:b/>
        </w:rPr>
        <w:t>106</w:t>
      </w:r>
      <w:r w:rsidRPr="00346B75">
        <w:t>, 110–127.</w:t>
      </w:r>
    </w:p>
    <w:p w14:paraId="2EE7216A" w14:textId="77777777" w:rsidR="00530E59" w:rsidRPr="00127EA7" w:rsidRDefault="00530E59" w:rsidP="00530E59">
      <w:pPr>
        <w:rPr>
          <w:lang w:val="en-US"/>
        </w:rPr>
      </w:pPr>
      <w:r w:rsidRPr="00346B75">
        <w:rPr>
          <w:lang w:val="en-US"/>
        </w:rPr>
        <w:t xml:space="preserve">Kadlec, R.H. </w:t>
      </w:r>
      <w:r w:rsidRPr="00127EA7">
        <w:rPr>
          <w:lang w:val="en-US"/>
        </w:rPr>
        <w:t>and Wallace, S. (2009). Treatment wetlands, CRC Press.</w:t>
      </w:r>
    </w:p>
    <w:p w14:paraId="73F9B7FF" w14:textId="77777777" w:rsidR="00530E59" w:rsidRPr="00127EA7" w:rsidRDefault="00530E59" w:rsidP="00530E59">
      <w:proofErr w:type="spellStart"/>
      <w:r w:rsidRPr="00127EA7">
        <w:t>Kaminskas</w:t>
      </w:r>
      <w:proofErr w:type="spellEnd"/>
      <w:r w:rsidRPr="00127EA7">
        <w:t>, S. and Humphries, P. (2009). Diet of Murray cod (</w:t>
      </w:r>
      <w:proofErr w:type="spellStart"/>
      <w:r w:rsidRPr="00127EA7">
        <w:rPr>
          <w:i/>
        </w:rPr>
        <w:t>Maccullochella</w:t>
      </w:r>
      <w:proofErr w:type="spellEnd"/>
      <w:r w:rsidRPr="00127EA7">
        <w:rPr>
          <w:i/>
        </w:rPr>
        <w:t xml:space="preserve"> </w:t>
      </w:r>
      <w:proofErr w:type="spellStart"/>
      <w:r w:rsidRPr="00127EA7">
        <w:rPr>
          <w:i/>
        </w:rPr>
        <w:t>peelii</w:t>
      </w:r>
      <w:proofErr w:type="spellEnd"/>
      <w:r w:rsidRPr="00127EA7">
        <w:rPr>
          <w:i/>
        </w:rPr>
        <w:t xml:space="preserve"> </w:t>
      </w:r>
      <w:proofErr w:type="spellStart"/>
      <w:proofErr w:type="gramStart"/>
      <w:r w:rsidRPr="00127EA7">
        <w:rPr>
          <w:i/>
        </w:rPr>
        <w:t>peelii</w:t>
      </w:r>
      <w:proofErr w:type="spellEnd"/>
      <w:r w:rsidRPr="00127EA7">
        <w:t>)(</w:t>
      </w:r>
      <w:proofErr w:type="gramEnd"/>
      <w:r w:rsidRPr="00127EA7">
        <w:t xml:space="preserve">Mitchell) larvae in an Australian lowland river in low flow and high flow years. </w:t>
      </w:r>
      <w:proofErr w:type="spellStart"/>
      <w:r w:rsidRPr="00127EA7">
        <w:rPr>
          <w:i/>
        </w:rPr>
        <w:t>Hydrobiologia</w:t>
      </w:r>
      <w:proofErr w:type="spellEnd"/>
      <w:r w:rsidRPr="00127EA7">
        <w:t xml:space="preserve"> </w:t>
      </w:r>
      <w:r w:rsidRPr="00127EA7">
        <w:rPr>
          <w:b/>
        </w:rPr>
        <w:t>636</w:t>
      </w:r>
      <w:r w:rsidRPr="00127EA7">
        <w:t>, 449</w:t>
      </w:r>
      <w:r>
        <w:t>–461</w:t>
      </w:r>
      <w:r w:rsidRPr="00127EA7">
        <w:t>.</w:t>
      </w:r>
    </w:p>
    <w:p w14:paraId="4E14AAD5" w14:textId="77777777" w:rsidR="00530E59" w:rsidRPr="003F2FD1" w:rsidRDefault="00530E59" w:rsidP="00530E59">
      <w:pPr>
        <w:rPr>
          <w:lang w:val="en-US"/>
        </w:rPr>
      </w:pPr>
      <w:r w:rsidRPr="003F2FD1">
        <w:rPr>
          <w:lang w:val="en-US"/>
        </w:rPr>
        <w:t xml:space="preserve">Kapa, </w:t>
      </w:r>
      <w:proofErr w:type="gramStart"/>
      <w:r w:rsidRPr="003F2FD1">
        <w:rPr>
          <w:lang w:val="en-US"/>
        </w:rPr>
        <w:t>M.M.</w:t>
      </w:r>
      <w:proofErr w:type="gramEnd"/>
      <w:r w:rsidRPr="003F2FD1">
        <w:rPr>
          <w:lang w:val="en-US"/>
        </w:rPr>
        <w:t xml:space="preserve"> and Clarkson, B.D. (2009). Biological flora of New Zealand 11. </w:t>
      </w:r>
      <w:r w:rsidRPr="003F2FD1">
        <w:rPr>
          <w:i/>
          <w:iCs/>
          <w:lang w:val="en-US"/>
        </w:rPr>
        <w:t xml:space="preserve">Eleocharis </w:t>
      </w:r>
      <w:proofErr w:type="spellStart"/>
      <w:r w:rsidRPr="003F2FD1">
        <w:rPr>
          <w:i/>
          <w:iCs/>
          <w:lang w:val="en-US"/>
        </w:rPr>
        <w:t>sphacelata</w:t>
      </w:r>
      <w:proofErr w:type="spellEnd"/>
      <w:r w:rsidRPr="003F2FD1">
        <w:rPr>
          <w:lang w:val="en-US"/>
        </w:rPr>
        <w:t xml:space="preserve">, kuta, paopao, bamboo spike sedge. </w:t>
      </w:r>
      <w:r w:rsidRPr="003F2FD1">
        <w:rPr>
          <w:i/>
          <w:iCs/>
          <w:lang w:val="en-US"/>
        </w:rPr>
        <w:t>New Zealand Journal of Botany</w:t>
      </w:r>
      <w:r w:rsidRPr="003F2FD1">
        <w:rPr>
          <w:lang w:val="en-US"/>
        </w:rPr>
        <w:t xml:space="preserve"> </w:t>
      </w:r>
      <w:r w:rsidRPr="003F2FD1">
        <w:rPr>
          <w:b/>
          <w:bCs/>
          <w:lang w:val="en-US"/>
        </w:rPr>
        <w:t>47</w:t>
      </w:r>
      <w:r w:rsidRPr="003F2FD1">
        <w:rPr>
          <w:lang w:val="en-US"/>
        </w:rPr>
        <w:t>, 43–52.</w:t>
      </w:r>
    </w:p>
    <w:p w14:paraId="09EA92E9" w14:textId="77777777" w:rsidR="00530E59" w:rsidRPr="0093711B" w:rsidRDefault="00530E59" w:rsidP="00530E59">
      <w:r w:rsidRPr="00346B75">
        <w:t xml:space="preserve">Kim, D.H., Aldridge, K.T., Brookes, J.D. and </w:t>
      </w:r>
      <w:proofErr w:type="spellStart"/>
      <w:r w:rsidRPr="00346B75">
        <w:t>Ganf</w:t>
      </w:r>
      <w:proofErr w:type="spellEnd"/>
      <w:r w:rsidRPr="00346B75">
        <w:t xml:space="preserve">, G. (2013). The effect of salinity on the germination of </w:t>
      </w:r>
      <w:proofErr w:type="spellStart"/>
      <w:r w:rsidRPr="00B61F40">
        <w:rPr>
          <w:i/>
          <w:iCs/>
        </w:rPr>
        <w:t>Ruppia</w:t>
      </w:r>
      <w:proofErr w:type="spellEnd"/>
      <w:r w:rsidRPr="00B61F40">
        <w:rPr>
          <w:i/>
          <w:iCs/>
        </w:rPr>
        <w:t xml:space="preserve"> tuberosa</w:t>
      </w:r>
      <w:r w:rsidRPr="00346B75">
        <w:t xml:space="preserve"> and </w:t>
      </w:r>
      <w:proofErr w:type="spellStart"/>
      <w:r w:rsidRPr="00B61F40">
        <w:rPr>
          <w:i/>
          <w:iCs/>
        </w:rPr>
        <w:t>Ruppia</w:t>
      </w:r>
      <w:proofErr w:type="spellEnd"/>
      <w:r w:rsidRPr="00B61F40">
        <w:rPr>
          <w:i/>
          <w:iCs/>
        </w:rPr>
        <w:t xml:space="preserve"> </w:t>
      </w:r>
      <w:proofErr w:type="spellStart"/>
      <w:r w:rsidRPr="00B61F40">
        <w:rPr>
          <w:i/>
          <w:iCs/>
        </w:rPr>
        <w:t>megacarpa</w:t>
      </w:r>
      <w:proofErr w:type="spellEnd"/>
      <w:r w:rsidRPr="00346B75">
        <w:t xml:space="preserve"> and implications for the Coorong: A </w:t>
      </w:r>
      <w:r w:rsidRPr="0093711B">
        <w:t xml:space="preserve">coastal lagoon of southern Australia. </w:t>
      </w:r>
      <w:r w:rsidRPr="00771B14">
        <w:rPr>
          <w:i/>
          <w:iCs/>
        </w:rPr>
        <w:t>Aquatic Botany</w:t>
      </w:r>
      <w:r w:rsidRPr="0093711B">
        <w:t xml:space="preserve"> </w:t>
      </w:r>
      <w:r w:rsidRPr="00771B14">
        <w:rPr>
          <w:b/>
          <w:bCs/>
        </w:rPr>
        <w:t>111</w:t>
      </w:r>
      <w:r w:rsidRPr="0093711B">
        <w:t>, 81–88.</w:t>
      </w:r>
    </w:p>
    <w:p w14:paraId="0712ACD8" w14:textId="77777777" w:rsidR="00530E59" w:rsidRPr="0093711B" w:rsidRDefault="00530E59" w:rsidP="00530E59">
      <w:r w:rsidRPr="0093711B">
        <w:t>King</w:t>
      </w:r>
      <w:r>
        <w:t>,</w:t>
      </w:r>
      <w:r w:rsidRPr="0093711B">
        <w:t xml:space="preserve"> A</w:t>
      </w:r>
      <w:r>
        <w:t>.</w:t>
      </w:r>
      <w:r w:rsidRPr="0093711B">
        <w:t>J</w:t>
      </w:r>
      <w:r>
        <w:t>.</w:t>
      </w:r>
      <w:r w:rsidRPr="0093711B">
        <w:t xml:space="preserve"> (2005)</w:t>
      </w:r>
      <w:r>
        <w:t>.</w:t>
      </w:r>
      <w:r w:rsidRPr="0093711B">
        <w:t xml:space="preserve"> Ontogenetic dietary shifts of fishes in an Australian floodplain river. </w:t>
      </w:r>
      <w:r w:rsidRPr="00771B14">
        <w:rPr>
          <w:i/>
          <w:iCs/>
        </w:rPr>
        <w:t>Marine and Freshwater Research</w:t>
      </w:r>
      <w:r w:rsidRPr="0093711B">
        <w:t xml:space="preserve"> </w:t>
      </w:r>
      <w:r w:rsidRPr="00771B14">
        <w:rPr>
          <w:b/>
          <w:bCs/>
        </w:rPr>
        <w:t>56</w:t>
      </w:r>
      <w:r>
        <w:t xml:space="preserve">, </w:t>
      </w:r>
      <w:r w:rsidRPr="0093711B">
        <w:t>215</w:t>
      </w:r>
      <w:r>
        <w:t>–</w:t>
      </w:r>
      <w:r w:rsidRPr="0093711B">
        <w:t>225.</w:t>
      </w:r>
    </w:p>
    <w:p w14:paraId="115E18F9" w14:textId="1CCC4763" w:rsidR="009511AA" w:rsidRPr="00127EA7" w:rsidRDefault="009511AA" w:rsidP="00530E59">
      <w:r w:rsidRPr="009511AA">
        <w:t>King</w:t>
      </w:r>
      <w:r>
        <w:t>,</w:t>
      </w:r>
      <w:r w:rsidRPr="009511AA">
        <w:t xml:space="preserve"> A.J., McPhan</w:t>
      </w:r>
      <w:r>
        <w:t>,</w:t>
      </w:r>
      <w:r w:rsidRPr="009511AA">
        <w:t xml:space="preserve"> L., Bond</w:t>
      </w:r>
      <w:r>
        <w:t>,</w:t>
      </w:r>
      <w:r w:rsidRPr="009511AA">
        <w:t xml:space="preserve"> N.</w:t>
      </w:r>
      <w:r>
        <w:t xml:space="preserve"> and</w:t>
      </w:r>
      <w:r w:rsidRPr="009511AA">
        <w:t xml:space="preserve"> Thurgate, N. (2020)</w:t>
      </w:r>
      <w:r>
        <w:t>.</w:t>
      </w:r>
      <w:r w:rsidRPr="009511AA">
        <w:t xml:space="preserve"> Murray–Darling Basin Long Term Intervention Monitoring Project — 2018–19 Basin-scale evaluation of Commonwealth environmental water – Fish Report. Report prepared for the Department of Agriculture, Water and the Environment, Commonwealth Environmental Water Office by La Trobe University, Centre for Freshwater Ecosystems, CFE Publication 250, May 2020, 82pp.</w:t>
      </w:r>
    </w:p>
    <w:p w14:paraId="570E7F53" w14:textId="77777777" w:rsidR="00530E59" w:rsidRPr="00127EA7" w:rsidRDefault="00530E59" w:rsidP="00530E59">
      <w:r w:rsidRPr="00127EA7">
        <w:t>King</w:t>
      </w:r>
      <w:r>
        <w:t>,</w:t>
      </w:r>
      <w:r w:rsidRPr="00127EA7">
        <w:t xml:space="preserve"> A</w:t>
      </w:r>
      <w:r>
        <w:t>.</w:t>
      </w:r>
      <w:r w:rsidRPr="00127EA7">
        <w:t>J</w:t>
      </w:r>
      <w:r>
        <w:t>.</w:t>
      </w:r>
      <w:r w:rsidRPr="00127EA7">
        <w:t>, Tonkin</w:t>
      </w:r>
      <w:r>
        <w:t>,</w:t>
      </w:r>
      <w:r w:rsidRPr="00127EA7">
        <w:t xml:space="preserve"> Z</w:t>
      </w:r>
      <w:r>
        <w:t>. and</w:t>
      </w:r>
      <w:r w:rsidRPr="00127EA7">
        <w:t xml:space="preserve"> Mahoney</w:t>
      </w:r>
      <w:r>
        <w:t>,</w:t>
      </w:r>
      <w:r w:rsidRPr="00127EA7">
        <w:t xml:space="preserve"> J</w:t>
      </w:r>
      <w:r>
        <w:t>.</w:t>
      </w:r>
      <w:r w:rsidRPr="00127EA7">
        <w:t xml:space="preserve"> (2009)</w:t>
      </w:r>
      <w:r>
        <w:t>.</w:t>
      </w:r>
      <w:r w:rsidRPr="00127EA7">
        <w:t xml:space="preserve"> Environmental flow enhances native fish spawning and recruitment in the Murray River, Australia. </w:t>
      </w:r>
      <w:r w:rsidRPr="00771B14">
        <w:rPr>
          <w:i/>
          <w:iCs/>
        </w:rPr>
        <w:t>River Research and Applications</w:t>
      </w:r>
      <w:r w:rsidRPr="00127EA7">
        <w:t xml:space="preserve"> </w:t>
      </w:r>
      <w:r w:rsidRPr="00771B14">
        <w:rPr>
          <w:b/>
          <w:bCs/>
        </w:rPr>
        <w:t>25</w:t>
      </w:r>
      <w:r>
        <w:t xml:space="preserve">, </w:t>
      </w:r>
      <w:r w:rsidRPr="00127EA7">
        <w:t>1205</w:t>
      </w:r>
      <w:r>
        <w:t>–</w:t>
      </w:r>
      <w:r w:rsidRPr="00127EA7">
        <w:t>1218.</w:t>
      </w:r>
    </w:p>
    <w:p w14:paraId="623778FA" w14:textId="77777777" w:rsidR="00530E59" w:rsidRPr="00C70D04" w:rsidRDefault="00530E59" w:rsidP="00530E59">
      <w:r w:rsidRPr="00D813A6">
        <w:t xml:space="preserve">Kingsford, R.T. (2000). Ecological impacts of dams, water diversions and river management on </w:t>
      </w:r>
      <w:r w:rsidRPr="00C70D04">
        <w:t xml:space="preserve">floodplain wetlands in Australia. </w:t>
      </w:r>
      <w:r w:rsidRPr="00C70D04">
        <w:rPr>
          <w:i/>
        </w:rPr>
        <w:t>Austral Ecology</w:t>
      </w:r>
      <w:r w:rsidRPr="00C70D04">
        <w:t xml:space="preserve"> </w:t>
      </w:r>
      <w:r w:rsidRPr="00C70D04">
        <w:rPr>
          <w:b/>
        </w:rPr>
        <w:t>25</w:t>
      </w:r>
      <w:r w:rsidRPr="00C70D04">
        <w:t>, 109–127.</w:t>
      </w:r>
    </w:p>
    <w:p w14:paraId="05290942" w14:textId="77777777" w:rsidR="00530E59" w:rsidRPr="00C70D04" w:rsidRDefault="00530E59" w:rsidP="00530E59">
      <w:r w:rsidRPr="00C70D04">
        <w:t xml:space="preserve">Koehn, J.D. (2009). Multi-scale habitat selection by Murray cod </w:t>
      </w:r>
      <w:proofErr w:type="spellStart"/>
      <w:r w:rsidRPr="00C70D04">
        <w:rPr>
          <w:i/>
          <w:iCs/>
        </w:rPr>
        <w:t>Maccullochella</w:t>
      </w:r>
      <w:proofErr w:type="spellEnd"/>
      <w:r w:rsidRPr="00C70D04">
        <w:rPr>
          <w:i/>
          <w:iCs/>
        </w:rPr>
        <w:t xml:space="preserve"> </w:t>
      </w:r>
      <w:proofErr w:type="spellStart"/>
      <w:r w:rsidRPr="00C70D04">
        <w:rPr>
          <w:i/>
          <w:iCs/>
        </w:rPr>
        <w:t>peelii</w:t>
      </w:r>
      <w:proofErr w:type="spellEnd"/>
      <w:r w:rsidRPr="00C70D04">
        <w:rPr>
          <w:i/>
          <w:iCs/>
        </w:rPr>
        <w:t xml:space="preserve"> </w:t>
      </w:r>
      <w:proofErr w:type="spellStart"/>
      <w:r w:rsidRPr="00C70D04">
        <w:rPr>
          <w:i/>
          <w:iCs/>
        </w:rPr>
        <w:t>peelii</w:t>
      </w:r>
      <w:proofErr w:type="spellEnd"/>
      <w:r w:rsidRPr="00C70D04">
        <w:t xml:space="preserve"> in two lowland rivers. </w:t>
      </w:r>
      <w:r w:rsidRPr="00C70D04">
        <w:rPr>
          <w:i/>
          <w:iCs/>
        </w:rPr>
        <w:t>Journal of Fish Biology</w:t>
      </w:r>
      <w:r w:rsidRPr="00C70D04">
        <w:t xml:space="preserve"> </w:t>
      </w:r>
      <w:r w:rsidRPr="00C70D04">
        <w:rPr>
          <w:b/>
          <w:bCs/>
        </w:rPr>
        <w:t>75</w:t>
      </w:r>
      <w:r w:rsidRPr="00C70D04">
        <w:t>, 113–129.</w:t>
      </w:r>
    </w:p>
    <w:p w14:paraId="5F21C3A7" w14:textId="17E0AACF" w:rsidR="00E36347" w:rsidRDefault="00E36347" w:rsidP="00E36347">
      <w:r>
        <w:t xml:space="preserve">Koehn, J. D., Balcombe, S. R., Baumgartner, L. J., Bice, C. M., </w:t>
      </w:r>
      <w:proofErr w:type="spellStart"/>
      <w:r>
        <w:t>Burndred</w:t>
      </w:r>
      <w:proofErr w:type="spellEnd"/>
      <w:r>
        <w:t xml:space="preserve">, K., Ellis, I., Koster, W. M., </w:t>
      </w:r>
      <w:proofErr w:type="spellStart"/>
      <w:r>
        <w:t>Lintermans</w:t>
      </w:r>
      <w:proofErr w:type="spellEnd"/>
      <w:r>
        <w:t xml:space="preserve">, M., Pearce, L., Sharpe, C., Stuart, I., and Todd, C. (2020a). What is needed to restore native fishes in the Murray–Darling Basin? </w:t>
      </w:r>
      <w:r w:rsidRPr="00300626">
        <w:rPr>
          <w:i/>
          <w:iCs/>
        </w:rPr>
        <w:t>Marine and Freshwater Research</w:t>
      </w:r>
      <w:r>
        <w:t xml:space="preserve"> </w:t>
      </w:r>
      <w:r w:rsidRPr="00300626">
        <w:rPr>
          <w:b/>
          <w:bCs/>
        </w:rPr>
        <w:t>71</w:t>
      </w:r>
      <w:r>
        <w:t>, 1464–1468. doi:10.1071/MF20248</w:t>
      </w:r>
      <w:r w:rsidR="00300626">
        <w:t>.</w:t>
      </w:r>
    </w:p>
    <w:p w14:paraId="1254D4D0" w14:textId="047A97D8" w:rsidR="00530E59" w:rsidRDefault="00530E59" w:rsidP="00E36347">
      <w:r w:rsidRPr="0059173F">
        <w:t xml:space="preserve">Koehn, J.D., King, A.J., </w:t>
      </w:r>
      <w:proofErr w:type="spellStart"/>
      <w:r w:rsidRPr="0059173F">
        <w:t>Beesley</w:t>
      </w:r>
      <w:proofErr w:type="spellEnd"/>
      <w:r w:rsidRPr="0059173F">
        <w:t xml:space="preserve">, L., Copeland, C., Zampatti, B.P. and </w:t>
      </w:r>
      <w:proofErr w:type="spellStart"/>
      <w:r w:rsidRPr="0059173F">
        <w:t>Mallen</w:t>
      </w:r>
      <w:proofErr w:type="spellEnd"/>
      <w:r w:rsidRPr="0059173F">
        <w:t xml:space="preserve">-Cooper, M. (2014). Flows for native fish in the Murray–Darling Basin: lessons and considerations for future management. </w:t>
      </w:r>
      <w:r w:rsidRPr="0059173F">
        <w:rPr>
          <w:i/>
        </w:rPr>
        <w:t>Ecological Management and Restoration</w:t>
      </w:r>
      <w:r w:rsidRPr="0059173F">
        <w:t xml:space="preserve"> </w:t>
      </w:r>
      <w:r w:rsidRPr="0059173F">
        <w:rPr>
          <w:b/>
        </w:rPr>
        <w:t>15</w:t>
      </w:r>
      <w:r w:rsidRPr="0059173F">
        <w:t>, 40–50.</w:t>
      </w:r>
    </w:p>
    <w:p w14:paraId="6E1FE334" w14:textId="1E8E4D93" w:rsidR="00E36347" w:rsidRPr="0059173F" w:rsidRDefault="00E36347" w:rsidP="00E36347">
      <w:r>
        <w:t xml:space="preserve">Koehn, J. D., Raymond, S. A., Stuart, I., Todd, C. R., Balcombe, S. R., Zampatti, B. P., Bamford, H., Ingram, B. A., Bice, C., </w:t>
      </w:r>
      <w:proofErr w:type="spellStart"/>
      <w:r>
        <w:t>Burndred</w:t>
      </w:r>
      <w:proofErr w:type="spellEnd"/>
      <w:r>
        <w:t xml:space="preserve">, K., Butler, G., Baumgartner, L., </w:t>
      </w:r>
      <w:proofErr w:type="spellStart"/>
      <w:r>
        <w:t>Clunie</w:t>
      </w:r>
      <w:proofErr w:type="spellEnd"/>
      <w:r>
        <w:t xml:space="preserve">, P., Ellis, I., Forbes, J., Hutchison, M., Koster, W., </w:t>
      </w:r>
      <w:proofErr w:type="spellStart"/>
      <w:r>
        <w:t>Lintermans</w:t>
      </w:r>
      <w:proofErr w:type="spellEnd"/>
      <w:r>
        <w:t xml:space="preserve">, M., Lyon, J. P., </w:t>
      </w:r>
      <w:proofErr w:type="spellStart"/>
      <w:r>
        <w:t>Mallen</w:t>
      </w:r>
      <w:proofErr w:type="spellEnd"/>
      <w:r>
        <w:t xml:space="preserve">-Cooper, M., McLellan, M., Pearce, L., Ryall, J., Sharpe, C., </w:t>
      </w:r>
      <w:proofErr w:type="spellStart"/>
      <w:r>
        <w:t>Stoessel</w:t>
      </w:r>
      <w:proofErr w:type="spellEnd"/>
      <w:r>
        <w:t xml:space="preserve">, D. J., </w:t>
      </w:r>
      <w:proofErr w:type="spellStart"/>
      <w:r>
        <w:t>Thiem</w:t>
      </w:r>
      <w:proofErr w:type="spellEnd"/>
      <w:r>
        <w:t xml:space="preserve">, J. D., Tonkin, Z., Townsend, A., and Ye, Q. (2020b). A compendium of ecological knowledge for restoration of freshwater fishes in the Murray– Darling Basin. </w:t>
      </w:r>
      <w:r w:rsidRPr="00300626">
        <w:rPr>
          <w:i/>
          <w:iCs/>
        </w:rPr>
        <w:t>Marine and Freshwater Research</w:t>
      </w:r>
      <w:r>
        <w:t xml:space="preserve"> </w:t>
      </w:r>
      <w:r w:rsidRPr="00300626">
        <w:rPr>
          <w:b/>
          <w:bCs/>
        </w:rPr>
        <w:t>71</w:t>
      </w:r>
      <w:r>
        <w:t>, 1391–1463. doi:10.1071/MF20127.</w:t>
      </w:r>
    </w:p>
    <w:p w14:paraId="5B74ED01" w14:textId="77777777" w:rsidR="00530E59" w:rsidRPr="00346B75" w:rsidRDefault="00530E59" w:rsidP="00530E59">
      <w:pPr>
        <w:rPr>
          <w:lang w:val="en-US"/>
        </w:rPr>
      </w:pPr>
      <w:r w:rsidRPr="00346B75">
        <w:rPr>
          <w:lang w:val="en-US"/>
        </w:rPr>
        <w:t xml:space="preserve">Li, E.H., Li, W., Wang, X.L., </w:t>
      </w:r>
      <w:proofErr w:type="spellStart"/>
      <w:r w:rsidRPr="00346B75">
        <w:rPr>
          <w:lang w:val="en-US"/>
        </w:rPr>
        <w:t>Xue</w:t>
      </w:r>
      <w:proofErr w:type="spellEnd"/>
      <w:r w:rsidRPr="00346B75">
        <w:rPr>
          <w:lang w:val="en-US"/>
        </w:rPr>
        <w:t xml:space="preserve">, H.P. and Xiao, F. (2010). Experiment of emergent macrophytes growing in contaminated sludge: implication for sediment purification and lake restoration. </w:t>
      </w:r>
      <w:r w:rsidRPr="00346B75">
        <w:rPr>
          <w:i/>
          <w:iCs/>
          <w:lang w:val="en-US"/>
        </w:rPr>
        <w:t>Ecological Engineering</w:t>
      </w:r>
      <w:r w:rsidRPr="00346B75">
        <w:rPr>
          <w:lang w:val="en-US"/>
        </w:rPr>
        <w:t xml:space="preserve"> </w:t>
      </w:r>
      <w:r w:rsidRPr="00346B75">
        <w:rPr>
          <w:b/>
          <w:bCs/>
          <w:lang w:val="en-US"/>
        </w:rPr>
        <w:t>36</w:t>
      </w:r>
      <w:r w:rsidRPr="00346B75">
        <w:rPr>
          <w:lang w:val="en-US"/>
        </w:rPr>
        <w:t>, 427</w:t>
      </w:r>
      <w:r>
        <w:rPr>
          <w:lang w:val="en-US"/>
        </w:rPr>
        <w:t>–</w:t>
      </w:r>
      <w:r w:rsidRPr="00346B75">
        <w:rPr>
          <w:lang w:val="en-US"/>
        </w:rPr>
        <w:t>434.</w:t>
      </w:r>
    </w:p>
    <w:p w14:paraId="2FB5171B" w14:textId="77777777" w:rsidR="00530E59" w:rsidRDefault="00530E59" w:rsidP="00530E59">
      <w:pPr>
        <w:rPr>
          <w:lang w:val="en-US"/>
        </w:rPr>
      </w:pPr>
      <w:proofErr w:type="spellStart"/>
      <w:r w:rsidRPr="0059173F">
        <w:rPr>
          <w:lang w:val="en-US"/>
        </w:rPr>
        <w:t>Lintermans</w:t>
      </w:r>
      <w:proofErr w:type="spellEnd"/>
      <w:r w:rsidRPr="0059173F">
        <w:rPr>
          <w:lang w:val="en-US"/>
        </w:rPr>
        <w:t xml:space="preserve">, M. (2007). Fishes of the Murray-Darling Basin: An Introductory Guide. Murray-Darling Basin </w:t>
      </w:r>
      <w:r w:rsidRPr="00127E7F">
        <w:rPr>
          <w:lang w:val="en-US"/>
        </w:rPr>
        <w:t>Commission, Canberra.</w:t>
      </w:r>
    </w:p>
    <w:p w14:paraId="5144352F" w14:textId="77777777" w:rsidR="00530E59" w:rsidRPr="00BC2A5A" w:rsidRDefault="00530E59" w:rsidP="00530E59">
      <w:pPr>
        <w:rPr>
          <w:highlight w:val="yellow"/>
        </w:rPr>
      </w:pPr>
      <w:proofErr w:type="spellStart"/>
      <w:r w:rsidRPr="00912A2A">
        <w:t>Lintermans</w:t>
      </w:r>
      <w:proofErr w:type="spellEnd"/>
      <w:r w:rsidRPr="00912A2A">
        <w:t>, M. and Phillips, B. (2005). Management of Murray Cod in the Murray-Darling Basin (pp. 64</w:t>
      </w:r>
      <w:r>
        <w:t>–</w:t>
      </w:r>
      <w:r w:rsidRPr="00912A2A">
        <w:t>69). Australia: Murray-Darling Basin Commission.</w:t>
      </w:r>
    </w:p>
    <w:p w14:paraId="40B925C3" w14:textId="77777777" w:rsidR="00530E59" w:rsidRPr="00127E7F" w:rsidRDefault="00530E59" w:rsidP="00530E59">
      <w:r w:rsidRPr="00127E7F">
        <w:t>McCullough</w:t>
      </w:r>
      <w:r>
        <w:t>,</w:t>
      </w:r>
      <w:r w:rsidRPr="00127E7F">
        <w:t xml:space="preserve"> </w:t>
      </w:r>
      <w:proofErr w:type="gramStart"/>
      <w:r w:rsidRPr="00127E7F">
        <w:t>R</w:t>
      </w:r>
      <w:r>
        <w:t>.</w:t>
      </w:r>
      <w:r w:rsidRPr="00127E7F">
        <w:t>D</w:t>
      </w:r>
      <w:r>
        <w:t>.</w:t>
      </w:r>
      <w:proofErr w:type="gramEnd"/>
      <w:r>
        <w:t xml:space="preserve"> and</w:t>
      </w:r>
      <w:r w:rsidRPr="00127E7F">
        <w:t xml:space="preserve"> Stanley</w:t>
      </w:r>
      <w:r>
        <w:t>,</w:t>
      </w:r>
      <w:r w:rsidRPr="00127E7F">
        <w:t xml:space="preserve"> J</w:t>
      </w:r>
      <w:r>
        <w:t>.</w:t>
      </w:r>
      <w:r w:rsidRPr="00127E7F">
        <w:t>G</w:t>
      </w:r>
      <w:r>
        <w:t>.</w:t>
      </w:r>
      <w:r w:rsidRPr="00127E7F">
        <w:t xml:space="preserve"> (1981)</w:t>
      </w:r>
      <w:r>
        <w:t>.</w:t>
      </w:r>
      <w:r w:rsidRPr="00127E7F">
        <w:t xml:space="preserve"> Feeding Niche Dimensions in Larval Rainbow Smelt</w:t>
      </w:r>
      <w:r>
        <w:t xml:space="preserve"> </w:t>
      </w:r>
      <w:r w:rsidRPr="00127E7F">
        <w:t>(</w:t>
      </w:r>
      <w:r w:rsidRPr="00771B14">
        <w:rPr>
          <w:i/>
          <w:iCs/>
        </w:rPr>
        <w:t xml:space="preserve">Osmerus </w:t>
      </w:r>
      <w:proofErr w:type="spellStart"/>
      <w:r w:rsidRPr="00771B14">
        <w:rPr>
          <w:i/>
          <w:iCs/>
        </w:rPr>
        <w:t>mordax</w:t>
      </w:r>
      <w:proofErr w:type="spellEnd"/>
      <w:r w:rsidRPr="00127E7F">
        <w:t xml:space="preserve">). </w:t>
      </w:r>
      <w:r w:rsidRPr="00771B14">
        <w:rPr>
          <w:i/>
          <w:iCs/>
        </w:rPr>
        <w:t xml:space="preserve">Rapports et </w:t>
      </w:r>
      <w:proofErr w:type="spellStart"/>
      <w:r w:rsidRPr="00771B14">
        <w:rPr>
          <w:i/>
          <w:iCs/>
        </w:rPr>
        <w:t>Proces-Verbaux</w:t>
      </w:r>
      <w:proofErr w:type="spellEnd"/>
      <w:r w:rsidRPr="00771B14">
        <w:rPr>
          <w:i/>
          <w:iCs/>
        </w:rPr>
        <w:t xml:space="preserve"> des Reunion Conseil International pour </w:t>
      </w:r>
      <w:proofErr w:type="spellStart"/>
      <w:r w:rsidRPr="00771B14">
        <w:rPr>
          <w:i/>
          <w:iCs/>
        </w:rPr>
        <w:t>l’Exploration</w:t>
      </w:r>
      <w:proofErr w:type="spellEnd"/>
      <w:r w:rsidRPr="00771B14">
        <w:rPr>
          <w:i/>
          <w:iCs/>
        </w:rPr>
        <w:t xml:space="preserve"> de la Mer</w:t>
      </w:r>
      <w:r>
        <w:t xml:space="preserve"> </w:t>
      </w:r>
      <w:r w:rsidRPr="00771B14">
        <w:rPr>
          <w:b/>
          <w:bCs/>
        </w:rPr>
        <w:t>178</w:t>
      </w:r>
      <w:r>
        <w:t>, 352–354.</w:t>
      </w:r>
    </w:p>
    <w:p w14:paraId="19EA93F1" w14:textId="77777777" w:rsidR="00530E59" w:rsidRPr="003F2FD1" w:rsidRDefault="00530E59" w:rsidP="00530E59">
      <w:r w:rsidRPr="0059173F">
        <w:t xml:space="preserve">McCullough, D.P., </w:t>
      </w:r>
      <w:proofErr w:type="spellStart"/>
      <w:r w:rsidRPr="0059173F">
        <w:t>Montazeri</w:t>
      </w:r>
      <w:proofErr w:type="spellEnd"/>
      <w:r w:rsidRPr="0059173F">
        <w:t xml:space="preserve">, M. and </w:t>
      </w:r>
      <w:proofErr w:type="spellStart"/>
      <w:r w:rsidRPr="0059173F">
        <w:t>Esprey</w:t>
      </w:r>
      <w:proofErr w:type="spellEnd"/>
      <w:r w:rsidRPr="0059173F">
        <w:t xml:space="preserve">, L. (2017). Update and calibration of Pike and </w:t>
      </w:r>
      <w:proofErr w:type="spellStart"/>
      <w:r w:rsidRPr="0059173F">
        <w:t>Katarapko</w:t>
      </w:r>
      <w:proofErr w:type="spellEnd"/>
      <w:r w:rsidRPr="0059173F">
        <w:t xml:space="preserve"> floodplain flexible mesh </w:t>
      </w:r>
      <w:r w:rsidRPr="003F2FD1">
        <w:t>models. DEWNR Technical note 2017/11, Government of South Australia, Department of Environment, Water and Natural Resources, Adelaide.</w:t>
      </w:r>
    </w:p>
    <w:p w14:paraId="573A3FD1" w14:textId="77777777" w:rsidR="00530E59" w:rsidRPr="003F2FD1" w:rsidRDefault="00530E59" w:rsidP="00530E59">
      <w:pPr>
        <w:rPr>
          <w:lang w:val="en-US"/>
        </w:rPr>
      </w:pPr>
      <w:r w:rsidRPr="003F2FD1">
        <w:rPr>
          <w:lang w:val="en-US"/>
        </w:rPr>
        <w:t xml:space="preserve">McCune, B. and </w:t>
      </w:r>
      <w:proofErr w:type="spellStart"/>
      <w:r w:rsidRPr="003F2FD1">
        <w:rPr>
          <w:lang w:val="en-US"/>
        </w:rPr>
        <w:t>Mefford</w:t>
      </w:r>
      <w:proofErr w:type="spellEnd"/>
      <w:r w:rsidRPr="003F2FD1">
        <w:rPr>
          <w:lang w:val="en-US"/>
        </w:rPr>
        <w:t xml:space="preserve">, M.J. (2006). PC-ORD. Multivariate Analysis of Ecological Data, Version 5.12, </w:t>
      </w:r>
      <w:proofErr w:type="spellStart"/>
      <w:r w:rsidRPr="003F2FD1">
        <w:rPr>
          <w:lang w:val="en-US"/>
        </w:rPr>
        <w:t>MjM</w:t>
      </w:r>
      <w:proofErr w:type="spellEnd"/>
      <w:r w:rsidRPr="003F2FD1">
        <w:rPr>
          <w:lang w:val="en-US"/>
        </w:rPr>
        <w:t xml:space="preserve"> Software Design, </w:t>
      </w:r>
      <w:proofErr w:type="spellStart"/>
      <w:r w:rsidRPr="003F2FD1">
        <w:rPr>
          <w:lang w:val="en-US"/>
        </w:rPr>
        <w:t>Glenden</w:t>
      </w:r>
      <w:proofErr w:type="spellEnd"/>
      <w:r w:rsidRPr="003F2FD1">
        <w:rPr>
          <w:lang w:val="en-US"/>
        </w:rPr>
        <w:t xml:space="preserve"> Beach, Oregon, USA.</w:t>
      </w:r>
    </w:p>
    <w:p w14:paraId="70AF28C3" w14:textId="77777777" w:rsidR="00530E59" w:rsidRPr="003F2FD1" w:rsidRDefault="00530E59" w:rsidP="00530E59">
      <w:pPr>
        <w:rPr>
          <w:lang w:val="en-US"/>
        </w:rPr>
      </w:pPr>
      <w:r w:rsidRPr="003F2FD1">
        <w:rPr>
          <w:lang w:val="en-US"/>
        </w:rPr>
        <w:t xml:space="preserve">McCune, B., Grace, J.B. and Urban, D.L. (2002). Analysis of Ecological Communities, </w:t>
      </w:r>
      <w:proofErr w:type="spellStart"/>
      <w:r w:rsidRPr="003F2FD1">
        <w:rPr>
          <w:lang w:val="en-US"/>
        </w:rPr>
        <w:t>MjM</w:t>
      </w:r>
      <w:proofErr w:type="spellEnd"/>
      <w:r w:rsidRPr="003F2FD1">
        <w:rPr>
          <w:lang w:val="en-US"/>
        </w:rPr>
        <w:t xml:space="preserve"> Software Design, Gleneden Beach, Oregon.</w:t>
      </w:r>
    </w:p>
    <w:p w14:paraId="0ABBBA01" w14:textId="77777777" w:rsidR="00530E59" w:rsidRPr="00346B75" w:rsidRDefault="00530E59" w:rsidP="00530E59">
      <w:pPr>
        <w:rPr>
          <w:lang w:val="en-US"/>
        </w:rPr>
      </w:pPr>
      <w:r w:rsidRPr="00346B75">
        <w:rPr>
          <w:lang w:val="en-US"/>
        </w:rPr>
        <w:t xml:space="preserve">Maddison, M., </w:t>
      </w:r>
      <w:proofErr w:type="spellStart"/>
      <w:r w:rsidRPr="00346B75">
        <w:rPr>
          <w:lang w:val="en-US"/>
        </w:rPr>
        <w:t>Mauring</w:t>
      </w:r>
      <w:proofErr w:type="spellEnd"/>
      <w:r w:rsidRPr="00346B75">
        <w:rPr>
          <w:lang w:val="en-US"/>
        </w:rPr>
        <w:t xml:space="preserve">, T., </w:t>
      </w:r>
      <w:proofErr w:type="spellStart"/>
      <w:r w:rsidRPr="00346B75">
        <w:rPr>
          <w:lang w:val="en-US"/>
        </w:rPr>
        <w:t>Remm</w:t>
      </w:r>
      <w:proofErr w:type="spellEnd"/>
      <w:r w:rsidRPr="00346B75">
        <w:rPr>
          <w:lang w:val="en-US"/>
        </w:rPr>
        <w:t xml:space="preserve">, K., </w:t>
      </w:r>
      <w:proofErr w:type="spellStart"/>
      <w:r w:rsidRPr="00346B75">
        <w:rPr>
          <w:lang w:val="en-US"/>
        </w:rPr>
        <w:t>Lesta</w:t>
      </w:r>
      <w:proofErr w:type="spellEnd"/>
      <w:r w:rsidRPr="00346B75">
        <w:rPr>
          <w:lang w:val="en-US"/>
        </w:rPr>
        <w:t xml:space="preserve">, M. and </w:t>
      </w:r>
      <w:proofErr w:type="spellStart"/>
      <w:r w:rsidRPr="00346B75">
        <w:rPr>
          <w:lang w:val="en-US"/>
        </w:rPr>
        <w:t>Mander</w:t>
      </w:r>
      <w:proofErr w:type="spellEnd"/>
      <w:r w:rsidRPr="00346B75">
        <w:rPr>
          <w:lang w:val="en-US"/>
        </w:rPr>
        <w:t xml:space="preserve">, U. (2009). Dynamics of </w:t>
      </w:r>
      <w:r w:rsidRPr="00346B75">
        <w:rPr>
          <w:i/>
          <w:iCs/>
          <w:lang w:val="en-US"/>
        </w:rPr>
        <w:t>Typha latifolia</w:t>
      </w:r>
      <w:r w:rsidRPr="00346B75">
        <w:rPr>
          <w:lang w:val="en-US"/>
        </w:rPr>
        <w:t xml:space="preserve"> L. populations in treatment wetlands in Estonia. </w:t>
      </w:r>
      <w:r w:rsidRPr="00346B75">
        <w:rPr>
          <w:i/>
          <w:iCs/>
          <w:lang w:val="en-US"/>
        </w:rPr>
        <w:t>Ecological Engineering</w:t>
      </w:r>
      <w:r w:rsidRPr="00346B75">
        <w:rPr>
          <w:lang w:val="en-US"/>
        </w:rPr>
        <w:t xml:space="preserve"> </w:t>
      </w:r>
      <w:r w:rsidRPr="00346B75">
        <w:rPr>
          <w:b/>
          <w:bCs/>
          <w:lang w:val="en-US"/>
        </w:rPr>
        <w:t>35</w:t>
      </w:r>
      <w:r w:rsidRPr="00346B75">
        <w:rPr>
          <w:lang w:val="en-US"/>
        </w:rPr>
        <w:t>, 258</w:t>
      </w:r>
      <w:r>
        <w:rPr>
          <w:lang w:val="en-US"/>
        </w:rPr>
        <w:t>–</w:t>
      </w:r>
      <w:r w:rsidRPr="00346B75">
        <w:rPr>
          <w:lang w:val="en-US"/>
        </w:rPr>
        <w:t>264.</w:t>
      </w:r>
    </w:p>
    <w:p w14:paraId="5EDB60E6" w14:textId="44D3326A" w:rsidR="00530E59" w:rsidRDefault="00E7089B" w:rsidP="00530E59">
      <w:proofErr w:type="spellStart"/>
      <w:r w:rsidRPr="00E7089B">
        <w:t>Magurran</w:t>
      </w:r>
      <w:proofErr w:type="spellEnd"/>
      <w:r>
        <w:t>,</w:t>
      </w:r>
      <w:r w:rsidRPr="00E7089B">
        <w:t xml:space="preserve"> A</w:t>
      </w:r>
      <w:r>
        <w:t>.</w:t>
      </w:r>
      <w:r w:rsidRPr="00E7089B">
        <w:t>E</w:t>
      </w:r>
      <w:r>
        <w:t>. and</w:t>
      </w:r>
      <w:r w:rsidRPr="00E7089B">
        <w:t xml:space="preserve"> McGill</w:t>
      </w:r>
      <w:r>
        <w:t>,</w:t>
      </w:r>
      <w:r w:rsidRPr="00E7089B">
        <w:t xml:space="preserve"> B</w:t>
      </w:r>
      <w:r>
        <w:t>.</w:t>
      </w:r>
      <w:r w:rsidRPr="00E7089B">
        <w:t>J</w:t>
      </w:r>
      <w:r>
        <w:t>.</w:t>
      </w:r>
      <w:r w:rsidRPr="00E7089B">
        <w:t xml:space="preserve"> (2011)</w:t>
      </w:r>
      <w:r>
        <w:t>.</w:t>
      </w:r>
      <w:r w:rsidRPr="00E7089B">
        <w:t xml:space="preserve"> Biological diversity: frontiers in measurement and assessment. Oxford University Press</w:t>
      </w:r>
      <w:r>
        <w:t>.</w:t>
      </w:r>
    </w:p>
    <w:p w14:paraId="21213BA9" w14:textId="77777777" w:rsidR="00530E59" w:rsidRPr="00D813A6" w:rsidRDefault="00530E59" w:rsidP="00530E59">
      <w:r w:rsidRPr="00D813A6">
        <w:t xml:space="preserve">Maheshwari, B.L., Walker, K.F. and McMahon, T.A. (1995). Effects of regulation on the flow regime of the Murray River, Australia. </w:t>
      </w:r>
      <w:r w:rsidRPr="00D813A6">
        <w:rPr>
          <w:i/>
        </w:rPr>
        <w:t>Regulated Rivers: Research and Management</w:t>
      </w:r>
      <w:r w:rsidRPr="00D813A6">
        <w:t xml:space="preserve"> </w:t>
      </w:r>
      <w:r w:rsidRPr="00D813A6">
        <w:rPr>
          <w:b/>
        </w:rPr>
        <w:t>10</w:t>
      </w:r>
      <w:r w:rsidRPr="00D813A6">
        <w:t>, 15–38.</w:t>
      </w:r>
    </w:p>
    <w:p w14:paraId="12FA8FA6" w14:textId="77777777" w:rsidR="00530E59" w:rsidRPr="0059509B" w:rsidRDefault="00530E59" w:rsidP="00530E59">
      <w:pPr>
        <w:rPr>
          <w:bCs/>
        </w:rPr>
      </w:pPr>
      <w:proofErr w:type="spellStart"/>
      <w:r w:rsidRPr="0059509B">
        <w:rPr>
          <w:bCs/>
        </w:rPr>
        <w:t>Mallen</w:t>
      </w:r>
      <w:proofErr w:type="spellEnd"/>
      <w:r w:rsidRPr="0059509B">
        <w:rPr>
          <w:bCs/>
        </w:rPr>
        <w:t xml:space="preserve">-Cooper, </w:t>
      </w:r>
      <w:proofErr w:type="gramStart"/>
      <w:r w:rsidRPr="0059509B">
        <w:rPr>
          <w:bCs/>
        </w:rPr>
        <w:t>M.</w:t>
      </w:r>
      <w:proofErr w:type="gramEnd"/>
      <w:r w:rsidRPr="0059509B">
        <w:rPr>
          <w:bCs/>
        </w:rPr>
        <w:t xml:space="preserve"> and Stuart, I.G. (2003). Age, </w:t>
      </w:r>
      <w:proofErr w:type="gramStart"/>
      <w:r w:rsidRPr="0059509B">
        <w:rPr>
          <w:bCs/>
        </w:rPr>
        <w:t>growth</w:t>
      </w:r>
      <w:proofErr w:type="gramEnd"/>
      <w:r w:rsidRPr="0059509B">
        <w:rPr>
          <w:bCs/>
        </w:rPr>
        <w:t xml:space="preserve"> and non-flood recruitment of two potamodromous fishes in a large semi-arid/temperate river system. </w:t>
      </w:r>
      <w:r w:rsidRPr="0059509B">
        <w:rPr>
          <w:bCs/>
          <w:i/>
        </w:rPr>
        <w:t>River Research and Applications</w:t>
      </w:r>
      <w:r w:rsidRPr="0059509B">
        <w:rPr>
          <w:bCs/>
        </w:rPr>
        <w:t xml:space="preserve"> </w:t>
      </w:r>
      <w:r w:rsidRPr="0059509B">
        <w:rPr>
          <w:b/>
          <w:bCs/>
        </w:rPr>
        <w:t>19</w:t>
      </w:r>
      <w:r w:rsidRPr="0059509B">
        <w:rPr>
          <w:bCs/>
        </w:rPr>
        <w:t>, 697–719.</w:t>
      </w:r>
    </w:p>
    <w:p w14:paraId="31659132" w14:textId="77777777" w:rsidR="00530E59" w:rsidRPr="0059173F" w:rsidRDefault="00530E59" w:rsidP="00530E59">
      <w:pPr>
        <w:rPr>
          <w:bCs/>
        </w:rPr>
      </w:pPr>
      <w:proofErr w:type="spellStart"/>
      <w:r w:rsidRPr="0059509B">
        <w:rPr>
          <w:bCs/>
        </w:rPr>
        <w:t>Mallen</w:t>
      </w:r>
      <w:proofErr w:type="spellEnd"/>
      <w:r w:rsidRPr="0059509B">
        <w:rPr>
          <w:bCs/>
        </w:rPr>
        <w:t xml:space="preserve">-Cooper, M. and Zampatti, B.P. (2018). History, </w:t>
      </w:r>
      <w:proofErr w:type="gramStart"/>
      <w:r w:rsidRPr="0059509B">
        <w:rPr>
          <w:bCs/>
        </w:rPr>
        <w:t>hydrology</w:t>
      </w:r>
      <w:proofErr w:type="gramEnd"/>
      <w:r w:rsidRPr="0059509B">
        <w:rPr>
          <w:bCs/>
        </w:rPr>
        <w:t xml:space="preserve"> and hydraulics: Rethinking the ecological management of large rivers. </w:t>
      </w:r>
      <w:r w:rsidRPr="0059509B">
        <w:rPr>
          <w:bCs/>
          <w:i/>
        </w:rPr>
        <w:t>Ecohydrology</w:t>
      </w:r>
      <w:r w:rsidRPr="0059509B">
        <w:rPr>
          <w:bCs/>
        </w:rPr>
        <w:t xml:space="preserve"> </w:t>
      </w:r>
      <w:r w:rsidRPr="0059509B">
        <w:rPr>
          <w:b/>
          <w:bCs/>
        </w:rPr>
        <w:t>11</w:t>
      </w:r>
      <w:r w:rsidRPr="0059509B">
        <w:rPr>
          <w:bCs/>
        </w:rPr>
        <w:t xml:space="preserve">, e1965 </w:t>
      </w:r>
      <w:hyperlink r:id="rId121" w:history="1">
        <w:r w:rsidRPr="00DC3F52">
          <w:rPr>
            <w:rStyle w:val="Hyperlink"/>
            <w:bCs/>
            <w:color w:val="auto"/>
            <w:u w:val="none"/>
          </w:rPr>
          <w:t>https://doi</w:t>
        </w:r>
      </w:hyperlink>
      <w:r w:rsidRPr="0059509B">
        <w:rPr>
          <w:bCs/>
        </w:rPr>
        <w:t>.org</w:t>
      </w:r>
      <w:r w:rsidRPr="0059173F">
        <w:rPr>
          <w:bCs/>
        </w:rPr>
        <w:t>/10.1002/eco.1965.</w:t>
      </w:r>
    </w:p>
    <w:p w14:paraId="2080065B" w14:textId="77777777" w:rsidR="00530E59" w:rsidRPr="0059509B" w:rsidRDefault="00530E59" w:rsidP="00530E59">
      <w:r w:rsidRPr="0059509B">
        <w:t>Marc</w:t>
      </w:r>
      <w:r>
        <w:t>,</w:t>
      </w:r>
      <w:r w:rsidRPr="0059509B">
        <w:t xml:space="preserve"> S</w:t>
      </w:r>
      <w:r>
        <w:t>.</w:t>
      </w:r>
      <w:r w:rsidRPr="0059509B">
        <w:t>, Catherine</w:t>
      </w:r>
      <w:r>
        <w:t>,</w:t>
      </w:r>
      <w:r w:rsidRPr="0059509B">
        <w:t xml:space="preserve"> J</w:t>
      </w:r>
      <w:r>
        <w:t>.</w:t>
      </w:r>
      <w:r w:rsidRPr="0059509B">
        <w:t>H</w:t>
      </w:r>
      <w:r>
        <w:t>.</w:t>
      </w:r>
      <w:r w:rsidRPr="0059509B">
        <w:t>, Carolyn</w:t>
      </w:r>
      <w:r>
        <w:t>,</w:t>
      </w:r>
      <w:r w:rsidRPr="0059509B">
        <w:t xml:space="preserve"> W</w:t>
      </w:r>
      <w:r>
        <w:t>.</w:t>
      </w:r>
      <w:r w:rsidRPr="0059509B">
        <w:t>B</w:t>
      </w:r>
      <w:r>
        <w:t>.</w:t>
      </w:r>
      <w:r w:rsidRPr="0059509B">
        <w:t xml:space="preserve"> (2003)</w:t>
      </w:r>
      <w:r>
        <w:t>.</w:t>
      </w:r>
      <w:r w:rsidRPr="0059509B">
        <w:t xml:space="preserve"> Consequences of climate-induced salinity increases on zooplankton abundance and diversity in coastal lakes. </w:t>
      </w:r>
      <w:r w:rsidRPr="00DC3F52">
        <w:rPr>
          <w:i/>
          <w:iCs/>
        </w:rPr>
        <w:t>Marine Ecology Progress Series</w:t>
      </w:r>
      <w:r w:rsidRPr="0059509B">
        <w:t xml:space="preserve"> </w:t>
      </w:r>
      <w:r w:rsidRPr="00DC3F52">
        <w:rPr>
          <w:b/>
          <w:bCs/>
        </w:rPr>
        <w:t>251</w:t>
      </w:r>
      <w:r>
        <w:t xml:space="preserve">, </w:t>
      </w:r>
      <w:r w:rsidRPr="0059509B">
        <w:t>181</w:t>
      </w:r>
      <w:r>
        <w:t>–</w:t>
      </w:r>
      <w:r w:rsidRPr="0059509B">
        <w:t>189</w:t>
      </w:r>
      <w:r>
        <w:t>.</w:t>
      </w:r>
    </w:p>
    <w:p w14:paraId="6A8086B4" w14:textId="17F0B674" w:rsidR="00530E59" w:rsidRDefault="00530E59" w:rsidP="00530E59">
      <w:pPr>
        <w:rPr>
          <w:bCs/>
        </w:rPr>
      </w:pPr>
      <w:proofErr w:type="spellStart"/>
      <w:r w:rsidRPr="00346B75">
        <w:rPr>
          <w:bCs/>
        </w:rPr>
        <w:t>Marra</w:t>
      </w:r>
      <w:proofErr w:type="spellEnd"/>
      <w:r w:rsidRPr="00346B75">
        <w:rPr>
          <w:bCs/>
        </w:rPr>
        <w:t xml:space="preserve">, J. and Barber, R.T. (2004). Phytoplankton and heterotrophic respiration in the surface layer of the ocean. </w:t>
      </w:r>
      <w:r w:rsidRPr="00346B75">
        <w:rPr>
          <w:bCs/>
          <w:i/>
        </w:rPr>
        <w:t>Geophysical Research Letters</w:t>
      </w:r>
      <w:r w:rsidRPr="00346B75">
        <w:rPr>
          <w:bCs/>
        </w:rPr>
        <w:t xml:space="preserve"> </w:t>
      </w:r>
      <w:r w:rsidRPr="00346B75">
        <w:rPr>
          <w:b/>
          <w:bCs/>
        </w:rPr>
        <w:t>31</w:t>
      </w:r>
      <w:r w:rsidRPr="00346B75">
        <w:rPr>
          <w:bCs/>
        </w:rPr>
        <w:t>. Doi:10.1029/2004GL019664.</w:t>
      </w:r>
    </w:p>
    <w:p w14:paraId="089436FE" w14:textId="2B58EFC7" w:rsidR="00DD241A" w:rsidRPr="00346B75" w:rsidRDefault="00DD241A" w:rsidP="00DD241A">
      <w:pPr>
        <w:rPr>
          <w:bCs/>
        </w:rPr>
      </w:pPr>
      <w:r w:rsidRPr="00DD241A">
        <w:rPr>
          <w:bCs/>
        </w:rPr>
        <w:t>Murray–Darling Basin Authority (2011)</w:t>
      </w:r>
      <w:r>
        <w:rPr>
          <w:bCs/>
        </w:rPr>
        <w:t>.</w:t>
      </w:r>
      <w:r w:rsidRPr="00DD241A">
        <w:rPr>
          <w:bCs/>
        </w:rPr>
        <w:t xml:space="preserve"> The proposed “environmentally sustainable level of take” for surface water of</w:t>
      </w:r>
      <w:r>
        <w:rPr>
          <w:bCs/>
        </w:rPr>
        <w:t xml:space="preserve"> </w:t>
      </w:r>
      <w:r w:rsidRPr="00DD241A">
        <w:rPr>
          <w:bCs/>
        </w:rPr>
        <w:t>the Murray-Darling Basin: Methods and outcomes</w:t>
      </w:r>
      <w:r>
        <w:rPr>
          <w:bCs/>
        </w:rPr>
        <w:t>.</w:t>
      </w:r>
      <w:r w:rsidRPr="00DD241A">
        <w:rPr>
          <w:bCs/>
        </w:rPr>
        <w:t xml:space="preserve"> MDBA </w:t>
      </w:r>
      <w:r>
        <w:rPr>
          <w:bCs/>
        </w:rPr>
        <w:t>P</w:t>
      </w:r>
      <w:r w:rsidRPr="00DD241A">
        <w:rPr>
          <w:bCs/>
        </w:rPr>
        <w:t xml:space="preserve">ublication </w:t>
      </w:r>
      <w:r>
        <w:rPr>
          <w:bCs/>
        </w:rPr>
        <w:t>N</w:t>
      </w:r>
      <w:r w:rsidRPr="00DD241A">
        <w:rPr>
          <w:bCs/>
        </w:rPr>
        <w:t>o</w:t>
      </w:r>
      <w:r>
        <w:rPr>
          <w:bCs/>
        </w:rPr>
        <w:t>.</w:t>
      </w:r>
      <w:r w:rsidRPr="00DD241A">
        <w:rPr>
          <w:bCs/>
        </w:rPr>
        <w:t xml:space="preserve"> 226/11, Murray</w:t>
      </w:r>
      <w:r>
        <w:rPr>
          <w:bCs/>
        </w:rPr>
        <w:t xml:space="preserve"> </w:t>
      </w:r>
      <w:r w:rsidRPr="00DD241A">
        <w:rPr>
          <w:bCs/>
        </w:rPr>
        <w:t>Darling Basin Authority, Canberra</w:t>
      </w:r>
      <w:r>
        <w:rPr>
          <w:bCs/>
        </w:rPr>
        <w:t>.</w:t>
      </w:r>
    </w:p>
    <w:p w14:paraId="5FBCA9B0" w14:textId="77777777" w:rsidR="00530E59" w:rsidRPr="00346B75" w:rsidRDefault="00530E59" w:rsidP="00530E59">
      <w:pPr>
        <w:rPr>
          <w:bCs/>
        </w:rPr>
      </w:pPr>
      <w:r w:rsidRPr="00346B75">
        <w:rPr>
          <w:bCs/>
        </w:rPr>
        <w:t>Murray–Darling Basin Authority (2012). Basin Plan. Murray–Darling Basin Authority, Canberra.</w:t>
      </w:r>
    </w:p>
    <w:p w14:paraId="63C6C045" w14:textId="77777777" w:rsidR="00530E59" w:rsidRPr="0059173F" w:rsidRDefault="00530E59" w:rsidP="00530E59">
      <w:pPr>
        <w:rPr>
          <w:bCs/>
        </w:rPr>
      </w:pPr>
      <w:r w:rsidRPr="0059173F">
        <w:rPr>
          <w:bCs/>
        </w:rPr>
        <w:t>Murray–Darling Basin Commission (2006). The River Murray channel icon site environmental management plan. Murray–Darling Basin Commission, Canberra.</w:t>
      </w:r>
    </w:p>
    <w:p w14:paraId="5ACAF028" w14:textId="77777777" w:rsidR="00530E59" w:rsidRDefault="00530E59" w:rsidP="00530E59">
      <w:proofErr w:type="spellStart"/>
      <w:r w:rsidRPr="0059173F">
        <w:t>Montazeri</w:t>
      </w:r>
      <w:proofErr w:type="spellEnd"/>
      <w:r w:rsidRPr="0059173F">
        <w:t>, M., Gibbs, M. (2019). Production of 80,000 ML/day flood inundation map for the South Australian section of River Murray. DEW Technical note 2019, Government of South Australia, Department for Environment and Water, Adelaide.</w:t>
      </w:r>
    </w:p>
    <w:p w14:paraId="366C073F" w14:textId="612CAB32" w:rsidR="00530E59" w:rsidRPr="0059173F" w:rsidRDefault="00E7089B" w:rsidP="00530E59">
      <w:r w:rsidRPr="00E7089B">
        <w:t>Nandini</w:t>
      </w:r>
      <w:r>
        <w:t>,</w:t>
      </w:r>
      <w:r w:rsidRPr="00E7089B">
        <w:t xml:space="preserve"> S</w:t>
      </w:r>
      <w:r>
        <w:t>. and</w:t>
      </w:r>
      <w:r w:rsidRPr="00E7089B">
        <w:t xml:space="preserve"> Rao</w:t>
      </w:r>
      <w:r>
        <w:t>,</w:t>
      </w:r>
      <w:r w:rsidRPr="00E7089B">
        <w:t xml:space="preserve"> T</w:t>
      </w:r>
      <w:r>
        <w:t>.</w:t>
      </w:r>
      <w:r w:rsidRPr="00E7089B">
        <w:t xml:space="preserve"> (1997)</w:t>
      </w:r>
      <w:r>
        <w:t>.</w:t>
      </w:r>
      <w:r w:rsidRPr="00E7089B">
        <w:t xml:space="preserve"> Somatic and population growth in selected </w:t>
      </w:r>
      <w:proofErr w:type="spellStart"/>
      <w:r w:rsidRPr="00E7089B">
        <w:t>cladoceran</w:t>
      </w:r>
      <w:proofErr w:type="spellEnd"/>
      <w:r w:rsidRPr="00E7089B">
        <w:t xml:space="preserve"> and rotifer species offered the cyanobacterium it </w:t>
      </w:r>
      <w:r w:rsidRPr="00E7089B">
        <w:rPr>
          <w:i/>
          <w:iCs/>
        </w:rPr>
        <w:t>Microcystis aeruginosa</w:t>
      </w:r>
      <w:r w:rsidRPr="00E7089B">
        <w:t xml:space="preserve"> as food. </w:t>
      </w:r>
      <w:r w:rsidRPr="00E7089B">
        <w:rPr>
          <w:i/>
          <w:iCs/>
        </w:rPr>
        <w:t>Aquatic Ecology</w:t>
      </w:r>
      <w:r w:rsidRPr="00E7089B">
        <w:t xml:space="preserve"> </w:t>
      </w:r>
      <w:r w:rsidRPr="00E7089B">
        <w:rPr>
          <w:b/>
          <w:bCs/>
        </w:rPr>
        <w:t>31</w:t>
      </w:r>
      <w:r>
        <w:t xml:space="preserve">, </w:t>
      </w:r>
      <w:r w:rsidRPr="00E7089B">
        <w:t>283</w:t>
      </w:r>
      <w:r>
        <w:t>–</w:t>
      </w:r>
      <w:r w:rsidRPr="00E7089B">
        <w:t>298</w:t>
      </w:r>
      <w:r>
        <w:t>.</w:t>
      </w:r>
    </w:p>
    <w:p w14:paraId="695ED81F" w14:textId="77777777" w:rsidR="00530E59" w:rsidRPr="0093711B" w:rsidRDefault="00530E59" w:rsidP="00530E59">
      <w:proofErr w:type="spellStart"/>
      <w:r w:rsidRPr="0093711B">
        <w:t>Narum</w:t>
      </w:r>
      <w:proofErr w:type="spellEnd"/>
      <w:r w:rsidRPr="0093711B">
        <w:t xml:space="preserve">, S.R. (2006). Beyond Bonferroni: Less conservative analyses for conservation genetics. </w:t>
      </w:r>
      <w:r w:rsidRPr="0093711B">
        <w:rPr>
          <w:i/>
        </w:rPr>
        <w:t>Conservation Genetics</w:t>
      </w:r>
      <w:r w:rsidRPr="0093711B">
        <w:t xml:space="preserve"> </w:t>
      </w:r>
      <w:r w:rsidRPr="0093711B">
        <w:rPr>
          <w:b/>
        </w:rPr>
        <w:t>7</w:t>
      </w:r>
      <w:r w:rsidRPr="0093711B">
        <w:t>, 783–787.</w:t>
      </w:r>
    </w:p>
    <w:p w14:paraId="76960E1A" w14:textId="77777777" w:rsidR="00530E59" w:rsidRPr="003F2FD1" w:rsidRDefault="00530E59" w:rsidP="00530E59">
      <w:pPr>
        <w:rPr>
          <w:lang w:val="en-US"/>
        </w:rPr>
      </w:pPr>
      <w:r w:rsidRPr="0093711B">
        <w:rPr>
          <w:lang w:val="en-US"/>
        </w:rPr>
        <w:t xml:space="preserve">Nicol, J.M. (2004) </w:t>
      </w:r>
      <w:r w:rsidRPr="003F2FD1">
        <w:rPr>
          <w:lang w:val="en-US"/>
        </w:rPr>
        <w:t xml:space="preserve">Vegetation Dynamics of the </w:t>
      </w:r>
      <w:proofErr w:type="spellStart"/>
      <w:r w:rsidRPr="003F2FD1">
        <w:rPr>
          <w:lang w:val="en-US"/>
        </w:rPr>
        <w:t>Menindee</w:t>
      </w:r>
      <w:proofErr w:type="spellEnd"/>
      <w:r w:rsidRPr="003F2FD1">
        <w:rPr>
          <w:lang w:val="en-US"/>
        </w:rPr>
        <w:t xml:space="preserve"> Lakes with Reference to the Seed Bank. PhD, The University of Adelaide, Adelaide.</w:t>
      </w:r>
    </w:p>
    <w:p w14:paraId="75A7EA69" w14:textId="0C2224FF" w:rsidR="00530E59" w:rsidRDefault="00530E59" w:rsidP="00530E59">
      <w:pPr>
        <w:rPr>
          <w:lang w:val="en-US"/>
        </w:rPr>
      </w:pPr>
      <w:r w:rsidRPr="00F15181">
        <w:rPr>
          <w:lang w:val="en-US"/>
        </w:rPr>
        <w:t>Nicol, J.M. (2012). Understory vegetation monitoring of Chowilla environmental watering Sites 2008-12, p. 64, South Australian Research and Development Institute (Aquatic Sciences), Adelaide.</w:t>
      </w:r>
    </w:p>
    <w:p w14:paraId="21220A01" w14:textId="35EE74BB" w:rsidR="00DB4B43" w:rsidRPr="00F15181" w:rsidRDefault="00DB4B43" w:rsidP="00530E59">
      <w:pPr>
        <w:rPr>
          <w:lang w:val="en-US"/>
        </w:rPr>
      </w:pPr>
      <w:r w:rsidRPr="00F15181">
        <w:rPr>
          <w:lang w:val="en-US"/>
        </w:rPr>
        <w:t xml:space="preserve">Nicol, J.M., Frahn, K.A., Fredberg, J.F., Gehrig, S.L., </w:t>
      </w:r>
      <w:proofErr w:type="spellStart"/>
      <w:r w:rsidRPr="00F15181">
        <w:rPr>
          <w:lang w:val="en-US"/>
        </w:rPr>
        <w:t>Marsland</w:t>
      </w:r>
      <w:proofErr w:type="spellEnd"/>
      <w:r w:rsidRPr="00F15181">
        <w:rPr>
          <w:lang w:val="en-US"/>
        </w:rPr>
        <w:t xml:space="preserve">, K.B. and Weedon, J.T. (2018a). Chowilla Icon Site </w:t>
      </w:r>
      <w:r w:rsidRPr="003F2FD1">
        <w:rPr>
          <w:lang w:val="en-US"/>
        </w:rPr>
        <w:t>– Floodplain Vegetation Monitoring 2018 Interim Report, p. 70, South Australian Research and Development Institute (Aquatic Sciences), Adelaide.</w:t>
      </w:r>
    </w:p>
    <w:p w14:paraId="45D8BECC" w14:textId="77777777" w:rsidR="00530E59" w:rsidRPr="00F15181" w:rsidRDefault="00530E59" w:rsidP="00530E59">
      <w:pPr>
        <w:rPr>
          <w:lang w:val="en-US"/>
        </w:rPr>
      </w:pPr>
      <w:r w:rsidRPr="00F15181">
        <w:rPr>
          <w:lang w:val="en-US"/>
        </w:rPr>
        <w:t xml:space="preserve">Nicol, J.M., Frahn, K.A., Fredberg, J., Gehrig, S.L., </w:t>
      </w:r>
      <w:proofErr w:type="spellStart"/>
      <w:r w:rsidRPr="00F15181">
        <w:rPr>
          <w:lang w:val="en-US"/>
        </w:rPr>
        <w:t>Marsland</w:t>
      </w:r>
      <w:proofErr w:type="spellEnd"/>
      <w:r w:rsidRPr="00F15181">
        <w:rPr>
          <w:lang w:val="en-US"/>
        </w:rPr>
        <w:t>, K.B. and Weedon, J.T. (2020). Chowilla Icon Site – Floodplain Vegetation Monitoring 2019 Interim Report p. 74, South Australian Research and Development Institute (Aquatic Sciences), Adelaide.</w:t>
      </w:r>
    </w:p>
    <w:p w14:paraId="089A10F9" w14:textId="77777777" w:rsidR="00530E59" w:rsidRPr="003F2FD1" w:rsidRDefault="00530E59" w:rsidP="00530E59">
      <w:pPr>
        <w:rPr>
          <w:lang w:val="en-US"/>
        </w:rPr>
      </w:pPr>
      <w:r w:rsidRPr="003F2FD1">
        <w:rPr>
          <w:lang w:val="en-US"/>
        </w:rPr>
        <w:t xml:space="preserve">Nicol, J.M., </w:t>
      </w:r>
      <w:proofErr w:type="spellStart"/>
      <w:r w:rsidRPr="003F2FD1">
        <w:rPr>
          <w:lang w:val="en-US"/>
        </w:rPr>
        <w:t>Ganf</w:t>
      </w:r>
      <w:proofErr w:type="spellEnd"/>
      <w:r w:rsidRPr="003F2FD1">
        <w:rPr>
          <w:lang w:val="en-US"/>
        </w:rPr>
        <w:t xml:space="preserve">, G.G. and Pelton, G.A. (2003). Seed banks of a southern Australian wetland: the influence of water regime on final species composition. </w:t>
      </w:r>
      <w:r w:rsidRPr="003F2FD1">
        <w:rPr>
          <w:i/>
          <w:iCs/>
          <w:lang w:val="en-US"/>
        </w:rPr>
        <w:t>Plant Ecology</w:t>
      </w:r>
      <w:r w:rsidRPr="003F2FD1">
        <w:rPr>
          <w:lang w:val="en-US"/>
        </w:rPr>
        <w:t xml:space="preserve"> </w:t>
      </w:r>
      <w:r w:rsidRPr="003F2FD1">
        <w:rPr>
          <w:b/>
          <w:bCs/>
          <w:lang w:val="en-US"/>
        </w:rPr>
        <w:t>168</w:t>
      </w:r>
      <w:r w:rsidRPr="003F2FD1">
        <w:rPr>
          <w:lang w:val="en-US"/>
        </w:rPr>
        <w:t>, 191-205.</w:t>
      </w:r>
    </w:p>
    <w:p w14:paraId="1989C673" w14:textId="77777777" w:rsidR="00530E59" w:rsidRPr="003F2FD1" w:rsidRDefault="00530E59" w:rsidP="00530E59">
      <w:pPr>
        <w:rPr>
          <w:lang w:val="en-US"/>
        </w:rPr>
      </w:pPr>
      <w:r w:rsidRPr="003F2FD1">
        <w:rPr>
          <w:lang w:val="en-US"/>
        </w:rPr>
        <w:t xml:space="preserve">Nicol, J.M., </w:t>
      </w:r>
      <w:proofErr w:type="spellStart"/>
      <w:r w:rsidRPr="003F2FD1">
        <w:rPr>
          <w:lang w:val="en-US"/>
        </w:rPr>
        <w:t>Ganf</w:t>
      </w:r>
      <w:proofErr w:type="spellEnd"/>
      <w:r w:rsidRPr="003F2FD1">
        <w:rPr>
          <w:lang w:val="en-US"/>
        </w:rPr>
        <w:t xml:space="preserve">, G.G., Walker, K.F. and </w:t>
      </w:r>
      <w:proofErr w:type="spellStart"/>
      <w:r w:rsidRPr="003F2FD1">
        <w:rPr>
          <w:lang w:val="en-US"/>
        </w:rPr>
        <w:t>Gawne</w:t>
      </w:r>
      <w:proofErr w:type="spellEnd"/>
      <w:r w:rsidRPr="003F2FD1">
        <w:rPr>
          <w:lang w:val="en-US"/>
        </w:rPr>
        <w:t xml:space="preserve">, B. (2018b). Response of three arid zone floodplain plant species to inundation. </w:t>
      </w:r>
      <w:r w:rsidRPr="003F2FD1">
        <w:rPr>
          <w:i/>
          <w:iCs/>
          <w:lang w:val="en-US"/>
        </w:rPr>
        <w:t>Plant Ecology</w:t>
      </w:r>
      <w:r w:rsidRPr="003F2FD1">
        <w:rPr>
          <w:lang w:val="en-US"/>
        </w:rPr>
        <w:t xml:space="preserve"> </w:t>
      </w:r>
      <w:r w:rsidRPr="003F2FD1">
        <w:rPr>
          <w:b/>
          <w:bCs/>
          <w:lang w:val="en-US"/>
        </w:rPr>
        <w:t>219</w:t>
      </w:r>
      <w:r w:rsidRPr="003F2FD1">
        <w:rPr>
          <w:lang w:val="en-US"/>
        </w:rPr>
        <w:t>, 57-67.</w:t>
      </w:r>
    </w:p>
    <w:p w14:paraId="558EE0C6" w14:textId="77777777" w:rsidR="00530E59" w:rsidRPr="0059509B" w:rsidRDefault="00530E59" w:rsidP="00530E59">
      <w:pPr>
        <w:rPr>
          <w:lang w:val="en-US"/>
        </w:rPr>
      </w:pPr>
      <w:r w:rsidRPr="003F2FD1">
        <w:rPr>
          <w:lang w:val="en-US"/>
        </w:rPr>
        <w:t xml:space="preserve">Nicol, J.M., </w:t>
      </w:r>
      <w:proofErr w:type="spellStart"/>
      <w:r w:rsidRPr="003F2FD1">
        <w:rPr>
          <w:lang w:val="en-US"/>
        </w:rPr>
        <w:t>Marsland</w:t>
      </w:r>
      <w:proofErr w:type="spellEnd"/>
      <w:r w:rsidRPr="003F2FD1">
        <w:rPr>
          <w:lang w:val="en-US"/>
        </w:rPr>
        <w:t xml:space="preserve">, K.B. and Weedon, J.T. (2010). </w:t>
      </w:r>
      <w:proofErr w:type="spellStart"/>
      <w:r w:rsidRPr="003F2FD1">
        <w:rPr>
          <w:lang w:val="en-US"/>
        </w:rPr>
        <w:t>Understorey</w:t>
      </w:r>
      <w:proofErr w:type="spellEnd"/>
      <w:r w:rsidRPr="003F2FD1">
        <w:rPr>
          <w:lang w:val="en-US"/>
        </w:rPr>
        <w:t xml:space="preserve"> vegetation monitoring of Chowilla </w:t>
      </w:r>
      <w:r w:rsidRPr="0059509B">
        <w:rPr>
          <w:lang w:val="en-US"/>
        </w:rPr>
        <w:t>environmental watering sites 2004-08, p. 87, South Australian Research and Development Institute, Adelaide.</w:t>
      </w:r>
    </w:p>
    <w:p w14:paraId="6551F234" w14:textId="77777777" w:rsidR="00530E59" w:rsidRPr="0059509B" w:rsidRDefault="00530E59" w:rsidP="00530E59">
      <w:pPr>
        <w:rPr>
          <w:lang w:val="en-US"/>
        </w:rPr>
      </w:pPr>
      <w:r w:rsidRPr="0059509B">
        <w:rPr>
          <w:lang w:val="en-US"/>
        </w:rPr>
        <w:t>Nielsen</w:t>
      </w:r>
      <w:r>
        <w:rPr>
          <w:lang w:val="en-US"/>
        </w:rPr>
        <w:t>,</w:t>
      </w:r>
      <w:r w:rsidRPr="0059509B">
        <w:rPr>
          <w:lang w:val="en-US"/>
        </w:rPr>
        <w:t xml:space="preserve"> D</w:t>
      </w:r>
      <w:r>
        <w:rPr>
          <w:lang w:val="en-US"/>
        </w:rPr>
        <w:t>.</w:t>
      </w:r>
      <w:r w:rsidRPr="0059509B">
        <w:rPr>
          <w:lang w:val="en-US"/>
        </w:rPr>
        <w:t>L</w:t>
      </w:r>
      <w:r>
        <w:rPr>
          <w:lang w:val="en-US"/>
        </w:rPr>
        <w:t>.</w:t>
      </w:r>
      <w:r w:rsidRPr="0059509B">
        <w:rPr>
          <w:lang w:val="en-US"/>
        </w:rPr>
        <w:t>, Brock</w:t>
      </w:r>
      <w:r>
        <w:rPr>
          <w:lang w:val="en-US"/>
        </w:rPr>
        <w:t>,</w:t>
      </w:r>
      <w:r w:rsidRPr="0059509B">
        <w:rPr>
          <w:lang w:val="en-US"/>
        </w:rPr>
        <w:t xml:space="preserve"> M</w:t>
      </w:r>
      <w:r>
        <w:rPr>
          <w:lang w:val="en-US"/>
        </w:rPr>
        <w:t>.</w:t>
      </w:r>
      <w:r w:rsidRPr="0059509B">
        <w:rPr>
          <w:lang w:val="en-US"/>
        </w:rPr>
        <w:t>A</w:t>
      </w:r>
      <w:r>
        <w:rPr>
          <w:lang w:val="en-US"/>
        </w:rPr>
        <w:t>.</w:t>
      </w:r>
      <w:r w:rsidRPr="0059509B">
        <w:rPr>
          <w:lang w:val="en-US"/>
        </w:rPr>
        <w:t>, Vogel</w:t>
      </w:r>
      <w:r>
        <w:rPr>
          <w:lang w:val="en-US"/>
        </w:rPr>
        <w:t>,</w:t>
      </w:r>
      <w:r w:rsidRPr="0059509B">
        <w:rPr>
          <w:lang w:val="en-US"/>
        </w:rPr>
        <w:t xml:space="preserve"> M</w:t>
      </w:r>
      <w:r>
        <w:rPr>
          <w:lang w:val="en-US"/>
        </w:rPr>
        <w:t>. and</w:t>
      </w:r>
      <w:r w:rsidRPr="0059509B">
        <w:rPr>
          <w:lang w:val="en-US"/>
        </w:rPr>
        <w:t xml:space="preserve"> Petrie</w:t>
      </w:r>
      <w:r>
        <w:rPr>
          <w:lang w:val="en-US"/>
        </w:rPr>
        <w:t>,</w:t>
      </w:r>
      <w:r w:rsidRPr="0059509B">
        <w:rPr>
          <w:lang w:val="en-US"/>
        </w:rPr>
        <w:t xml:space="preserve"> R</w:t>
      </w:r>
      <w:r>
        <w:rPr>
          <w:lang w:val="en-US"/>
        </w:rPr>
        <w:t>.</w:t>
      </w:r>
      <w:r w:rsidRPr="0059509B">
        <w:rPr>
          <w:lang w:val="en-US"/>
        </w:rPr>
        <w:t xml:space="preserve"> (2008)</w:t>
      </w:r>
      <w:r>
        <w:rPr>
          <w:lang w:val="en-US"/>
        </w:rPr>
        <w:t>.</w:t>
      </w:r>
      <w:r w:rsidRPr="0059509B">
        <w:rPr>
          <w:lang w:val="en-US"/>
        </w:rPr>
        <w:t xml:space="preserve"> From fresh to saline: a comparison of zooplankton and plant communities developing under a gradient of salinity with communities developing under constant salinity levels. </w:t>
      </w:r>
      <w:r w:rsidRPr="00DC3F52">
        <w:rPr>
          <w:i/>
          <w:iCs/>
          <w:lang w:val="en-US"/>
        </w:rPr>
        <w:t>Marine and Freshwater Research</w:t>
      </w:r>
      <w:r w:rsidRPr="0059509B">
        <w:rPr>
          <w:lang w:val="en-US"/>
        </w:rPr>
        <w:t xml:space="preserve"> </w:t>
      </w:r>
      <w:r w:rsidRPr="00DC3F52">
        <w:rPr>
          <w:b/>
          <w:bCs/>
          <w:lang w:val="en-US"/>
        </w:rPr>
        <w:t>59</w:t>
      </w:r>
      <w:r>
        <w:rPr>
          <w:lang w:val="en-US"/>
        </w:rPr>
        <w:t xml:space="preserve">, </w:t>
      </w:r>
      <w:r w:rsidRPr="0059509B">
        <w:rPr>
          <w:lang w:val="en-US"/>
        </w:rPr>
        <w:t>549</w:t>
      </w:r>
      <w:r>
        <w:rPr>
          <w:lang w:val="en-US"/>
        </w:rPr>
        <w:t>–</w:t>
      </w:r>
      <w:r w:rsidRPr="0059509B">
        <w:rPr>
          <w:lang w:val="en-US"/>
        </w:rPr>
        <w:t>559.</w:t>
      </w:r>
    </w:p>
    <w:p w14:paraId="13C5B2C6" w14:textId="77777777" w:rsidR="00530E59" w:rsidRDefault="00530E59" w:rsidP="00530E59">
      <w:pPr>
        <w:rPr>
          <w:lang w:val="en-US"/>
        </w:rPr>
      </w:pPr>
      <w:proofErr w:type="spellStart"/>
      <w:r w:rsidRPr="001850B4">
        <w:rPr>
          <w:lang w:val="en-US"/>
        </w:rPr>
        <w:t>Obertegger</w:t>
      </w:r>
      <w:proofErr w:type="spellEnd"/>
      <w:r w:rsidRPr="001850B4">
        <w:rPr>
          <w:lang w:val="en-US"/>
        </w:rPr>
        <w:t xml:space="preserve">, U., </w:t>
      </w:r>
      <w:proofErr w:type="spellStart"/>
      <w:r w:rsidRPr="001850B4">
        <w:rPr>
          <w:lang w:val="en-US"/>
        </w:rPr>
        <w:t>Flaim</w:t>
      </w:r>
      <w:proofErr w:type="spellEnd"/>
      <w:r w:rsidRPr="001850B4">
        <w:rPr>
          <w:lang w:val="en-US"/>
        </w:rPr>
        <w:t xml:space="preserve">, G., </w:t>
      </w:r>
      <w:proofErr w:type="spellStart"/>
      <w:r w:rsidRPr="001850B4">
        <w:rPr>
          <w:lang w:val="en-US"/>
        </w:rPr>
        <w:t>Braioni</w:t>
      </w:r>
      <w:proofErr w:type="spellEnd"/>
      <w:r w:rsidRPr="001850B4">
        <w:rPr>
          <w:lang w:val="en-US"/>
        </w:rPr>
        <w:t xml:space="preserve">, M., Sommaruga, R., </w:t>
      </w:r>
      <w:proofErr w:type="spellStart"/>
      <w:r w:rsidRPr="001850B4">
        <w:rPr>
          <w:lang w:val="en-US"/>
        </w:rPr>
        <w:t>Corradini</w:t>
      </w:r>
      <w:proofErr w:type="spellEnd"/>
      <w:r w:rsidRPr="001850B4">
        <w:rPr>
          <w:lang w:val="en-US"/>
        </w:rPr>
        <w:t xml:space="preserve">, F. and </w:t>
      </w:r>
      <w:proofErr w:type="spellStart"/>
      <w:r w:rsidRPr="001850B4">
        <w:rPr>
          <w:lang w:val="en-US"/>
        </w:rPr>
        <w:t>Borsato</w:t>
      </w:r>
      <w:proofErr w:type="spellEnd"/>
      <w:r w:rsidRPr="001850B4">
        <w:rPr>
          <w:lang w:val="en-US"/>
        </w:rPr>
        <w:t xml:space="preserve">, A. (2007). Water residence time as a driving force of zooplankton structure and succession. </w:t>
      </w:r>
      <w:r w:rsidRPr="00DC3F52">
        <w:rPr>
          <w:i/>
          <w:iCs/>
          <w:lang w:val="en-US"/>
        </w:rPr>
        <w:t>Aquatic Sciences - Research Across Boundaries</w:t>
      </w:r>
      <w:r w:rsidRPr="001850B4">
        <w:rPr>
          <w:lang w:val="en-US"/>
        </w:rPr>
        <w:t xml:space="preserve"> </w:t>
      </w:r>
      <w:r w:rsidRPr="00DC3F52">
        <w:rPr>
          <w:b/>
          <w:bCs/>
          <w:lang w:val="en-US"/>
        </w:rPr>
        <w:t>69</w:t>
      </w:r>
      <w:r w:rsidRPr="001850B4">
        <w:rPr>
          <w:lang w:val="en-US"/>
        </w:rPr>
        <w:t>, 575–583.</w:t>
      </w:r>
    </w:p>
    <w:p w14:paraId="22680F67" w14:textId="77777777" w:rsidR="00530E59" w:rsidRPr="0059173F" w:rsidRDefault="00530E59" w:rsidP="00530E59">
      <w:proofErr w:type="spellStart"/>
      <w:r w:rsidRPr="0059173F">
        <w:t>Odum</w:t>
      </w:r>
      <w:proofErr w:type="spellEnd"/>
      <w:r w:rsidRPr="0059173F">
        <w:t xml:space="preserve">, H.T. (1956). Primary production in flowing waters. </w:t>
      </w:r>
      <w:r w:rsidRPr="0059173F">
        <w:rPr>
          <w:i/>
        </w:rPr>
        <w:t>Limnology and Oceanography</w:t>
      </w:r>
      <w:r w:rsidRPr="0059173F">
        <w:t xml:space="preserve"> </w:t>
      </w:r>
      <w:r w:rsidRPr="0059173F">
        <w:rPr>
          <w:b/>
        </w:rPr>
        <w:t>1</w:t>
      </w:r>
      <w:r w:rsidRPr="0059173F">
        <w:t>, 102–117.</w:t>
      </w:r>
    </w:p>
    <w:p w14:paraId="0D23A21C" w14:textId="77777777" w:rsidR="00530E59" w:rsidRPr="0059173F" w:rsidRDefault="00530E59" w:rsidP="00530E59">
      <w:r w:rsidRPr="0059173F">
        <w:t xml:space="preserve">Oliver, R.L. and Lorenz, Z. (2010). Flow and metabolic activity in the channel of the Murray River. Ecosystem Response Modelling in the Murray-Darling Basin N. </w:t>
      </w:r>
      <w:proofErr w:type="spellStart"/>
      <w:r w:rsidRPr="0059173F">
        <w:t>Saintilan</w:t>
      </w:r>
      <w:proofErr w:type="spellEnd"/>
      <w:r w:rsidRPr="0059173F">
        <w:t xml:space="preserve"> and I. Overton, CSIRO Publishing: 267–280.</w:t>
      </w:r>
    </w:p>
    <w:p w14:paraId="2B0ECEC9" w14:textId="77777777" w:rsidR="00530E59" w:rsidRPr="0059173F" w:rsidRDefault="00530E59" w:rsidP="00530E59">
      <w:r w:rsidRPr="0059173F">
        <w:t xml:space="preserve">Oliver, R. L. and Merrick, C. (2006). Partitioning of river metabolism identifies phytoplankton as a major contributor in the regulated Murray River (Australia). </w:t>
      </w:r>
      <w:r w:rsidRPr="0059173F">
        <w:rPr>
          <w:i/>
        </w:rPr>
        <w:t>Freshwater Biology</w:t>
      </w:r>
      <w:r w:rsidRPr="0059173F">
        <w:t xml:space="preserve"> </w:t>
      </w:r>
      <w:r w:rsidRPr="0059173F">
        <w:rPr>
          <w:b/>
        </w:rPr>
        <w:t>51</w:t>
      </w:r>
      <w:r w:rsidRPr="0059173F">
        <w:t>, 1131–1148.</w:t>
      </w:r>
    </w:p>
    <w:p w14:paraId="721FBADA" w14:textId="77777777" w:rsidR="00530E59" w:rsidRPr="009E4C4F" w:rsidRDefault="00530E59" w:rsidP="00530E59">
      <w:pPr>
        <w:rPr>
          <w:lang w:val="en-US"/>
        </w:rPr>
      </w:pPr>
      <w:r w:rsidRPr="003F2FD1">
        <w:rPr>
          <w:lang w:val="en-US"/>
        </w:rPr>
        <w:t xml:space="preserve">Papas, P. (2007). Effect of macrophytes on aquatic invertebrates – a literature review, p. 21, Arthur </w:t>
      </w:r>
      <w:proofErr w:type="spellStart"/>
      <w:r w:rsidRPr="003F2FD1">
        <w:rPr>
          <w:lang w:val="en-US"/>
        </w:rPr>
        <w:t>Rylah</w:t>
      </w:r>
      <w:proofErr w:type="spellEnd"/>
      <w:r w:rsidRPr="003F2FD1">
        <w:rPr>
          <w:lang w:val="en-US"/>
        </w:rPr>
        <w:t xml:space="preserve"> Institute for Environmental Research, Department of Sustainability and Environment </w:t>
      </w:r>
      <w:r w:rsidRPr="009E4C4F">
        <w:rPr>
          <w:lang w:val="en-US"/>
        </w:rPr>
        <w:t>and Melbourne Water, Melbourne.</w:t>
      </w:r>
    </w:p>
    <w:p w14:paraId="46502220" w14:textId="77777777" w:rsidR="00530E59" w:rsidRPr="009E4C4F" w:rsidRDefault="00530E59" w:rsidP="00530E59">
      <w:pPr>
        <w:rPr>
          <w:lang w:val="en-US"/>
        </w:rPr>
      </w:pPr>
      <w:r w:rsidRPr="009E4C4F">
        <w:rPr>
          <w:lang w:val="en-US"/>
        </w:rPr>
        <w:t xml:space="preserve">Pettit, N.E. and </w:t>
      </w:r>
      <w:proofErr w:type="spellStart"/>
      <w:r w:rsidRPr="009E4C4F">
        <w:rPr>
          <w:lang w:val="en-US"/>
        </w:rPr>
        <w:t>Froend</w:t>
      </w:r>
      <w:proofErr w:type="spellEnd"/>
      <w:r w:rsidRPr="009E4C4F">
        <w:rPr>
          <w:lang w:val="en-US"/>
        </w:rPr>
        <w:t xml:space="preserve">, R.H. (2001). Variability in flood disturbance and the impact on riparian tree recruitment in two contrasting river systems. </w:t>
      </w:r>
      <w:r w:rsidRPr="009E4C4F">
        <w:rPr>
          <w:i/>
          <w:iCs/>
          <w:lang w:val="en-US"/>
        </w:rPr>
        <w:t>Wetlands Ecology and Management</w:t>
      </w:r>
      <w:r w:rsidRPr="009E4C4F">
        <w:rPr>
          <w:lang w:val="en-US"/>
        </w:rPr>
        <w:t xml:space="preserve"> </w:t>
      </w:r>
      <w:r w:rsidRPr="009E4C4F">
        <w:rPr>
          <w:b/>
          <w:bCs/>
          <w:lang w:val="en-US"/>
        </w:rPr>
        <w:t>9</w:t>
      </w:r>
      <w:r w:rsidRPr="009E4C4F">
        <w:rPr>
          <w:lang w:val="en-US"/>
        </w:rPr>
        <w:t>, 13</w:t>
      </w:r>
      <w:r>
        <w:rPr>
          <w:lang w:val="en-US"/>
        </w:rPr>
        <w:t>–</w:t>
      </w:r>
      <w:r w:rsidRPr="009E4C4F">
        <w:rPr>
          <w:lang w:val="en-US"/>
        </w:rPr>
        <w:t>25.</w:t>
      </w:r>
    </w:p>
    <w:p w14:paraId="0B39F2E1" w14:textId="77777777" w:rsidR="00530E59" w:rsidRPr="00346B75" w:rsidRDefault="00530E59" w:rsidP="00530E59">
      <w:pPr>
        <w:rPr>
          <w:lang w:val="en-US"/>
        </w:rPr>
      </w:pPr>
      <w:r w:rsidRPr="009E4C4F">
        <w:rPr>
          <w:lang w:val="en-US"/>
        </w:rPr>
        <w:t>Phillips, W. and Muller</w:t>
      </w:r>
      <w:r w:rsidRPr="00346B75">
        <w:rPr>
          <w:lang w:val="en-US"/>
        </w:rPr>
        <w:t xml:space="preserve">, K. (2006). Ecological character of the Coorong, Lakes </w:t>
      </w:r>
      <w:proofErr w:type="gramStart"/>
      <w:r w:rsidRPr="00346B75">
        <w:rPr>
          <w:lang w:val="en-US"/>
        </w:rPr>
        <w:t>Alexandrina</w:t>
      </w:r>
      <w:proofErr w:type="gramEnd"/>
      <w:r w:rsidRPr="00346B75">
        <w:rPr>
          <w:lang w:val="en-US"/>
        </w:rPr>
        <w:t xml:space="preserve"> and Albert Wetland of International Importance. South Australian Department for Environment and Heritage.</w:t>
      </w:r>
    </w:p>
    <w:p w14:paraId="49275FA1" w14:textId="1BEDCEAB" w:rsidR="00530E59" w:rsidRDefault="00530E59" w:rsidP="00530E59">
      <w:proofErr w:type="spellStart"/>
      <w:r w:rsidRPr="0088031C">
        <w:t>Poff</w:t>
      </w:r>
      <w:proofErr w:type="spellEnd"/>
      <w:r w:rsidRPr="0088031C">
        <w:t xml:space="preserve">, N.L., Allan, J.D., Bain, M.B., Karr, J.R., </w:t>
      </w:r>
      <w:proofErr w:type="spellStart"/>
      <w:r w:rsidRPr="0088031C">
        <w:t>Prestegaard</w:t>
      </w:r>
      <w:proofErr w:type="spellEnd"/>
      <w:r w:rsidRPr="0088031C">
        <w:t xml:space="preserve">, K.L., Richter, B.D., Sparks, R.E. and Stromberg, J.C. (1997). The natural flow regime: A paradigm for river conservation and restoration </w:t>
      </w:r>
      <w:proofErr w:type="spellStart"/>
      <w:r w:rsidRPr="0088031C">
        <w:rPr>
          <w:i/>
        </w:rPr>
        <w:t>BioScience</w:t>
      </w:r>
      <w:proofErr w:type="spellEnd"/>
      <w:r w:rsidRPr="0088031C">
        <w:t xml:space="preserve"> </w:t>
      </w:r>
      <w:r w:rsidRPr="0088031C">
        <w:rPr>
          <w:b/>
        </w:rPr>
        <w:t>47</w:t>
      </w:r>
      <w:r w:rsidRPr="0088031C">
        <w:t>, 769–784.</w:t>
      </w:r>
    </w:p>
    <w:p w14:paraId="0D1E3FC7" w14:textId="1D459777" w:rsidR="00FB5EF1" w:rsidRPr="003F2FD1" w:rsidRDefault="0012609A" w:rsidP="0012609A">
      <w:r>
        <w:t xml:space="preserve">Price, A.E., Humphries, P., </w:t>
      </w:r>
      <w:proofErr w:type="spellStart"/>
      <w:r>
        <w:t>Gawne</w:t>
      </w:r>
      <w:proofErr w:type="spellEnd"/>
      <w:r>
        <w:t xml:space="preserve">, B. and </w:t>
      </w:r>
      <w:proofErr w:type="spellStart"/>
      <w:r>
        <w:t>Thoms</w:t>
      </w:r>
      <w:proofErr w:type="spellEnd"/>
      <w:r>
        <w:t xml:space="preserve">, M.C. (2012). Effects of discharge regulation on </w:t>
      </w:r>
      <w:proofErr w:type="spellStart"/>
      <w:r>
        <w:t>slackwater</w:t>
      </w:r>
      <w:proofErr w:type="spellEnd"/>
      <w:r>
        <w:t xml:space="preserve"> characteristics at multiple scales in a lowland river. </w:t>
      </w:r>
      <w:r w:rsidRPr="0012609A">
        <w:rPr>
          <w:i/>
          <w:iCs/>
        </w:rPr>
        <w:t>Canadian Journal of Fisheries and Aquatic Sciences</w:t>
      </w:r>
      <w:r>
        <w:t xml:space="preserve"> </w:t>
      </w:r>
      <w:r w:rsidRPr="0012609A">
        <w:rPr>
          <w:b/>
          <w:bCs/>
        </w:rPr>
        <w:t>70</w:t>
      </w:r>
      <w:r>
        <w:t>, 253–262.</w:t>
      </w:r>
    </w:p>
    <w:p w14:paraId="068C7EAE" w14:textId="77777777" w:rsidR="00530E59" w:rsidRPr="00127EA7" w:rsidRDefault="00530E59" w:rsidP="00530E59">
      <w:pPr>
        <w:rPr>
          <w:lang w:val="en-US"/>
        </w:rPr>
      </w:pPr>
      <w:proofErr w:type="spellStart"/>
      <w:r w:rsidRPr="003F2FD1">
        <w:rPr>
          <w:lang w:val="en-US"/>
        </w:rPr>
        <w:t>Puckridge</w:t>
      </w:r>
      <w:proofErr w:type="spellEnd"/>
      <w:r w:rsidRPr="003F2FD1">
        <w:rPr>
          <w:lang w:val="en-US"/>
        </w:rPr>
        <w:t xml:space="preserve">, J.T., Sheldon, F., Walker, K.F. and Boulton, A.J. (1998). Flow variability and the ecology of large rivers. </w:t>
      </w:r>
      <w:r w:rsidRPr="003F2FD1">
        <w:rPr>
          <w:i/>
          <w:iCs/>
          <w:lang w:val="en-US"/>
        </w:rPr>
        <w:t xml:space="preserve">Marine and </w:t>
      </w:r>
      <w:r w:rsidRPr="00127EA7">
        <w:rPr>
          <w:i/>
          <w:iCs/>
          <w:lang w:val="en-US"/>
        </w:rPr>
        <w:t>Freshwater Research</w:t>
      </w:r>
      <w:r w:rsidRPr="00127EA7">
        <w:rPr>
          <w:lang w:val="en-US"/>
        </w:rPr>
        <w:t xml:space="preserve"> </w:t>
      </w:r>
      <w:r w:rsidRPr="00127EA7">
        <w:rPr>
          <w:b/>
          <w:bCs/>
          <w:lang w:val="en-US"/>
        </w:rPr>
        <w:t>49</w:t>
      </w:r>
      <w:r w:rsidRPr="00127EA7">
        <w:rPr>
          <w:lang w:val="en-US"/>
        </w:rPr>
        <w:t>, 55</w:t>
      </w:r>
      <w:r>
        <w:rPr>
          <w:lang w:val="en-US"/>
        </w:rPr>
        <w:t>–</w:t>
      </w:r>
      <w:r w:rsidRPr="00127EA7">
        <w:rPr>
          <w:lang w:val="en-US"/>
        </w:rPr>
        <w:t>72.</w:t>
      </w:r>
    </w:p>
    <w:p w14:paraId="7A12BA87" w14:textId="77777777" w:rsidR="00E20AFA" w:rsidRPr="00127EA7" w:rsidRDefault="00E20AFA" w:rsidP="00E20AFA">
      <w:pPr>
        <w:rPr>
          <w:lang w:val="en-US"/>
        </w:rPr>
      </w:pPr>
      <w:proofErr w:type="spellStart"/>
      <w:r w:rsidRPr="00127EA7">
        <w:rPr>
          <w:lang w:val="en-US"/>
        </w:rPr>
        <w:t>Puckridge</w:t>
      </w:r>
      <w:proofErr w:type="spellEnd"/>
      <w:r>
        <w:rPr>
          <w:lang w:val="en-US"/>
        </w:rPr>
        <w:t>,</w:t>
      </w:r>
      <w:r w:rsidRPr="00127EA7">
        <w:rPr>
          <w:lang w:val="en-US"/>
        </w:rPr>
        <w:t xml:space="preserve"> J</w:t>
      </w:r>
      <w:r>
        <w:rPr>
          <w:lang w:val="en-US"/>
        </w:rPr>
        <w:t>. and</w:t>
      </w:r>
      <w:r w:rsidRPr="00127EA7">
        <w:rPr>
          <w:lang w:val="en-US"/>
        </w:rPr>
        <w:t xml:space="preserve"> Walker</w:t>
      </w:r>
      <w:r>
        <w:rPr>
          <w:lang w:val="en-US"/>
        </w:rPr>
        <w:t>,</w:t>
      </w:r>
      <w:r w:rsidRPr="00127EA7">
        <w:rPr>
          <w:lang w:val="en-US"/>
        </w:rPr>
        <w:t xml:space="preserve"> K</w:t>
      </w:r>
      <w:r>
        <w:rPr>
          <w:lang w:val="en-US"/>
        </w:rPr>
        <w:t>.</w:t>
      </w:r>
      <w:r w:rsidRPr="00127EA7">
        <w:rPr>
          <w:lang w:val="en-US"/>
        </w:rPr>
        <w:t xml:space="preserve"> (1990)</w:t>
      </w:r>
      <w:r>
        <w:rPr>
          <w:lang w:val="en-US"/>
        </w:rPr>
        <w:t>.</w:t>
      </w:r>
      <w:r w:rsidRPr="00127EA7">
        <w:rPr>
          <w:lang w:val="en-US"/>
        </w:rPr>
        <w:t xml:space="preserve"> Reproductive biology and larval development of a gizzard shad, </w:t>
      </w:r>
      <w:proofErr w:type="spellStart"/>
      <w:r w:rsidRPr="00F24C8F">
        <w:rPr>
          <w:i/>
          <w:iCs/>
          <w:lang w:val="en-US"/>
        </w:rPr>
        <w:t>Nematalosa</w:t>
      </w:r>
      <w:proofErr w:type="spellEnd"/>
      <w:r w:rsidRPr="00F24C8F">
        <w:rPr>
          <w:i/>
          <w:iCs/>
          <w:lang w:val="en-US"/>
        </w:rPr>
        <w:t xml:space="preserve"> </w:t>
      </w:r>
      <w:proofErr w:type="spellStart"/>
      <w:r w:rsidRPr="00F24C8F">
        <w:rPr>
          <w:i/>
          <w:iCs/>
          <w:lang w:val="en-US"/>
        </w:rPr>
        <w:t>erebi</w:t>
      </w:r>
      <w:proofErr w:type="spellEnd"/>
      <w:r w:rsidRPr="00127EA7">
        <w:rPr>
          <w:lang w:val="en-US"/>
        </w:rPr>
        <w:t xml:space="preserve"> (Gunther</w:t>
      </w:r>
      <w:proofErr w:type="gramStart"/>
      <w:r w:rsidRPr="00127EA7">
        <w:rPr>
          <w:lang w:val="en-US"/>
        </w:rPr>
        <w:t>)(</w:t>
      </w:r>
      <w:proofErr w:type="spellStart"/>
      <w:proofErr w:type="gramEnd"/>
      <w:r w:rsidRPr="00127EA7">
        <w:rPr>
          <w:lang w:val="en-US"/>
        </w:rPr>
        <w:t>Dorosomatinae</w:t>
      </w:r>
      <w:proofErr w:type="spellEnd"/>
      <w:r w:rsidRPr="00127EA7">
        <w:rPr>
          <w:lang w:val="en-US"/>
        </w:rPr>
        <w:t xml:space="preserve">: Teleostei), in the River Murray, South Australia. </w:t>
      </w:r>
      <w:r w:rsidRPr="00DC3F52">
        <w:rPr>
          <w:i/>
          <w:iCs/>
          <w:lang w:val="en-US"/>
        </w:rPr>
        <w:t>Marine and Freshwater Research</w:t>
      </w:r>
      <w:r w:rsidRPr="00127EA7">
        <w:rPr>
          <w:lang w:val="en-US"/>
        </w:rPr>
        <w:t xml:space="preserve"> </w:t>
      </w:r>
      <w:r w:rsidRPr="00DC3F52">
        <w:rPr>
          <w:b/>
          <w:bCs/>
          <w:lang w:val="en-US"/>
        </w:rPr>
        <w:t>41</w:t>
      </w:r>
      <w:r>
        <w:rPr>
          <w:lang w:val="en-US"/>
        </w:rPr>
        <w:t xml:space="preserve">, </w:t>
      </w:r>
      <w:r w:rsidRPr="00127EA7">
        <w:rPr>
          <w:lang w:val="en-US"/>
        </w:rPr>
        <w:t>695</w:t>
      </w:r>
      <w:r>
        <w:rPr>
          <w:lang w:val="en-US"/>
        </w:rPr>
        <w:t>–</w:t>
      </w:r>
      <w:r w:rsidRPr="00127EA7">
        <w:rPr>
          <w:lang w:val="en-US"/>
        </w:rPr>
        <w:t>712.</w:t>
      </w:r>
    </w:p>
    <w:p w14:paraId="194969DD" w14:textId="77777777" w:rsidR="00530E59" w:rsidRPr="003F2FD1" w:rsidRDefault="00530E59" w:rsidP="00530E59">
      <w:pPr>
        <w:rPr>
          <w:lang w:val="en-US"/>
        </w:rPr>
      </w:pPr>
      <w:proofErr w:type="spellStart"/>
      <w:r w:rsidRPr="003F2FD1">
        <w:rPr>
          <w:lang w:val="en-US"/>
        </w:rPr>
        <w:t>Puckridge</w:t>
      </w:r>
      <w:proofErr w:type="spellEnd"/>
      <w:r w:rsidRPr="003F2FD1">
        <w:rPr>
          <w:lang w:val="en-US"/>
        </w:rPr>
        <w:t xml:space="preserve">, J.T., Walker, K.F. and </w:t>
      </w:r>
      <w:proofErr w:type="spellStart"/>
      <w:r w:rsidRPr="003F2FD1">
        <w:rPr>
          <w:lang w:val="en-US"/>
        </w:rPr>
        <w:t>Costelloe</w:t>
      </w:r>
      <w:proofErr w:type="spellEnd"/>
      <w:r w:rsidRPr="003F2FD1">
        <w:rPr>
          <w:lang w:val="en-US"/>
        </w:rPr>
        <w:t xml:space="preserve">, J.F. (2000). Hydrological persistence and the ecology of dryland rivers. </w:t>
      </w:r>
      <w:r w:rsidRPr="003F2FD1">
        <w:rPr>
          <w:i/>
          <w:iCs/>
          <w:lang w:val="en-US"/>
        </w:rPr>
        <w:t>Regulated Rivers Research and Management</w:t>
      </w:r>
      <w:r w:rsidRPr="003F2FD1">
        <w:rPr>
          <w:lang w:val="en-US"/>
        </w:rPr>
        <w:t xml:space="preserve"> </w:t>
      </w:r>
      <w:r w:rsidRPr="003F2FD1">
        <w:rPr>
          <w:b/>
          <w:bCs/>
          <w:lang w:val="en-US"/>
        </w:rPr>
        <w:t>16</w:t>
      </w:r>
      <w:r w:rsidRPr="003F2FD1">
        <w:rPr>
          <w:lang w:val="en-US"/>
        </w:rPr>
        <w:t>, 385</w:t>
      </w:r>
      <w:r>
        <w:rPr>
          <w:lang w:val="en-US"/>
        </w:rPr>
        <w:t>–</w:t>
      </w:r>
      <w:r w:rsidRPr="003F2FD1">
        <w:rPr>
          <w:lang w:val="en-US"/>
        </w:rPr>
        <w:t>402.</w:t>
      </w:r>
    </w:p>
    <w:p w14:paraId="306EF1E4" w14:textId="77777777" w:rsidR="00530E59" w:rsidRPr="00A95F87" w:rsidRDefault="00530E59" w:rsidP="00530E59">
      <w:r w:rsidRPr="00A95F87">
        <w:t>Reynolds, C.S. (1984). The Ecology of Freshwater Phytoplankton. Cambridge University Press. Cambridge. 384p.</w:t>
      </w:r>
    </w:p>
    <w:p w14:paraId="2B4290EB" w14:textId="77777777" w:rsidR="00530E59" w:rsidRPr="00346B75" w:rsidRDefault="00530E59" w:rsidP="00530E59">
      <w:r w:rsidRPr="00346B75">
        <w:t xml:space="preserve">Rivkin, R.B. and Legendre, L. (2001). Biogenic carbon cycling in the upper ocean: Effects of microbial respiration. </w:t>
      </w:r>
      <w:r w:rsidRPr="00346B75">
        <w:rPr>
          <w:i/>
        </w:rPr>
        <w:t xml:space="preserve">Science </w:t>
      </w:r>
      <w:r w:rsidRPr="00346B75">
        <w:rPr>
          <w:b/>
        </w:rPr>
        <w:t>291</w:t>
      </w:r>
      <w:r w:rsidRPr="00346B75">
        <w:t>, 2398–2400.</w:t>
      </w:r>
    </w:p>
    <w:p w14:paraId="33BE6016" w14:textId="77777777" w:rsidR="00530E59" w:rsidRPr="00346B75" w:rsidRDefault="00530E59" w:rsidP="00530E59">
      <w:pPr>
        <w:rPr>
          <w:lang w:val="en-US"/>
        </w:rPr>
      </w:pPr>
      <w:r w:rsidRPr="00346B75">
        <w:rPr>
          <w:lang w:val="en-US"/>
        </w:rPr>
        <w:t xml:space="preserve">Roberts, J. and </w:t>
      </w:r>
      <w:proofErr w:type="spellStart"/>
      <w:r w:rsidRPr="00346B75">
        <w:rPr>
          <w:lang w:val="en-US"/>
        </w:rPr>
        <w:t>Ganf</w:t>
      </w:r>
      <w:proofErr w:type="spellEnd"/>
      <w:r w:rsidRPr="00346B75">
        <w:rPr>
          <w:lang w:val="en-US"/>
        </w:rPr>
        <w:t xml:space="preserve">, G.G. (1986). Annual production of </w:t>
      </w:r>
      <w:r w:rsidRPr="00346B75">
        <w:rPr>
          <w:i/>
          <w:iCs/>
          <w:lang w:val="en-US"/>
        </w:rPr>
        <w:t xml:space="preserve">Typha </w:t>
      </w:r>
      <w:proofErr w:type="spellStart"/>
      <w:r w:rsidRPr="00346B75">
        <w:rPr>
          <w:i/>
          <w:iCs/>
          <w:lang w:val="en-US"/>
        </w:rPr>
        <w:t>orientalis</w:t>
      </w:r>
      <w:proofErr w:type="spellEnd"/>
      <w:r w:rsidRPr="00346B75">
        <w:rPr>
          <w:lang w:val="en-US"/>
        </w:rPr>
        <w:t xml:space="preserve"> </w:t>
      </w:r>
      <w:proofErr w:type="spellStart"/>
      <w:r w:rsidRPr="00346B75">
        <w:rPr>
          <w:lang w:val="en-US"/>
        </w:rPr>
        <w:t>Persl</w:t>
      </w:r>
      <w:proofErr w:type="spellEnd"/>
      <w:r w:rsidRPr="00346B75">
        <w:rPr>
          <w:lang w:val="en-US"/>
        </w:rPr>
        <w:t xml:space="preserve">. in inland Australia. </w:t>
      </w:r>
      <w:r w:rsidRPr="00346B75">
        <w:rPr>
          <w:i/>
          <w:iCs/>
          <w:lang w:val="en-US"/>
        </w:rPr>
        <w:t>Australian Journal of Marine and Freshwater Research</w:t>
      </w:r>
      <w:r w:rsidRPr="00346B75">
        <w:rPr>
          <w:lang w:val="en-US"/>
        </w:rPr>
        <w:t xml:space="preserve"> </w:t>
      </w:r>
      <w:r w:rsidRPr="00346B75">
        <w:rPr>
          <w:b/>
          <w:bCs/>
          <w:lang w:val="en-US"/>
        </w:rPr>
        <w:t>37</w:t>
      </w:r>
      <w:r w:rsidRPr="00346B75">
        <w:rPr>
          <w:lang w:val="en-US"/>
        </w:rPr>
        <w:t>, 659</w:t>
      </w:r>
      <w:r>
        <w:rPr>
          <w:lang w:val="en-US"/>
        </w:rPr>
        <w:t>–</w:t>
      </w:r>
      <w:r w:rsidRPr="00346B75">
        <w:rPr>
          <w:lang w:val="en-US"/>
        </w:rPr>
        <w:t>668.</w:t>
      </w:r>
    </w:p>
    <w:p w14:paraId="2979083B" w14:textId="71EA6ACD" w:rsidR="00530E59" w:rsidRPr="001473D5" w:rsidRDefault="00530E59" w:rsidP="00530E59">
      <w:pPr>
        <w:rPr>
          <w:lang w:val="en-US"/>
        </w:rPr>
      </w:pPr>
      <w:r w:rsidRPr="001473D5">
        <w:rPr>
          <w:lang w:val="en-US"/>
        </w:rPr>
        <w:t>Rowland</w:t>
      </w:r>
      <w:r>
        <w:rPr>
          <w:lang w:val="en-US"/>
        </w:rPr>
        <w:t>,</w:t>
      </w:r>
      <w:r w:rsidRPr="001473D5">
        <w:rPr>
          <w:lang w:val="en-US"/>
        </w:rPr>
        <w:t xml:space="preserve"> S</w:t>
      </w:r>
      <w:r>
        <w:rPr>
          <w:lang w:val="en-US"/>
        </w:rPr>
        <w:t>.</w:t>
      </w:r>
      <w:r w:rsidRPr="001473D5">
        <w:rPr>
          <w:lang w:val="en-US"/>
        </w:rPr>
        <w:t xml:space="preserve"> </w:t>
      </w:r>
      <w:r>
        <w:rPr>
          <w:lang w:val="en-US"/>
        </w:rPr>
        <w:t xml:space="preserve">(1998). </w:t>
      </w:r>
      <w:r w:rsidRPr="001473D5">
        <w:rPr>
          <w:lang w:val="en-US"/>
        </w:rPr>
        <w:t xml:space="preserve">Aspects of the reproductive biology of Murray cod, </w:t>
      </w:r>
      <w:proofErr w:type="spellStart"/>
      <w:r w:rsidRPr="00DC3F52">
        <w:rPr>
          <w:i/>
          <w:iCs/>
          <w:lang w:val="en-US"/>
        </w:rPr>
        <w:t>Maccullochella</w:t>
      </w:r>
      <w:proofErr w:type="spellEnd"/>
      <w:r w:rsidRPr="00DC3F52">
        <w:rPr>
          <w:i/>
          <w:iCs/>
          <w:lang w:val="en-US"/>
        </w:rPr>
        <w:t xml:space="preserve"> </w:t>
      </w:r>
      <w:proofErr w:type="spellStart"/>
      <w:r w:rsidRPr="00DC3F52">
        <w:rPr>
          <w:i/>
          <w:iCs/>
          <w:lang w:val="en-US"/>
        </w:rPr>
        <w:t>peelii</w:t>
      </w:r>
      <w:proofErr w:type="spellEnd"/>
      <w:r w:rsidRPr="00DC3F52">
        <w:rPr>
          <w:i/>
          <w:iCs/>
          <w:lang w:val="en-US"/>
        </w:rPr>
        <w:t xml:space="preserve"> </w:t>
      </w:r>
      <w:proofErr w:type="spellStart"/>
      <w:r w:rsidRPr="00DC3F52">
        <w:rPr>
          <w:i/>
          <w:iCs/>
          <w:lang w:val="en-US"/>
        </w:rPr>
        <w:t>peelii</w:t>
      </w:r>
      <w:proofErr w:type="spellEnd"/>
      <w:r w:rsidRPr="001473D5">
        <w:rPr>
          <w:lang w:val="en-US"/>
        </w:rPr>
        <w:t xml:space="preserve">. In: </w:t>
      </w:r>
      <w:r>
        <w:rPr>
          <w:lang w:val="en-US"/>
        </w:rPr>
        <w:t>P</w:t>
      </w:r>
      <w:r w:rsidRPr="001473D5">
        <w:rPr>
          <w:lang w:val="en-US"/>
        </w:rPr>
        <w:t>roceedings-</w:t>
      </w:r>
      <w:r>
        <w:rPr>
          <w:lang w:val="en-US"/>
        </w:rPr>
        <w:t>L</w:t>
      </w:r>
      <w:r w:rsidRPr="001473D5">
        <w:rPr>
          <w:lang w:val="en-US"/>
        </w:rPr>
        <w:t xml:space="preserve">innean </w:t>
      </w:r>
      <w:r>
        <w:rPr>
          <w:lang w:val="en-US"/>
        </w:rPr>
        <w:t>S</w:t>
      </w:r>
      <w:r w:rsidRPr="001473D5">
        <w:rPr>
          <w:lang w:val="en-US"/>
        </w:rPr>
        <w:t xml:space="preserve">ociety of </w:t>
      </w:r>
      <w:r>
        <w:rPr>
          <w:lang w:val="en-US"/>
        </w:rPr>
        <w:t>N</w:t>
      </w:r>
      <w:r w:rsidRPr="001473D5">
        <w:rPr>
          <w:lang w:val="en-US"/>
        </w:rPr>
        <w:t xml:space="preserve">ew </w:t>
      </w:r>
      <w:r>
        <w:rPr>
          <w:lang w:val="en-US"/>
        </w:rPr>
        <w:t>S</w:t>
      </w:r>
      <w:r w:rsidRPr="001473D5">
        <w:rPr>
          <w:lang w:val="en-US"/>
        </w:rPr>
        <w:t xml:space="preserve">outh </w:t>
      </w:r>
      <w:r>
        <w:rPr>
          <w:lang w:val="en-US"/>
        </w:rPr>
        <w:t>W</w:t>
      </w:r>
      <w:r w:rsidRPr="001473D5">
        <w:rPr>
          <w:lang w:val="en-US"/>
        </w:rPr>
        <w:t xml:space="preserve">ales, 1998. vol 120. </w:t>
      </w:r>
      <w:r>
        <w:rPr>
          <w:lang w:val="en-US"/>
        </w:rPr>
        <w:t>L</w:t>
      </w:r>
      <w:r w:rsidRPr="001473D5">
        <w:rPr>
          <w:lang w:val="en-US"/>
        </w:rPr>
        <w:t xml:space="preserve">innean </w:t>
      </w:r>
      <w:r>
        <w:rPr>
          <w:lang w:val="en-US"/>
        </w:rPr>
        <w:t>S</w:t>
      </w:r>
      <w:r w:rsidRPr="001473D5">
        <w:rPr>
          <w:lang w:val="en-US"/>
        </w:rPr>
        <w:t xml:space="preserve">ociety of </w:t>
      </w:r>
      <w:r>
        <w:rPr>
          <w:lang w:val="en-US"/>
        </w:rPr>
        <w:t>N</w:t>
      </w:r>
      <w:r w:rsidRPr="001473D5">
        <w:rPr>
          <w:lang w:val="en-US"/>
        </w:rPr>
        <w:t xml:space="preserve">ew </w:t>
      </w:r>
      <w:r>
        <w:rPr>
          <w:lang w:val="en-US"/>
        </w:rPr>
        <w:t>S</w:t>
      </w:r>
      <w:r w:rsidRPr="001473D5">
        <w:rPr>
          <w:lang w:val="en-US"/>
        </w:rPr>
        <w:t xml:space="preserve">outh </w:t>
      </w:r>
      <w:r>
        <w:rPr>
          <w:lang w:val="en-US"/>
        </w:rPr>
        <w:t>W</w:t>
      </w:r>
      <w:r w:rsidRPr="001473D5">
        <w:rPr>
          <w:lang w:val="en-US"/>
        </w:rPr>
        <w:t>ales, p. 147</w:t>
      </w:r>
      <w:r>
        <w:rPr>
          <w:lang w:val="en-US"/>
        </w:rPr>
        <w:t>–</w:t>
      </w:r>
      <w:r w:rsidRPr="001473D5">
        <w:rPr>
          <w:lang w:val="en-US"/>
        </w:rPr>
        <w:t>162.</w:t>
      </w:r>
    </w:p>
    <w:p w14:paraId="233D89EA" w14:textId="77777777" w:rsidR="00530E59" w:rsidRPr="003F2FD1" w:rsidRDefault="00530E59" w:rsidP="00530E59">
      <w:pPr>
        <w:rPr>
          <w:lang w:val="en-US"/>
        </w:rPr>
      </w:pPr>
      <w:r w:rsidRPr="003F2FD1">
        <w:rPr>
          <w:lang w:val="en-US"/>
        </w:rPr>
        <w:t xml:space="preserve">Sabo, J.L., </w:t>
      </w:r>
      <w:proofErr w:type="spellStart"/>
      <w:r w:rsidRPr="003F2FD1">
        <w:rPr>
          <w:lang w:val="en-US"/>
        </w:rPr>
        <w:t>Sponseller</w:t>
      </w:r>
      <w:proofErr w:type="spellEnd"/>
      <w:r w:rsidRPr="003F2FD1">
        <w:rPr>
          <w:lang w:val="en-US"/>
        </w:rPr>
        <w:t xml:space="preserve">, R., Dixon, M., </w:t>
      </w:r>
      <w:proofErr w:type="spellStart"/>
      <w:r w:rsidRPr="003F2FD1">
        <w:rPr>
          <w:lang w:val="en-US"/>
        </w:rPr>
        <w:t>Gade</w:t>
      </w:r>
      <w:proofErr w:type="spellEnd"/>
      <w:r w:rsidRPr="003F2FD1">
        <w:rPr>
          <w:lang w:val="en-US"/>
        </w:rPr>
        <w:t xml:space="preserve">, K., Harms, T., Heffernan, J., Jani, A., Katz, G., </w:t>
      </w:r>
      <w:proofErr w:type="spellStart"/>
      <w:r w:rsidRPr="003F2FD1">
        <w:rPr>
          <w:lang w:val="en-US"/>
        </w:rPr>
        <w:t>Soykan</w:t>
      </w:r>
      <w:proofErr w:type="spellEnd"/>
      <w:r w:rsidRPr="003F2FD1">
        <w:rPr>
          <w:lang w:val="en-US"/>
        </w:rPr>
        <w:t xml:space="preserve">, C., Watts, J. and </w:t>
      </w:r>
      <w:proofErr w:type="spellStart"/>
      <w:r w:rsidRPr="003F2FD1">
        <w:rPr>
          <w:lang w:val="en-US"/>
        </w:rPr>
        <w:t>Weltera</w:t>
      </w:r>
      <w:proofErr w:type="spellEnd"/>
      <w:r w:rsidRPr="003F2FD1">
        <w:rPr>
          <w:lang w:val="en-US"/>
        </w:rPr>
        <w:t xml:space="preserve">, J. (2005). Riparian zones increase regional species richness by harboring different, not more, species. </w:t>
      </w:r>
      <w:r w:rsidRPr="003F2FD1">
        <w:rPr>
          <w:i/>
          <w:iCs/>
          <w:lang w:val="en-US"/>
        </w:rPr>
        <w:t>Ecology</w:t>
      </w:r>
      <w:r w:rsidRPr="003F2FD1">
        <w:rPr>
          <w:lang w:val="en-US"/>
        </w:rPr>
        <w:t xml:space="preserve"> </w:t>
      </w:r>
      <w:r w:rsidRPr="003F2FD1">
        <w:rPr>
          <w:b/>
          <w:bCs/>
          <w:lang w:val="en-US"/>
        </w:rPr>
        <w:t>86</w:t>
      </w:r>
      <w:r w:rsidRPr="003F2FD1">
        <w:rPr>
          <w:lang w:val="en-US"/>
        </w:rPr>
        <w:t>, 56–62.</w:t>
      </w:r>
    </w:p>
    <w:p w14:paraId="0AE09E9E" w14:textId="77777777" w:rsidR="00530E59" w:rsidRPr="00127E7F" w:rsidRDefault="00530E59" w:rsidP="00530E59">
      <w:pPr>
        <w:rPr>
          <w:lang w:val="en-US"/>
        </w:rPr>
      </w:pPr>
      <w:proofErr w:type="spellStart"/>
      <w:r w:rsidRPr="003F2FD1">
        <w:rPr>
          <w:lang w:val="en-US"/>
        </w:rPr>
        <w:t>Sainty</w:t>
      </w:r>
      <w:proofErr w:type="spellEnd"/>
      <w:r w:rsidRPr="003F2FD1">
        <w:rPr>
          <w:lang w:val="en-US"/>
        </w:rPr>
        <w:t xml:space="preserve">, G.R. and Jacobs, S.W.L. (2003). </w:t>
      </w:r>
      <w:proofErr w:type="spellStart"/>
      <w:r w:rsidRPr="003F2FD1">
        <w:rPr>
          <w:lang w:val="en-US"/>
        </w:rPr>
        <w:t>Waterplants</w:t>
      </w:r>
      <w:proofErr w:type="spellEnd"/>
      <w:r w:rsidRPr="003F2FD1">
        <w:rPr>
          <w:lang w:val="en-US"/>
        </w:rPr>
        <w:t xml:space="preserve"> in Australia, </w:t>
      </w:r>
      <w:proofErr w:type="spellStart"/>
      <w:r w:rsidRPr="003F2FD1">
        <w:rPr>
          <w:lang w:val="en-US"/>
        </w:rPr>
        <w:t>Sainty</w:t>
      </w:r>
      <w:proofErr w:type="spellEnd"/>
      <w:r w:rsidRPr="003F2FD1">
        <w:rPr>
          <w:lang w:val="en-US"/>
        </w:rPr>
        <w:t xml:space="preserve"> and Associates, Darlinghurst, N.S.</w:t>
      </w:r>
      <w:r w:rsidRPr="00127E7F">
        <w:rPr>
          <w:lang w:val="en-US"/>
        </w:rPr>
        <w:t>W., Australia.</w:t>
      </w:r>
    </w:p>
    <w:p w14:paraId="6631C73F" w14:textId="77777777" w:rsidR="00530E59" w:rsidRPr="00127E7F" w:rsidRDefault="00530E59" w:rsidP="00530E59">
      <w:r w:rsidRPr="00127E7F">
        <w:t>Sampson</w:t>
      </w:r>
      <w:r>
        <w:t>,</w:t>
      </w:r>
      <w:r w:rsidRPr="00127E7F">
        <w:t xml:space="preserve"> S</w:t>
      </w:r>
      <w:r>
        <w:t>.</w:t>
      </w:r>
      <w:r w:rsidRPr="00127E7F">
        <w:t>J</w:t>
      </w:r>
      <w:r>
        <w:t>.</w:t>
      </w:r>
      <w:r w:rsidRPr="00127E7F">
        <w:t>, Chick</w:t>
      </w:r>
      <w:r>
        <w:t>,</w:t>
      </w:r>
      <w:r w:rsidRPr="00127E7F">
        <w:t xml:space="preserve"> J</w:t>
      </w:r>
      <w:r>
        <w:t>.</w:t>
      </w:r>
      <w:r w:rsidRPr="00127E7F">
        <w:t>H</w:t>
      </w:r>
      <w:r>
        <w:t>. and</w:t>
      </w:r>
      <w:r w:rsidRPr="00127E7F">
        <w:t xml:space="preserve"> </w:t>
      </w:r>
      <w:proofErr w:type="spellStart"/>
      <w:r w:rsidRPr="00127E7F">
        <w:t>Pegg</w:t>
      </w:r>
      <w:proofErr w:type="spellEnd"/>
      <w:r>
        <w:t>,</w:t>
      </w:r>
      <w:r w:rsidRPr="00127E7F">
        <w:t xml:space="preserve"> M</w:t>
      </w:r>
      <w:r>
        <w:t>.</w:t>
      </w:r>
      <w:r w:rsidRPr="00127E7F">
        <w:t>A</w:t>
      </w:r>
      <w:r>
        <w:t>.</w:t>
      </w:r>
      <w:r w:rsidRPr="00127E7F">
        <w:t xml:space="preserve"> (2009)</w:t>
      </w:r>
      <w:r>
        <w:t>.</w:t>
      </w:r>
      <w:r w:rsidRPr="00127E7F">
        <w:t xml:space="preserve"> Diet overlap among two Asian carp and three native fishes in backwater lakes on the Illinois and Mississippi rivers. </w:t>
      </w:r>
      <w:r w:rsidRPr="00DC3F52">
        <w:rPr>
          <w:i/>
          <w:iCs/>
        </w:rPr>
        <w:t>Biological Invasions</w:t>
      </w:r>
      <w:r w:rsidRPr="00127E7F">
        <w:t xml:space="preserve"> </w:t>
      </w:r>
      <w:r w:rsidRPr="00DC3F52">
        <w:rPr>
          <w:b/>
          <w:bCs/>
        </w:rPr>
        <w:t>11</w:t>
      </w:r>
      <w:r>
        <w:t xml:space="preserve">, </w:t>
      </w:r>
      <w:r w:rsidRPr="00127E7F">
        <w:t>483</w:t>
      </w:r>
      <w:r>
        <w:t>–</w:t>
      </w:r>
      <w:r w:rsidRPr="00127E7F">
        <w:t>496</w:t>
      </w:r>
      <w:r>
        <w:t>.</w:t>
      </w:r>
    </w:p>
    <w:p w14:paraId="1EB5B067" w14:textId="77777777" w:rsidR="00530E59" w:rsidRPr="0059173F" w:rsidRDefault="00530E59" w:rsidP="00530E59">
      <w:r w:rsidRPr="0059173F">
        <w:t xml:space="preserve">Sellers, T. and </w:t>
      </w:r>
      <w:proofErr w:type="spellStart"/>
      <w:r w:rsidRPr="0059173F">
        <w:t>Bukaveckas</w:t>
      </w:r>
      <w:proofErr w:type="spellEnd"/>
      <w:r>
        <w:t>, P.A.</w:t>
      </w:r>
      <w:r w:rsidRPr="0059173F">
        <w:t xml:space="preserve"> (2003). Phytoplankton production in a large, regulated river: A </w:t>
      </w:r>
      <w:r w:rsidRPr="0059173F">
        <w:pgNum/>
      </w:r>
      <w:proofErr w:type="spellStart"/>
      <w:r w:rsidRPr="0059173F">
        <w:t>etractys</w:t>
      </w:r>
      <w:proofErr w:type="spellEnd"/>
      <w:r w:rsidRPr="0059173F">
        <w:t xml:space="preserve"> and mass balance assessment. </w:t>
      </w:r>
      <w:r w:rsidRPr="0059173F">
        <w:rPr>
          <w:i/>
        </w:rPr>
        <w:t>Limnology and Oceanography</w:t>
      </w:r>
      <w:r w:rsidRPr="0059173F">
        <w:t xml:space="preserve"> </w:t>
      </w:r>
      <w:r w:rsidRPr="0059173F">
        <w:rPr>
          <w:b/>
        </w:rPr>
        <w:t>48</w:t>
      </w:r>
      <w:r w:rsidRPr="0059173F">
        <w:t>, 1476–1487.</w:t>
      </w:r>
    </w:p>
    <w:p w14:paraId="3B3D2434" w14:textId="77777777" w:rsidR="00530E59" w:rsidRPr="00C41153" w:rsidRDefault="00530E59" w:rsidP="00530E59">
      <w:r w:rsidRPr="00F77EB2">
        <w:t xml:space="preserve">Shiel, R.J. and </w:t>
      </w:r>
      <w:r w:rsidRPr="00C41153">
        <w:t>Aldridge, K.T. (2011). The response of zooplankton communities in the North lagoon of the Coorong and Murray Mouth to barrage releases from the Lower Lakes, November 2010</w:t>
      </w:r>
      <w:r w:rsidRPr="00C41153">
        <w:rPr>
          <w:rFonts w:eastAsiaTheme="majorEastAsia"/>
        </w:rPr>
        <w:t>–</w:t>
      </w:r>
      <w:r w:rsidRPr="00C41153">
        <w:t>April 2011. Report for DENR and DWSA. June, 49 pp.</w:t>
      </w:r>
    </w:p>
    <w:p w14:paraId="33A2AEFD" w14:textId="77777777" w:rsidR="00530E59" w:rsidRPr="00C41153" w:rsidRDefault="00530E59" w:rsidP="00530E59">
      <w:r w:rsidRPr="00C41153">
        <w:t xml:space="preserve">Shiel, R.J. and Tan, L.W. (2013a). Zooplankton response monitoring: Lower Lakes, </w:t>
      </w:r>
      <w:proofErr w:type="gramStart"/>
      <w:r w:rsidRPr="00C41153">
        <w:t>Coorong</w:t>
      </w:r>
      <w:proofErr w:type="gramEnd"/>
      <w:r w:rsidRPr="00C41153">
        <w:t xml:space="preserve"> and Murray Mouth October 2011 – April 2012. Report for DEWNR SA. June, 49 pp.</w:t>
      </w:r>
    </w:p>
    <w:p w14:paraId="0320006C" w14:textId="77777777" w:rsidR="00530E59" w:rsidRPr="00C41153" w:rsidRDefault="00530E59" w:rsidP="00530E59">
      <w:r w:rsidRPr="00C41153">
        <w:t xml:space="preserve">Shiel, R.J. and Tan, L.W. (2013b). Zooplankton response monitoring: Lower Lakes, </w:t>
      </w:r>
      <w:proofErr w:type="gramStart"/>
      <w:r w:rsidRPr="00C41153">
        <w:t>Coorong</w:t>
      </w:r>
      <w:proofErr w:type="gramEnd"/>
      <w:r w:rsidRPr="00C41153">
        <w:t xml:space="preserve"> and Murray Mouth September 2012– March2013. Report for DEWNR SA. Sept</w:t>
      </w:r>
      <w:r>
        <w:t>ember</w:t>
      </w:r>
      <w:r w:rsidRPr="00C41153">
        <w:t>, 41 pp.</w:t>
      </w:r>
    </w:p>
    <w:p w14:paraId="7DBCE0E9" w14:textId="77777777" w:rsidR="00530E59" w:rsidRPr="003F6FA6" w:rsidRDefault="00530E59" w:rsidP="00530E59">
      <w:r w:rsidRPr="003F6FA6">
        <w:t>Shiel</w:t>
      </w:r>
      <w:r>
        <w:t>,</w:t>
      </w:r>
      <w:r w:rsidRPr="003F6FA6">
        <w:t xml:space="preserve"> R</w:t>
      </w:r>
      <w:r>
        <w:t>.</w:t>
      </w:r>
      <w:r w:rsidRPr="003F6FA6">
        <w:t>, Walker</w:t>
      </w:r>
      <w:r>
        <w:t>,</w:t>
      </w:r>
      <w:r w:rsidRPr="003F6FA6">
        <w:t xml:space="preserve"> K</w:t>
      </w:r>
      <w:r>
        <w:t>. and</w:t>
      </w:r>
      <w:r w:rsidRPr="003F6FA6">
        <w:t xml:space="preserve"> Williams</w:t>
      </w:r>
      <w:r>
        <w:t>,</w:t>
      </w:r>
      <w:r w:rsidRPr="003F6FA6">
        <w:t xml:space="preserve"> W</w:t>
      </w:r>
      <w:r>
        <w:t>.</w:t>
      </w:r>
      <w:r w:rsidRPr="003F6FA6">
        <w:t xml:space="preserve"> (1982)</w:t>
      </w:r>
      <w:r>
        <w:t>.</w:t>
      </w:r>
      <w:r w:rsidRPr="003F6FA6">
        <w:t xml:space="preserve"> Plankton of the lower River Murray, South Australia. </w:t>
      </w:r>
      <w:r w:rsidRPr="00DC3F52">
        <w:rPr>
          <w:i/>
          <w:iCs/>
        </w:rPr>
        <w:t>Marine and Freshwater Research</w:t>
      </w:r>
      <w:r w:rsidRPr="003F6FA6">
        <w:t xml:space="preserve"> </w:t>
      </w:r>
      <w:r w:rsidRPr="00DC3F52">
        <w:rPr>
          <w:b/>
          <w:bCs/>
        </w:rPr>
        <w:t>33</w:t>
      </w:r>
      <w:r>
        <w:t xml:space="preserve">, </w:t>
      </w:r>
      <w:r w:rsidRPr="003F6FA6">
        <w:t>301</w:t>
      </w:r>
      <w:r>
        <w:t>–3</w:t>
      </w:r>
      <w:r w:rsidRPr="003F6FA6">
        <w:t>27.</w:t>
      </w:r>
    </w:p>
    <w:p w14:paraId="520D34E5" w14:textId="77777777" w:rsidR="00530E59" w:rsidRPr="00346B75" w:rsidRDefault="00530E59" w:rsidP="00530E59">
      <w:pPr>
        <w:rPr>
          <w:lang w:val="en-US"/>
        </w:rPr>
      </w:pPr>
      <w:r w:rsidRPr="00346B75">
        <w:rPr>
          <w:lang w:val="en-US"/>
        </w:rPr>
        <w:t xml:space="preserve">Sorrell, B.K. and Hawes, I. (2010). Convective gas flow development and the maximum depths achieved by helophyte vegetation in lakes. </w:t>
      </w:r>
      <w:r w:rsidRPr="00346B75">
        <w:rPr>
          <w:i/>
          <w:iCs/>
          <w:lang w:val="en-US"/>
        </w:rPr>
        <w:t>Annals of Botany</w:t>
      </w:r>
      <w:r w:rsidRPr="00346B75">
        <w:rPr>
          <w:lang w:val="en-US"/>
        </w:rPr>
        <w:t xml:space="preserve"> </w:t>
      </w:r>
      <w:r w:rsidRPr="00346B75">
        <w:rPr>
          <w:b/>
          <w:bCs/>
          <w:lang w:val="en-US"/>
        </w:rPr>
        <w:t>105</w:t>
      </w:r>
      <w:r w:rsidRPr="00346B75">
        <w:rPr>
          <w:lang w:val="en-US"/>
        </w:rPr>
        <w:t>, 165</w:t>
      </w:r>
      <w:r>
        <w:rPr>
          <w:lang w:val="en-US"/>
        </w:rPr>
        <w:t>–</w:t>
      </w:r>
      <w:r w:rsidRPr="00346B75">
        <w:rPr>
          <w:lang w:val="en-US"/>
        </w:rPr>
        <w:t>174.</w:t>
      </w:r>
    </w:p>
    <w:p w14:paraId="5FB31579" w14:textId="77777777" w:rsidR="00530E59" w:rsidRPr="0059173F" w:rsidRDefault="00530E59" w:rsidP="00530E59">
      <w:r w:rsidRPr="0059173F">
        <w:t>South Australian Research and Development Institute (SARDI) Aquatic Sciences, University of Adelaide and Department of Environment and Water (2019). Commonwealth Environmental Water Office: Lower Murray Monitoring, Evaluation and Research Plan (2019–2022). Prepared by the South Australian Consortium for the Commonwealth Environmental Water Office. Commonwealth of Australia 2019. https://www.environment.gov.au/water/cewo/publications/mer-plan-lower-murray-2019.</w:t>
      </w:r>
    </w:p>
    <w:p w14:paraId="744BAC74" w14:textId="77777777" w:rsidR="00530E59" w:rsidRPr="0059173F" w:rsidRDefault="00530E59" w:rsidP="00530E59">
      <w:proofErr w:type="spellStart"/>
      <w:r w:rsidRPr="0059173F">
        <w:t>Statzner</w:t>
      </w:r>
      <w:proofErr w:type="spellEnd"/>
      <w:r w:rsidRPr="0059173F">
        <w:t xml:space="preserve">, B. and </w:t>
      </w:r>
      <w:proofErr w:type="spellStart"/>
      <w:r w:rsidRPr="0059173F">
        <w:t>Higler</w:t>
      </w:r>
      <w:proofErr w:type="spellEnd"/>
      <w:r w:rsidRPr="0059173F">
        <w:t xml:space="preserve">, B. (1986). Stream hydraulics as a major determinant of benthic invertebrate zonation patterns. </w:t>
      </w:r>
      <w:r w:rsidRPr="0059173F">
        <w:rPr>
          <w:i/>
        </w:rPr>
        <w:t>Freshwater Biology</w:t>
      </w:r>
      <w:r w:rsidRPr="0059173F">
        <w:t xml:space="preserve"> </w:t>
      </w:r>
      <w:r w:rsidRPr="0059173F">
        <w:rPr>
          <w:b/>
        </w:rPr>
        <w:t>16</w:t>
      </w:r>
      <w:r w:rsidRPr="0059173F">
        <w:t>, 127–139.</w:t>
      </w:r>
    </w:p>
    <w:p w14:paraId="1623D4C1" w14:textId="77777777" w:rsidR="00530E59" w:rsidRPr="0093711B" w:rsidRDefault="00530E59" w:rsidP="00530E59">
      <w:r w:rsidRPr="0059173F">
        <w:t xml:space="preserve">Steinman, A.D. and McIntire, C.D. (1990). Recovery of lotic periphyton communities after </w:t>
      </w:r>
      <w:r w:rsidRPr="0093711B">
        <w:t xml:space="preserve">disturbance. </w:t>
      </w:r>
      <w:r w:rsidRPr="0093711B">
        <w:rPr>
          <w:i/>
        </w:rPr>
        <w:t>Environmental Management</w:t>
      </w:r>
      <w:r w:rsidRPr="0093711B">
        <w:t xml:space="preserve"> </w:t>
      </w:r>
      <w:r w:rsidRPr="0093711B">
        <w:rPr>
          <w:b/>
        </w:rPr>
        <w:t>14</w:t>
      </w:r>
      <w:r w:rsidRPr="0093711B">
        <w:t>, 589–604.</w:t>
      </w:r>
    </w:p>
    <w:p w14:paraId="77A5B844" w14:textId="77777777" w:rsidR="00530E59" w:rsidRPr="0093711B" w:rsidRDefault="00530E59" w:rsidP="00530E59">
      <w:r w:rsidRPr="0093711B">
        <w:t>Stemberger</w:t>
      </w:r>
      <w:r>
        <w:t>,</w:t>
      </w:r>
      <w:r w:rsidRPr="0093711B">
        <w:t xml:space="preserve"> R</w:t>
      </w:r>
      <w:r>
        <w:t>.</w:t>
      </w:r>
      <w:r w:rsidRPr="0093711B">
        <w:t>S</w:t>
      </w:r>
      <w:r>
        <w:t>.</w:t>
      </w:r>
      <w:r w:rsidRPr="0093711B">
        <w:t xml:space="preserve"> (1985)</w:t>
      </w:r>
      <w:r>
        <w:t>.</w:t>
      </w:r>
      <w:r w:rsidRPr="0093711B">
        <w:t xml:space="preserve"> Prey selection by the copepod </w:t>
      </w:r>
      <w:proofErr w:type="spellStart"/>
      <w:r w:rsidRPr="00DC3F52">
        <w:rPr>
          <w:i/>
          <w:iCs/>
        </w:rPr>
        <w:t>Diacyclops</w:t>
      </w:r>
      <w:proofErr w:type="spellEnd"/>
      <w:r w:rsidRPr="00DC3F52">
        <w:rPr>
          <w:i/>
          <w:iCs/>
        </w:rPr>
        <w:t xml:space="preserve"> </w:t>
      </w:r>
      <w:proofErr w:type="spellStart"/>
      <w:r w:rsidRPr="00DC3F52">
        <w:rPr>
          <w:i/>
          <w:iCs/>
        </w:rPr>
        <w:t>thomasi</w:t>
      </w:r>
      <w:proofErr w:type="spellEnd"/>
      <w:r w:rsidRPr="0093711B">
        <w:t xml:space="preserve">. </w:t>
      </w:r>
      <w:proofErr w:type="spellStart"/>
      <w:r w:rsidRPr="00DC3F52">
        <w:rPr>
          <w:i/>
          <w:iCs/>
        </w:rPr>
        <w:t>Oecologia</w:t>
      </w:r>
      <w:proofErr w:type="spellEnd"/>
      <w:r w:rsidRPr="00DC3F52">
        <w:rPr>
          <w:i/>
          <w:iCs/>
        </w:rPr>
        <w:t xml:space="preserve"> </w:t>
      </w:r>
      <w:r w:rsidRPr="00DC3F52">
        <w:rPr>
          <w:b/>
          <w:bCs/>
        </w:rPr>
        <w:t>65</w:t>
      </w:r>
      <w:r>
        <w:t xml:space="preserve">, </w:t>
      </w:r>
      <w:r w:rsidRPr="0093711B">
        <w:t>492–497.</w:t>
      </w:r>
    </w:p>
    <w:p w14:paraId="2B9B05D6" w14:textId="5786FDB0" w:rsidR="00530E59" w:rsidRDefault="00530E59" w:rsidP="00530E59">
      <w:r w:rsidRPr="0093711B">
        <w:t xml:space="preserve">Stoffels, R., Stratford, D., Bond, N., Hale, J. (2018). 2016–17 Basin-scale evaluation of Commonwealth </w:t>
      </w:r>
      <w:r w:rsidRPr="00C70D04">
        <w:t>environmental water – Fish. Report prepared for the Commonwealth Environmental Water Office by La Trobe University, Publication 192/2018, October, 42pp.</w:t>
      </w:r>
    </w:p>
    <w:p w14:paraId="70BF271F" w14:textId="61FAA2BD" w:rsidR="00FB5EF1" w:rsidRPr="00C70D04" w:rsidRDefault="00FB5EF1" w:rsidP="00530E59">
      <w:r w:rsidRPr="0093711B">
        <w:t>Stoffels, R.</w:t>
      </w:r>
      <w:r>
        <w:t>J.</w:t>
      </w:r>
      <w:r w:rsidRPr="0093711B">
        <w:t>,</w:t>
      </w:r>
      <w:r>
        <w:t xml:space="preserve"> Weatherman, K.E., Bond, N.R., </w:t>
      </w:r>
      <w:proofErr w:type="spellStart"/>
      <w:r>
        <w:t>Morrongiello</w:t>
      </w:r>
      <w:proofErr w:type="spellEnd"/>
      <w:r>
        <w:t xml:space="preserve">, J.R., </w:t>
      </w:r>
      <w:proofErr w:type="spellStart"/>
      <w:r>
        <w:t>Thiem</w:t>
      </w:r>
      <w:proofErr w:type="spellEnd"/>
      <w:r>
        <w:t xml:space="preserve">, J.D., Butler, G., Koster, W., Kopf, R.K., </w:t>
      </w:r>
      <w:proofErr w:type="spellStart"/>
      <w:r>
        <w:t>McCaster</w:t>
      </w:r>
      <w:proofErr w:type="spellEnd"/>
      <w:r>
        <w:t xml:space="preserve">, N., Ye, Q., Zampatti, B. and Broadhurst, B. (2020). </w:t>
      </w:r>
      <w:r w:rsidRPr="00FB5EF1">
        <w:t>Stage</w:t>
      </w:r>
      <w:r w:rsidRPr="00FB5EF1">
        <w:rPr>
          <w:rFonts w:ascii="Cambria Math" w:hAnsi="Cambria Math" w:cs="Cambria Math"/>
        </w:rPr>
        <w:t>‐</w:t>
      </w:r>
      <w:r w:rsidRPr="00FB5EF1">
        <w:t>dependent effects of river flow and temperature regimes on the growth dynamics of an apex predator</w:t>
      </w:r>
      <w:r>
        <w:t xml:space="preserve">. </w:t>
      </w:r>
      <w:r w:rsidRPr="00FB5EF1">
        <w:rPr>
          <w:i/>
          <w:iCs/>
        </w:rPr>
        <w:t>Global Change Biology</w:t>
      </w:r>
      <w:r>
        <w:t xml:space="preserve"> </w:t>
      </w:r>
      <w:r w:rsidRPr="00FB5EF1">
        <w:rPr>
          <w:b/>
          <w:bCs/>
        </w:rPr>
        <w:t>26</w:t>
      </w:r>
      <w:r>
        <w:t>, 6880–6894.</w:t>
      </w:r>
    </w:p>
    <w:p w14:paraId="753BA367" w14:textId="77777777" w:rsidR="00530E59" w:rsidRPr="00C70D04" w:rsidRDefault="00530E59" w:rsidP="00530E59">
      <w:r w:rsidRPr="00C70D04">
        <w:t xml:space="preserve">Stuart, I., Sharpe, C., </w:t>
      </w:r>
      <w:proofErr w:type="spellStart"/>
      <w:r w:rsidRPr="00C70D04">
        <w:t>Stanislawski</w:t>
      </w:r>
      <w:proofErr w:type="spellEnd"/>
      <w:r w:rsidRPr="00C70D04">
        <w:t xml:space="preserve">, K., Parker, A., </w:t>
      </w:r>
      <w:proofErr w:type="spellStart"/>
      <w:r w:rsidRPr="00C70D04">
        <w:t>Mallen</w:t>
      </w:r>
      <w:proofErr w:type="spellEnd"/>
      <w:r w:rsidRPr="00C70D04">
        <w:t xml:space="preserve">-Cooper, M. (2019). From an irrigation system to an ecological asset: adding environmental flows establishes recovery of a threatened fish species. </w:t>
      </w:r>
      <w:r w:rsidRPr="00C70D04">
        <w:rPr>
          <w:i/>
          <w:iCs/>
        </w:rPr>
        <w:t>Marine and Freshwater Research</w:t>
      </w:r>
      <w:r w:rsidRPr="00C70D04">
        <w:t xml:space="preserve"> </w:t>
      </w:r>
      <w:r w:rsidRPr="00C70D04">
        <w:rPr>
          <w:b/>
          <w:bCs/>
        </w:rPr>
        <w:t>70</w:t>
      </w:r>
      <w:r w:rsidRPr="00C70D04">
        <w:t>, 1295–1306.</w:t>
      </w:r>
    </w:p>
    <w:p w14:paraId="0BF89D42" w14:textId="77777777" w:rsidR="00530E59" w:rsidRDefault="00530E59" w:rsidP="00530E59">
      <w:r w:rsidRPr="00C70D04">
        <w:t xml:space="preserve">Tan, L.-W. and Shiel, R.J. (1993). Responses of billabong rotifer communities to inundation. </w:t>
      </w:r>
      <w:proofErr w:type="spellStart"/>
      <w:r w:rsidRPr="00C70D04">
        <w:rPr>
          <w:i/>
        </w:rPr>
        <w:t>Hydrobiologia</w:t>
      </w:r>
      <w:proofErr w:type="spellEnd"/>
      <w:r w:rsidRPr="00C70D04">
        <w:t xml:space="preserve"> </w:t>
      </w:r>
      <w:r w:rsidRPr="00C70D04">
        <w:rPr>
          <w:b/>
        </w:rPr>
        <w:t>255</w:t>
      </w:r>
      <w:r w:rsidRPr="00C70D04">
        <w:t>, 361–369.</w:t>
      </w:r>
    </w:p>
    <w:p w14:paraId="5BB5A3BF" w14:textId="42FB6D2F" w:rsidR="00530E59" w:rsidRPr="00C70D04" w:rsidRDefault="00E7089B" w:rsidP="00530E59">
      <w:proofErr w:type="spellStart"/>
      <w:r w:rsidRPr="00E7089B">
        <w:t>Therneau</w:t>
      </w:r>
      <w:proofErr w:type="spellEnd"/>
      <w:r>
        <w:t>,</w:t>
      </w:r>
      <w:r w:rsidRPr="00E7089B">
        <w:t xml:space="preserve"> T</w:t>
      </w:r>
      <w:r>
        <w:t>.</w:t>
      </w:r>
      <w:r w:rsidRPr="00E7089B">
        <w:t>, Atkinson</w:t>
      </w:r>
      <w:r>
        <w:t>,</w:t>
      </w:r>
      <w:r w:rsidRPr="00E7089B">
        <w:t xml:space="preserve"> B</w:t>
      </w:r>
      <w:r>
        <w:t>. and</w:t>
      </w:r>
      <w:r w:rsidRPr="00E7089B">
        <w:t xml:space="preserve"> Ripley</w:t>
      </w:r>
      <w:r>
        <w:t>,</w:t>
      </w:r>
      <w:r w:rsidRPr="00E7089B">
        <w:t xml:space="preserve"> B</w:t>
      </w:r>
      <w:r>
        <w:t>.</w:t>
      </w:r>
      <w:r w:rsidRPr="00E7089B">
        <w:t xml:space="preserve"> (2019)</w:t>
      </w:r>
      <w:r>
        <w:t>.</w:t>
      </w:r>
      <w:r w:rsidRPr="00E7089B">
        <w:t xml:space="preserve"> </w:t>
      </w:r>
      <w:proofErr w:type="spellStart"/>
      <w:r w:rsidRPr="00E7089B">
        <w:t>rpart</w:t>
      </w:r>
      <w:proofErr w:type="spellEnd"/>
      <w:r w:rsidRPr="00E7089B">
        <w:t xml:space="preserve">: Recursive partitioning for classification, </w:t>
      </w:r>
      <w:proofErr w:type="gramStart"/>
      <w:r w:rsidRPr="00E7089B">
        <w:t>regression</w:t>
      </w:r>
      <w:proofErr w:type="gramEnd"/>
      <w:r w:rsidRPr="00E7089B">
        <w:t xml:space="preserve"> and survival trees. R package version:4.1-15</w:t>
      </w:r>
      <w:r>
        <w:t>.</w:t>
      </w:r>
    </w:p>
    <w:p w14:paraId="6257CE1F" w14:textId="77777777" w:rsidR="00530E59" w:rsidRPr="00A93A51" w:rsidRDefault="00530E59" w:rsidP="00530E59">
      <w:pPr>
        <w:rPr>
          <w:lang w:val="en-US"/>
        </w:rPr>
      </w:pPr>
      <w:r w:rsidRPr="00A93A51">
        <w:rPr>
          <w:lang w:val="en-US"/>
        </w:rPr>
        <w:t xml:space="preserve">Thompson, K. (1992). Seeds: The Ecology of Regeneration in Plant Communities. </w:t>
      </w:r>
      <w:proofErr w:type="spellStart"/>
      <w:r w:rsidRPr="00A93A51">
        <w:rPr>
          <w:lang w:val="en-US"/>
        </w:rPr>
        <w:t>Fenner</w:t>
      </w:r>
      <w:proofErr w:type="spellEnd"/>
      <w:r w:rsidRPr="00A93A51">
        <w:rPr>
          <w:lang w:val="en-US"/>
        </w:rPr>
        <w:t>, M. (ed), pp. 231</w:t>
      </w:r>
      <w:r>
        <w:rPr>
          <w:lang w:val="en-US"/>
        </w:rPr>
        <w:t>–</w:t>
      </w:r>
      <w:r w:rsidRPr="00A93A51">
        <w:rPr>
          <w:lang w:val="en-US"/>
        </w:rPr>
        <w:t>258, C.A.B. International, Wallingford.</w:t>
      </w:r>
    </w:p>
    <w:p w14:paraId="5D8B5F24" w14:textId="29B0184F" w:rsidR="00530E59" w:rsidRPr="00B1558C" w:rsidRDefault="00530E59" w:rsidP="00530E59">
      <w:r w:rsidRPr="000F3219">
        <w:t>Tonkin, Z.D., Ramsey, D.S.L. and King, A.J. (2008</w:t>
      </w:r>
      <w:r>
        <w:t>)</w:t>
      </w:r>
      <w:r w:rsidRPr="000F3219">
        <w:t xml:space="preserve"> Larval and juvenile Australian smelt </w:t>
      </w:r>
      <w:proofErr w:type="spellStart"/>
      <w:r w:rsidRPr="000F3219">
        <w:rPr>
          <w:i/>
          <w:iCs/>
        </w:rPr>
        <w:t>Retropinna</w:t>
      </w:r>
      <w:proofErr w:type="spellEnd"/>
      <w:r w:rsidRPr="000F3219">
        <w:rPr>
          <w:i/>
          <w:iCs/>
        </w:rPr>
        <w:t xml:space="preserve"> </w:t>
      </w:r>
      <w:proofErr w:type="spellStart"/>
      <w:r w:rsidRPr="000F3219">
        <w:rPr>
          <w:i/>
          <w:iCs/>
        </w:rPr>
        <w:t>semoni</w:t>
      </w:r>
      <w:proofErr w:type="spellEnd"/>
      <w:r w:rsidRPr="000F3219">
        <w:t xml:space="preserve"> somatic and otolith growth parameters – implications for growth interpretation of wild fish. </w:t>
      </w:r>
      <w:r w:rsidRPr="000F3219">
        <w:rPr>
          <w:i/>
          <w:iCs/>
        </w:rPr>
        <w:t>Ecology of Freshwater Fish</w:t>
      </w:r>
      <w:r w:rsidRPr="000F3219">
        <w:t xml:space="preserve"> </w:t>
      </w:r>
      <w:r w:rsidRPr="000F3219">
        <w:rPr>
          <w:b/>
          <w:bCs/>
        </w:rPr>
        <w:t>17</w:t>
      </w:r>
      <w:r w:rsidRPr="000F3219">
        <w:t>, 489–494.</w:t>
      </w:r>
    </w:p>
    <w:p w14:paraId="46CDC6CA" w14:textId="77777777" w:rsidR="00530E59" w:rsidRDefault="00530E59" w:rsidP="00530E59">
      <w:r w:rsidRPr="0059509B">
        <w:t xml:space="preserve">Tonkin, Z., Stuart, I., </w:t>
      </w:r>
      <w:proofErr w:type="spellStart"/>
      <w:r w:rsidRPr="0059509B">
        <w:t>Kitchingman</w:t>
      </w:r>
      <w:proofErr w:type="spellEnd"/>
      <w:r w:rsidRPr="0059509B">
        <w:t xml:space="preserve">, A., </w:t>
      </w:r>
      <w:proofErr w:type="spellStart"/>
      <w:r w:rsidRPr="0059509B">
        <w:t>Thiem</w:t>
      </w:r>
      <w:proofErr w:type="spellEnd"/>
      <w:r w:rsidRPr="0059509B">
        <w:t xml:space="preserve">, J.D., </w:t>
      </w:r>
      <w:proofErr w:type="spellStart"/>
      <w:r w:rsidRPr="0059509B">
        <w:t>Zampatti</w:t>
      </w:r>
      <w:proofErr w:type="spellEnd"/>
      <w:r w:rsidRPr="0059509B">
        <w:t xml:space="preserve">, B., Hackett, G., Koster, W., Koehn, J., </w:t>
      </w:r>
      <w:proofErr w:type="spellStart"/>
      <w:r w:rsidRPr="0059509B">
        <w:t>Morrongiello</w:t>
      </w:r>
      <w:proofErr w:type="spellEnd"/>
      <w:r w:rsidRPr="0059509B">
        <w:t xml:space="preserve">, J., </w:t>
      </w:r>
      <w:proofErr w:type="spellStart"/>
      <w:r w:rsidRPr="0059509B">
        <w:t>Mallen</w:t>
      </w:r>
      <w:proofErr w:type="spellEnd"/>
      <w:r w:rsidRPr="0059509B">
        <w:t xml:space="preserve">-Cooper, M. and Lyon, J. (2019). Hydrology and water temperature influence recruitment dynamics of the threatened silver perch </w:t>
      </w:r>
      <w:proofErr w:type="spellStart"/>
      <w:r w:rsidRPr="0059509B">
        <w:rPr>
          <w:i/>
        </w:rPr>
        <w:t>Bidyanus</w:t>
      </w:r>
      <w:proofErr w:type="spellEnd"/>
      <w:r w:rsidRPr="0059509B">
        <w:rPr>
          <w:i/>
        </w:rPr>
        <w:t xml:space="preserve"> </w:t>
      </w:r>
      <w:proofErr w:type="spellStart"/>
      <w:r w:rsidRPr="0059509B">
        <w:rPr>
          <w:i/>
        </w:rPr>
        <w:t>bidyanus</w:t>
      </w:r>
      <w:proofErr w:type="spellEnd"/>
      <w:r w:rsidRPr="0059509B">
        <w:t xml:space="preserve"> in a regulated lowland river. </w:t>
      </w:r>
      <w:r w:rsidRPr="0059509B">
        <w:rPr>
          <w:i/>
        </w:rPr>
        <w:t>Marine and Freshwater Research</w:t>
      </w:r>
      <w:r w:rsidRPr="0059509B">
        <w:t xml:space="preserve"> </w:t>
      </w:r>
      <w:r w:rsidRPr="0059509B">
        <w:rPr>
          <w:b/>
        </w:rPr>
        <w:t>70</w:t>
      </w:r>
      <w:r w:rsidRPr="0059509B">
        <w:t>, 1333–1344.</w:t>
      </w:r>
    </w:p>
    <w:p w14:paraId="5F4FFDA3" w14:textId="77777777" w:rsidR="00530E59" w:rsidRPr="0059509B" w:rsidRDefault="00530E59" w:rsidP="00530E59">
      <w:r>
        <w:t xml:space="preserve">Tonkin, Z., Yen, J., Lyon, J., </w:t>
      </w:r>
      <w:proofErr w:type="spellStart"/>
      <w:r>
        <w:t>Kitchingman</w:t>
      </w:r>
      <w:proofErr w:type="spellEnd"/>
      <w:r>
        <w:t xml:space="preserve">, A., Koehn, J.D., </w:t>
      </w:r>
      <w:proofErr w:type="spellStart"/>
      <w:r>
        <w:t>Koster</w:t>
      </w:r>
      <w:proofErr w:type="spellEnd"/>
      <w:r>
        <w:t xml:space="preserve">, W.M., </w:t>
      </w:r>
      <w:proofErr w:type="spellStart"/>
      <w:r>
        <w:t>Lieschke</w:t>
      </w:r>
      <w:proofErr w:type="spellEnd"/>
      <w:r>
        <w:t xml:space="preserve">, J., Raymond, S., </w:t>
      </w:r>
      <w:proofErr w:type="spellStart"/>
      <w:r>
        <w:t>Sharley</w:t>
      </w:r>
      <w:proofErr w:type="spellEnd"/>
      <w:r>
        <w:t xml:space="preserve">, J., Stuart, I. and Todd, C. (2018). Linking flow attributes to recruitment to inform water management for an Australian freshwater fish with an equilibrium life-history strategy, </w:t>
      </w:r>
      <w:r w:rsidRPr="00CE0E23">
        <w:rPr>
          <w:i/>
          <w:iCs/>
        </w:rPr>
        <w:t>Science of the Total Environment</w:t>
      </w:r>
      <w:r>
        <w:t>, https://doi.org/10.1016/j.scitotenv.2020.141863.</w:t>
      </w:r>
    </w:p>
    <w:p w14:paraId="1AC23048" w14:textId="77777777" w:rsidR="00530E59" w:rsidRPr="0059509B" w:rsidRDefault="00530E59" w:rsidP="00530E59">
      <w:pPr>
        <w:rPr>
          <w:lang w:val="en-US"/>
        </w:rPr>
      </w:pPr>
      <w:r w:rsidRPr="0059509B">
        <w:rPr>
          <w:lang w:val="en-US"/>
        </w:rPr>
        <w:t xml:space="preserve">Van Den </w:t>
      </w:r>
      <w:proofErr w:type="spellStart"/>
      <w:r w:rsidRPr="0059509B">
        <w:rPr>
          <w:lang w:val="en-US"/>
        </w:rPr>
        <w:t>Avyle</w:t>
      </w:r>
      <w:proofErr w:type="spellEnd"/>
      <w:r>
        <w:rPr>
          <w:lang w:val="en-US"/>
        </w:rPr>
        <w:t>,</w:t>
      </w:r>
      <w:r w:rsidRPr="0059509B">
        <w:rPr>
          <w:lang w:val="en-US"/>
        </w:rPr>
        <w:t xml:space="preserve"> M</w:t>
      </w:r>
      <w:r>
        <w:rPr>
          <w:lang w:val="en-US"/>
        </w:rPr>
        <w:t>.</w:t>
      </w:r>
      <w:r w:rsidRPr="0059509B">
        <w:rPr>
          <w:lang w:val="en-US"/>
        </w:rPr>
        <w:t>, Wilson</w:t>
      </w:r>
      <w:r>
        <w:rPr>
          <w:lang w:val="en-US"/>
        </w:rPr>
        <w:t>,</w:t>
      </w:r>
      <w:r w:rsidRPr="0059509B">
        <w:rPr>
          <w:lang w:val="en-US"/>
        </w:rPr>
        <w:t xml:space="preserve"> J</w:t>
      </w:r>
      <w:r>
        <w:rPr>
          <w:lang w:val="en-US"/>
        </w:rPr>
        <w:t>.</w:t>
      </w:r>
      <w:r w:rsidRPr="0059509B">
        <w:rPr>
          <w:lang w:val="en-US"/>
        </w:rPr>
        <w:t xml:space="preserve"> (1980)</w:t>
      </w:r>
      <w:r>
        <w:rPr>
          <w:lang w:val="en-US"/>
        </w:rPr>
        <w:t>.</w:t>
      </w:r>
      <w:r w:rsidRPr="0059509B">
        <w:rPr>
          <w:lang w:val="en-US"/>
        </w:rPr>
        <w:t xml:space="preserve"> Food habits and feeding selectivity of larval </w:t>
      </w:r>
      <w:proofErr w:type="spellStart"/>
      <w:r w:rsidRPr="00C17D71">
        <w:rPr>
          <w:i/>
          <w:iCs/>
          <w:lang w:val="en-US"/>
        </w:rPr>
        <w:t>Dorosoma</w:t>
      </w:r>
      <w:proofErr w:type="spellEnd"/>
      <w:r w:rsidRPr="0059509B">
        <w:rPr>
          <w:lang w:val="en-US"/>
        </w:rPr>
        <w:t xml:space="preserve"> spp. </w:t>
      </w:r>
      <w:r w:rsidRPr="00C17D71">
        <w:rPr>
          <w:lang w:val="en-US"/>
        </w:rPr>
        <w:t>Center Hill Reservoir</w:t>
      </w:r>
      <w:r w:rsidRPr="0059509B">
        <w:rPr>
          <w:lang w:val="en-US"/>
        </w:rPr>
        <w:t>:146</w:t>
      </w:r>
      <w:r>
        <w:rPr>
          <w:lang w:val="en-US"/>
        </w:rPr>
        <w:t>–</w:t>
      </w:r>
      <w:r w:rsidRPr="0059509B">
        <w:rPr>
          <w:lang w:val="en-US"/>
        </w:rPr>
        <w:t>156.</w:t>
      </w:r>
      <w:r>
        <w:rPr>
          <w:lang w:val="en-US"/>
        </w:rPr>
        <w:t xml:space="preserve"> </w:t>
      </w:r>
      <w:r w:rsidRPr="00C17D71">
        <w:rPr>
          <w:lang w:val="en-US"/>
        </w:rPr>
        <w:t xml:space="preserve">In: L.A. </w:t>
      </w:r>
      <w:proofErr w:type="spellStart"/>
      <w:r w:rsidRPr="00C17D71">
        <w:rPr>
          <w:lang w:val="en-US"/>
        </w:rPr>
        <w:t>Fuiman</w:t>
      </w:r>
      <w:proofErr w:type="spellEnd"/>
      <w:r w:rsidRPr="00C17D71">
        <w:rPr>
          <w:lang w:val="en-US"/>
        </w:rPr>
        <w:t xml:space="preserve">. (ed.) Proceedings of the Fourth Annual Larval Fish Conference, U.S. Fish and </w:t>
      </w:r>
      <w:proofErr w:type="spellStart"/>
      <w:r w:rsidRPr="00C17D71">
        <w:rPr>
          <w:lang w:val="en-US"/>
        </w:rPr>
        <w:t>WildLife</w:t>
      </w:r>
      <w:proofErr w:type="spellEnd"/>
      <w:r w:rsidRPr="00C17D71">
        <w:rPr>
          <w:lang w:val="en-US"/>
        </w:rPr>
        <w:t xml:space="preserve"> Service, Ann Arbor.</w:t>
      </w:r>
    </w:p>
    <w:p w14:paraId="26C2FA5F" w14:textId="77777777" w:rsidR="00530E59" w:rsidRPr="003F2FD1" w:rsidRDefault="00530E59" w:rsidP="00530E59">
      <w:pPr>
        <w:rPr>
          <w:lang w:val="en-US"/>
        </w:rPr>
      </w:pPr>
      <w:r w:rsidRPr="003F2FD1">
        <w:rPr>
          <w:lang w:val="en-US"/>
        </w:rPr>
        <w:t xml:space="preserve">van der </w:t>
      </w:r>
      <w:proofErr w:type="spellStart"/>
      <w:r w:rsidRPr="003F2FD1">
        <w:rPr>
          <w:lang w:val="en-US"/>
        </w:rPr>
        <w:t>Valk</w:t>
      </w:r>
      <w:proofErr w:type="spellEnd"/>
      <w:r w:rsidRPr="003F2FD1">
        <w:rPr>
          <w:lang w:val="en-US"/>
        </w:rPr>
        <w:t xml:space="preserve">, A.G. (1981). Succession in wetlands: a </w:t>
      </w:r>
      <w:proofErr w:type="spellStart"/>
      <w:r w:rsidRPr="003F2FD1">
        <w:rPr>
          <w:lang w:val="en-US"/>
        </w:rPr>
        <w:t>Gleasonian</w:t>
      </w:r>
      <w:proofErr w:type="spellEnd"/>
      <w:r w:rsidRPr="003F2FD1">
        <w:rPr>
          <w:lang w:val="en-US"/>
        </w:rPr>
        <w:t xml:space="preserve"> approach. </w:t>
      </w:r>
      <w:r w:rsidRPr="003F2FD1">
        <w:rPr>
          <w:i/>
          <w:iCs/>
          <w:lang w:val="en-US"/>
        </w:rPr>
        <w:t>Ecology</w:t>
      </w:r>
      <w:r w:rsidRPr="003F2FD1">
        <w:rPr>
          <w:lang w:val="en-US"/>
        </w:rPr>
        <w:t xml:space="preserve"> </w:t>
      </w:r>
      <w:r w:rsidRPr="003F2FD1">
        <w:rPr>
          <w:b/>
          <w:bCs/>
          <w:lang w:val="en-US"/>
        </w:rPr>
        <w:t>62</w:t>
      </w:r>
      <w:r w:rsidRPr="003F2FD1">
        <w:rPr>
          <w:lang w:val="en-US"/>
        </w:rPr>
        <w:t>, 688</w:t>
      </w:r>
      <w:r>
        <w:rPr>
          <w:lang w:val="en-US"/>
        </w:rPr>
        <w:t>–</w:t>
      </w:r>
      <w:r w:rsidRPr="003F2FD1">
        <w:rPr>
          <w:lang w:val="en-US"/>
        </w:rPr>
        <w:t>696.</w:t>
      </w:r>
    </w:p>
    <w:p w14:paraId="210BDB8A" w14:textId="77777777" w:rsidR="00530E59" w:rsidRDefault="00530E59" w:rsidP="00530E59">
      <w:proofErr w:type="spellStart"/>
      <w:r w:rsidRPr="00A95F87">
        <w:t>Várbíró</w:t>
      </w:r>
      <w:proofErr w:type="spellEnd"/>
      <w:r w:rsidRPr="00A95F87">
        <w:t xml:space="preserve">, G., </w:t>
      </w:r>
      <w:proofErr w:type="spellStart"/>
      <w:r w:rsidRPr="00A95F87">
        <w:t>Padisák</w:t>
      </w:r>
      <w:proofErr w:type="spellEnd"/>
      <w:r w:rsidRPr="00A95F87">
        <w:t xml:space="preserve">, J., Nagy-László, Z., </w:t>
      </w:r>
      <w:proofErr w:type="spellStart"/>
      <w:r w:rsidRPr="00A95F87">
        <w:t>Abonyi</w:t>
      </w:r>
      <w:proofErr w:type="spellEnd"/>
      <w:r w:rsidRPr="00A95F87">
        <w:t xml:space="preserve">, A., </w:t>
      </w:r>
      <w:proofErr w:type="spellStart"/>
      <w:r w:rsidRPr="00A95F87">
        <w:t>Stanković</w:t>
      </w:r>
      <w:proofErr w:type="spellEnd"/>
      <w:r w:rsidRPr="00A95F87">
        <w:t xml:space="preserve">, I., </w:t>
      </w:r>
      <w:proofErr w:type="spellStart"/>
      <w:r w:rsidRPr="00A95F87">
        <w:t>Gligora</w:t>
      </w:r>
      <w:proofErr w:type="spellEnd"/>
      <w:r w:rsidRPr="00A95F87">
        <w:t xml:space="preserve"> </w:t>
      </w:r>
      <w:proofErr w:type="spellStart"/>
      <w:r w:rsidRPr="00A95F87">
        <w:t>Udovič</w:t>
      </w:r>
      <w:proofErr w:type="spellEnd"/>
      <w:r w:rsidRPr="00A95F87">
        <w:t xml:space="preserve">, M., </w:t>
      </w:r>
      <w:proofErr w:type="spellStart"/>
      <w:r w:rsidRPr="00A95F87">
        <w:t>Béres</w:t>
      </w:r>
      <w:proofErr w:type="spellEnd"/>
      <w:r w:rsidRPr="00A95F87">
        <w:t xml:space="preserve">, V.B. and </w:t>
      </w:r>
      <w:proofErr w:type="spellStart"/>
      <w:r w:rsidRPr="00A95F87">
        <w:t>Borics</w:t>
      </w:r>
      <w:proofErr w:type="spellEnd"/>
      <w:r w:rsidRPr="00A95F87">
        <w:t xml:space="preserve">, G. (2018). How length of light exposure shapes the development of riverine algal biomass in temperate rivers? </w:t>
      </w:r>
      <w:proofErr w:type="spellStart"/>
      <w:r w:rsidRPr="00A95F87">
        <w:rPr>
          <w:i/>
        </w:rPr>
        <w:t>Hydrobiologia</w:t>
      </w:r>
      <w:proofErr w:type="spellEnd"/>
      <w:r w:rsidRPr="00A95F87">
        <w:t xml:space="preserve"> </w:t>
      </w:r>
      <w:r w:rsidRPr="00A95F87">
        <w:rPr>
          <w:b/>
        </w:rPr>
        <w:t>809</w:t>
      </w:r>
      <w:r w:rsidRPr="00A95F87">
        <w:t>, 53–63.</w:t>
      </w:r>
    </w:p>
    <w:p w14:paraId="5EF20C7B" w14:textId="63B39EAE" w:rsidR="00530E59" w:rsidRPr="00A95F87" w:rsidRDefault="00E7089B" w:rsidP="00530E59">
      <w:r w:rsidRPr="00E7089B">
        <w:t>Venables</w:t>
      </w:r>
      <w:r>
        <w:t>,</w:t>
      </w:r>
      <w:r w:rsidRPr="00E7089B">
        <w:t xml:space="preserve"> W</w:t>
      </w:r>
      <w:r>
        <w:t>. and</w:t>
      </w:r>
      <w:r w:rsidRPr="00E7089B">
        <w:t xml:space="preserve"> Ripley</w:t>
      </w:r>
      <w:r>
        <w:t>,</w:t>
      </w:r>
      <w:r w:rsidRPr="00E7089B">
        <w:t xml:space="preserve"> B</w:t>
      </w:r>
      <w:r>
        <w:t>.</w:t>
      </w:r>
      <w:r w:rsidRPr="00E7089B">
        <w:t xml:space="preserve"> (2002)</w:t>
      </w:r>
      <w:r>
        <w:t>.</w:t>
      </w:r>
      <w:r w:rsidRPr="00E7089B">
        <w:t xml:space="preserve"> Random and mixed effects. Modern applied statistics with S. Springer, p</w:t>
      </w:r>
      <w:r>
        <w:t xml:space="preserve">p. </w:t>
      </w:r>
      <w:r w:rsidRPr="00E7089B">
        <w:t>271</w:t>
      </w:r>
      <w:r>
        <w:t>–</w:t>
      </w:r>
      <w:r w:rsidRPr="00E7089B">
        <w:t>300</w:t>
      </w:r>
      <w:r>
        <w:t>.</w:t>
      </w:r>
    </w:p>
    <w:p w14:paraId="264F0D11" w14:textId="0DC399E1" w:rsidR="0012609A" w:rsidRDefault="0012609A" w:rsidP="0012609A">
      <w:proofErr w:type="spellStart"/>
      <w:r>
        <w:t>Vietz</w:t>
      </w:r>
      <w:proofErr w:type="spellEnd"/>
      <w:r>
        <w:t xml:space="preserve">, G.J., </w:t>
      </w:r>
      <w:proofErr w:type="spellStart"/>
      <w:r>
        <w:t>Sammonds</w:t>
      </w:r>
      <w:proofErr w:type="spellEnd"/>
      <w:r>
        <w:t xml:space="preserve">, M.J. and Stewardson, M.J. (2013). Impacts of flow regulation on </w:t>
      </w:r>
      <w:proofErr w:type="spellStart"/>
      <w:r>
        <w:t>slackwaters</w:t>
      </w:r>
      <w:proofErr w:type="spellEnd"/>
      <w:r>
        <w:t xml:space="preserve"> in river channels. </w:t>
      </w:r>
      <w:r w:rsidRPr="0012609A">
        <w:rPr>
          <w:i/>
          <w:iCs/>
        </w:rPr>
        <w:t>Water Resources Research</w:t>
      </w:r>
      <w:r>
        <w:t xml:space="preserve"> </w:t>
      </w:r>
      <w:r w:rsidRPr="0012609A">
        <w:rPr>
          <w:b/>
          <w:bCs/>
        </w:rPr>
        <w:t>49</w:t>
      </w:r>
      <w:r>
        <w:t xml:space="preserve">, 1797–1811. </w:t>
      </w:r>
    </w:p>
    <w:p w14:paraId="1F4E5583" w14:textId="5B960BC9" w:rsidR="00124C16" w:rsidRDefault="00124C16" w:rsidP="0012609A">
      <w:proofErr w:type="spellStart"/>
      <w:r w:rsidRPr="00124C16">
        <w:t>Vilizzi</w:t>
      </w:r>
      <w:proofErr w:type="spellEnd"/>
      <w:r w:rsidRPr="00124C16">
        <w:t xml:space="preserve">, L. and Walker, K.F. (1999). Age and growth of common carp, </w:t>
      </w:r>
      <w:r w:rsidRPr="00AC1BC0">
        <w:rPr>
          <w:i/>
          <w:iCs/>
        </w:rPr>
        <w:t xml:space="preserve">Cyprinus </w:t>
      </w:r>
      <w:proofErr w:type="spellStart"/>
      <w:r w:rsidRPr="00AC1BC0">
        <w:rPr>
          <w:i/>
          <w:iCs/>
        </w:rPr>
        <w:t>carpio</w:t>
      </w:r>
      <w:proofErr w:type="spellEnd"/>
      <w:r w:rsidRPr="00124C16">
        <w:t xml:space="preserve">, in the River Murray, Australia: validation, consistency of age interpretation and growth models. </w:t>
      </w:r>
      <w:r w:rsidRPr="00124C16">
        <w:rPr>
          <w:i/>
          <w:iCs/>
        </w:rPr>
        <w:t>Environmental Biology of Fishes</w:t>
      </w:r>
      <w:r w:rsidRPr="00124C16">
        <w:t xml:space="preserve"> </w:t>
      </w:r>
      <w:r w:rsidRPr="00124C16">
        <w:rPr>
          <w:b/>
          <w:bCs/>
        </w:rPr>
        <w:t>54</w:t>
      </w:r>
      <w:r w:rsidRPr="00124C16">
        <w:t>, 77–106.</w:t>
      </w:r>
    </w:p>
    <w:p w14:paraId="06D5B23D" w14:textId="52C65F99" w:rsidR="00530E59" w:rsidRPr="000F3386" w:rsidRDefault="00530E59" w:rsidP="00530E59">
      <w:proofErr w:type="spellStart"/>
      <w:r w:rsidRPr="000F3386">
        <w:t>Vinyard</w:t>
      </w:r>
      <w:proofErr w:type="spellEnd"/>
      <w:r w:rsidRPr="000F3386">
        <w:t>, G.L. (1980). Differential prey vulnerability and predator selectivity: effects of evasive prey on bluegill (</w:t>
      </w:r>
      <w:r w:rsidRPr="000F3386">
        <w:rPr>
          <w:i/>
        </w:rPr>
        <w:t>Lepomis macrochirus</w:t>
      </w:r>
      <w:r w:rsidRPr="000F3386">
        <w:t>) and pumpkinseed (</w:t>
      </w:r>
      <w:r w:rsidRPr="000F3386">
        <w:rPr>
          <w:i/>
        </w:rPr>
        <w:t xml:space="preserve">L. </w:t>
      </w:r>
      <w:proofErr w:type="spellStart"/>
      <w:r w:rsidRPr="000F3386">
        <w:rPr>
          <w:i/>
        </w:rPr>
        <w:t>gibhosus</w:t>
      </w:r>
      <w:proofErr w:type="spellEnd"/>
      <w:r w:rsidRPr="000F3386">
        <w:t xml:space="preserve">) predation. </w:t>
      </w:r>
      <w:r w:rsidRPr="000F3386">
        <w:rPr>
          <w:i/>
        </w:rPr>
        <w:t>Canadian Journal of Fisheries and Aquatic Sciences</w:t>
      </w:r>
      <w:r w:rsidRPr="000F3386">
        <w:t xml:space="preserve"> </w:t>
      </w:r>
      <w:r w:rsidRPr="000F3386">
        <w:rPr>
          <w:b/>
        </w:rPr>
        <w:t>37</w:t>
      </w:r>
      <w:r w:rsidRPr="000F3386">
        <w:t>, 2294–2299.</w:t>
      </w:r>
    </w:p>
    <w:p w14:paraId="7A0283D2" w14:textId="77777777" w:rsidR="00AC1BC0" w:rsidRDefault="00530E59" w:rsidP="00530E59">
      <w:r w:rsidRPr="00D813A6">
        <w:t xml:space="preserve">Walker, K.F. (1985). A review of the ecological effects of river regulation in Australia. </w:t>
      </w:r>
      <w:proofErr w:type="spellStart"/>
      <w:r w:rsidRPr="00D813A6">
        <w:rPr>
          <w:i/>
        </w:rPr>
        <w:t>Hydrobiologia</w:t>
      </w:r>
      <w:proofErr w:type="spellEnd"/>
      <w:r w:rsidRPr="00D813A6">
        <w:t xml:space="preserve"> </w:t>
      </w:r>
      <w:r w:rsidRPr="00D813A6">
        <w:rPr>
          <w:b/>
        </w:rPr>
        <w:t>125</w:t>
      </w:r>
      <w:r w:rsidRPr="00D813A6">
        <w:t xml:space="preserve">, 111–129. </w:t>
      </w:r>
    </w:p>
    <w:p w14:paraId="20595A14" w14:textId="7494580B" w:rsidR="00530E59" w:rsidRPr="0088031C" w:rsidRDefault="00530E59" w:rsidP="00530E59">
      <w:r w:rsidRPr="00D813A6">
        <w:t xml:space="preserve">Walker, K.F. (2006). Serial weirs, cumulative effects: </w:t>
      </w:r>
      <w:proofErr w:type="gramStart"/>
      <w:r w:rsidRPr="00D813A6">
        <w:t>the</w:t>
      </w:r>
      <w:proofErr w:type="gramEnd"/>
      <w:r w:rsidRPr="00D813A6">
        <w:t xml:space="preserve"> Lower Murray River, Australia. In: Ecology of Desert Rivers (Ed. R. Kingsford) pp. 248–279. Cambridge University Press, </w:t>
      </w:r>
      <w:r w:rsidRPr="0088031C">
        <w:t>Cambridge.</w:t>
      </w:r>
    </w:p>
    <w:p w14:paraId="1EE17753" w14:textId="77777777" w:rsidR="00530E59" w:rsidRPr="003F2FD1" w:rsidRDefault="00530E59" w:rsidP="00530E59">
      <w:r w:rsidRPr="0088031C">
        <w:t xml:space="preserve">Walker, K.F. and </w:t>
      </w:r>
      <w:proofErr w:type="spellStart"/>
      <w:r w:rsidRPr="0088031C">
        <w:t>Thoms</w:t>
      </w:r>
      <w:proofErr w:type="spellEnd"/>
      <w:r w:rsidRPr="0088031C">
        <w:t>, M.C. (1993). Environmental effects of flow regulation on the Lower Murra</w:t>
      </w:r>
      <w:r w:rsidRPr="003F2FD1">
        <w:t xml:space="preserve">y River, Australia. </w:t>
      </w:r>
      <w:r w:rsidRPr="003F2FD1">
        <w:rPr>
          <w:i/>
        </w:rPr>
        <w:t>Regulated Rivers: Research and Management</w:t>
      </w:r>
      <w:r w:rsidRPr="003F2FD1">
        <w:t xml:space="preserve"> </w:t>
      </w:r>
      <w:r w:rsidRPr="003F2FD1">
        <w:rPr>
          <w:b/>
        </w:rPr>
        <w:t>8</w:t>
      </w:r>
      <w:r w:rsidRPr="003F2FD1">
        <w:t>, 103–119.</w:t>
      </w:r>
    </w:p>
    <w:p w14:paraId="4AAB7E9F" w14:textId="31DD968D" w:rsidR="00530E59" w:rsidRPr="003F2FD1" w:rsidRDefault="00530E59" w:rsidP="00530E59">
      <w:pPr>
        <w:rPr>
          <w:lang w:val="en-US"/>
        </w:rPr>
      </w:pPr>
      <w:r w:rsidRPr="003F2FD1">
        <w:rPr>
          <w:lang w:val="en-US"/>
        </w:rPr>
        <w:t xml:space="preserve">Walker, P.D., </w:t>
      </w:r>
      <w:proofErr w:type="spellStart"/>
      <w:r w:rsidRPr="003F2FD1">
        <w:rPr>
          <w:lang w:val="en-US"/>
        </w:rPr>
        <w:t>Wijnhoven</w:t>
      </w:r>
      <w:proofErr w:type="spellEnd"/>
      <w:r w:rsidRPr="003F2FD1">
        <w:rPr>
          <w:lang w:val="en-US"/>
        </w:rPr>
        <w:t xml:space="preserve">, S. and van der Velde, G. (2013). Macrophyte presence and growth form influence macroinvertebrate community structure. </w:t>
      </w:r>
      <w:r w:rsidRPr="003F2FD1">
        <w:rPr>
          <w:i/>
          <w:iCs/>
          <w:lang w:val="en-US"/>
        </w:rPr>
        <w:t>Aquatic Botany</w:t>
      </w:r>
      <w:r w:rsidRPr="003F2FD1">
        <w:rPr>
          <w:lang w:val="en-US"/>
        </w:rPr>
        <w:t xml:space="preserve"> </w:t>
      </w:r>
      <w:r w:rsidRPr="003F2FD1">
        <w:rPr>
          <w:b/>
          <w:bCs/>
          <w:lang w:val="en-US"/>
        </w:rPr>
        <w:t>104</w:t>
      </w:r>
      <w:r w:rsidRPr="003F2FD1">
        <w:rPr>
          <w:lang w:val="en-US"/>
        </w:rPr>
        <w:t>, 80</w:t>
      </w:r>
      <w:r w:rsidR="00C24E56">
        <w:rPr>
          <w:lang w:val="en-US"/>
        </w:rPr>
        <w:t>–</w:t>
      </w:r>
      <w:r w:rsidRPr="003F2FD1">
        <w:rPr>
          <w:lang w:val="en-US"/>
        </w:rPr>
        <w:t>87.</w:t>
      </w:r>
    </w:p>
    <w:p w14:paraId="302580F0" w14:textId="77777777" w:rsidR="00530E59" w:rsidRPr="0059173F" w:rsidRDefault="00530E59" w:rsidP="00530E59">
      <w:r w:rsidRPr="0088031C">
        <w:t xml:space="preserve">Wallace, T.A., Daly, R., Aldridge, K.T., Cox, J., Gibbs, M.S., Nicol, J.M., Oliver, R.L., Walker, K.F., Ye, Q. and Zampatti, B.P. (2014). River Murray Channel Environmental Water Requirements: Hydrodynamic Modelling Results and Conceptual Models, Goyder Institute for Water Research </w:t>
      </w:r>
      <w:r w:rsidRPr="0059173F">
        <w:t>Technical Report Series No. 14/5, Adelaide, South Australia.</w:t>
      </w:r>
    </w:p>
    <w:p w14:paraId="29D05599" w14:textId="77777777" w:rsidR="00530E59" w:rsidRPr="0059173F" w:rsidRDefault="00530E59" w:rsidP="00530E59">
      <w:r w:rsidRPr="0059173F">
        <w:t>Wallace, T.W. and Cummings, C.R. (2016). Influence of water level manipulation on biofilm composition in a highly regulated lowland river. Report prepared for the Department of Environment, Water and Natural Resources by the University of Adelaide and the Environment Protection Authority. 36pp.</w:t>
      </w:r>
    </w:p>
    <w:p w14:paraId="3870A354" w14:textId="77777777" w:rsidR="00530E59" w:rsidRPr="00C70D04" w:rsidRDefault="00530E59" w:rsidP="00530E59">
      <w:proofErr w:type="spellStart"/>
      <w:r w:rsidRPr="00C70D04">
        <w:t>Wassens</w:t>
      </w:r>
      <w:proofErr w:type="spellEnd"/>
      <w:r w:rsidRPr="00C70D04">
        <w:t xml:space="preserve">, S., Spencer, J., Wolfenden, B., </w:t>
      </w:r>
      <w:proofErr w:type="spellStart"/>
      <w:r w:rsidRPr="00C70D04">
        <w:t>Thiem</w:t>
      </w:r>
      <w:proofErr w:type="spellEnd"/>
      <w:r w:rsidRPr="00C70D04">
        <w:t xml:space="preserve">, J., Thomas, R., Jenkins, K., Brandis, K., </w:t>
      </w:r>
      <w:proofErr w:type="spellStart"/>
      <w:r w:rsidRPr="00C70D04">
        <w:t>Lenon</w:t>
      </w:r>
      <w:proofErr w:type="spellEnd"/>
      <w:r w:rsidRPr="00C70D04">
        <w:t xml:space="preserve">, E., Hall, A., </w:t>
      </w:r>
      <w:proofErr w:type="spellStart"/>
      <w:r w:rsidRPr="00C70D04">
        <w:t>Ocock</w:t>
      </w:r>
      <w:proofErr w:type="spellEnd"/>
      <w:r w:rsidRPr="00C70D04">
        <w:t xml:space="preserve">, J., Kobayashi, T., Bino, G., Heath, J. and Callaghan, D. (2017). Commonwealth Environmental Water Office Long-Term Intervention Monitoring project Murrumbidgee River system Selected Area evaluation report, 2014–17. Canberra, Commonwealth of Australia. </w:t>
      </w:r>
    </w:p>
    <w:p w14:paraId="543691B3" w14:textId="6018295F" w:rsidR="00530E59" w:rsidRPr="00C70D04" w:rsidRDefault="00530E59" w:rsidP="00530E59">
      <w:r w:rsidRPr="00C70D04">
        <w:t xml:space="preserve">Watts, J.R., Dyer, F., Frazier, F., </w:t>
      </w:r>
      <w:proofErr w:type="spellStart"/>
      <w:r w:rsidRPr="00C70D04">
        <w:t>Gawne</w:t>
      </w:r>
      <w:proofErr w:type="spellEnd"/>
      <w:r w:rsidRPr="00C70D04">
        <w:t xml:space="preserve">, B., Marsh, P., Ryder, D. S., Southwell, M., </w:t>
      </w:r>
      <w:proofErr w:type="spellStart"/>
      <w:r w:rsidRPr="00C70D04">
        <w:t>Wassens</w:t>
      </w:r>
      <w:proofErr w:type="spellEnd"/>
      <w:r w:rsidRPr="00C70D04">
        <w:t xml:space="preserve">, S.M., Webb J.A. and Ye, Q. (2020). Learning from concurrent adaptive management in multiple catchments within a large environmental flows program in Australia. </w:t>
      </w:r>
      <w:r w:rsidRPr="00C70D04">
        <w:rPr>
          <w:i/>
          <w:iCs/>
        </w:rPr>
        <w:t>River Research and Applications</w:t>
      </w:r>
      <w:r w:rsidRPr="00C70D04">
        <w:t xml:space="preserve"> </w:t>
      </w:r>
      <w:r w:rsidRPr="00C70D04">
        <w:rPr>
          <w:b/>
          <w:bCs/>
        </w:rPr>
        <w:t>36</w:t>
      </w:r>
      <w:r w:rsidR="00C24E56">
        <w:t>,</w:t>
      </w:r>
      <w:r w:rsidRPr="00C70D04">
        <w:t xml:space="preserve"> 668–680. </w:t>
      </w:r>
    </w:p>
    <w:p w14:paraId="4C80651B" w14:textId="77777777" w:rsidR="00530E59" w:rsidRPr="00C70D04" w:rsidRDefault="00530E59" w:rsidP="00530E59">
      <w:r w:rsidRPr="00C70D04">
        <w:t xml:space="preserve">Watts, R.J., </w:t>
      </w:r>
      <w:proofErr w:type="spellStart"/>
      <w:r w:rsidRPr="00C70D04">
        <w:t>McCasker</w:t>
      </w:r>
      <w:proofErr w:type="spellEnd"/>
      <w:r w:rsidRPr="00C70D04">
        <w:t xml:space="preserve">, N., Howitt, J.A., </w:t>
      </w:r>
      <w:proofErr w:type="spellStart"/>
      <w:r w:rsidRPr="00C70D04">
        <w:t>Thiem</w:t>
      </w:r>
      <w:proofErr w:type="spellEnd"/>
      <w:r w:rsidRPr="00C70D04">
        <w:t xml:space="preserve">, J., Grace, M., Kopf, R.K., Healy, S. and Bond, N. (2017). Commonwealth Environmental Water Office Long Term Intervention Monitoring Project: Edward-Wakool River System Selected Area Evaluation Report, 2016-17. Report prepared for Commonwealth Environmental Water Office. Commonwealth of Australia. </w:t>
      </w:r>
    </w:p>
    <w:p w14:paraId="74B397EB" w14:textId="77777777" w:rsidR="00530E59" w:rsidRPr="0059173F" w:rsidRDefault="00530E59" w:rsidP="00530E59">
      <w:r w:rsidRPr="00C70D04">
        <w:t xml:space="preserve">Watts, R.J., </w:t>
      </w:r>
      <w:proofErr w:type="spellStart"/>
      <w:r w:rsidRPr="00C70D04">
        <w:t>McCasker</w:t>
      </w:r>
      <w:proofErr w:type="spellEnd"/>
      <w:r w:rsidRPr="00C70D04">
        <w:t xml:space="preserve">, N., </w:t>
      </w:r>
      <w:proofErr w:type="spellStart"/>
      <w:r w:rsidRPr="00C70D04">
        <w:t>Thiem</w:t>
      </w:r>
      <w:proofErr w:type="spellEnd"/>
      <w:r w:rsidRPr="00C70D04">
        <w:t xml:space="preserve">, J., Howitt, J.A., Grace, M., Kopf, R.K., Healy, S. and Bond, N. (2015). Commonwealth Environmental Water Office Long Term Intervention Monitoring Project: Edward-Wakool Selected Area </w:t>
      </w:r>
      <w:r w:rsidRPr="0059173F">
        <w:t>Technical Report, 2014-15. Institute for Land, Water and Society, Charles Sturt University, Prepared for Commonwealth Environmental Water.</w:t>
      </w:r>
    </w:p>
    <w:p w14:paraId="28D80DC8" w14:textId="77777777" w:rsidR="00530E59" w:rsidRPr="0059173F" w:rsidRDefault="00530E59" w:rsidP="00530E59">
      <w:r w:rsidRPr="0059173F">
        <w:t xml:space="preserve">Webb, A., King, E., Treadwell, S., </w:t>
      </w:r>
      <w:proofErr w:type="spellStart"/>
      <w:r w:rsidRPr="0059173F">
        <w:t>Lintern</w:t>
      </w:r>
      <w:proofErr w:type="spellEnd"/>
      <w:r w:rsidRPr="0059173F">
        <w:t xml:space="preserve">, A., Baker, B., </w:t>
      </w:r>
      <w:proofErr w:type="spellStart"/>
      <w:r w:rsidRPr="0059173F">
        <w:t>Casanelia</w:t>
      </w:r>
      <w:proofErr w:type="spellEnd"/>
      <w:r w:rsidRPr="0059173F">
        <w:t xml:space="preserve">, S., Grace, M., Koster, W., Lovell, D., Morris, K., </w:t>
      </w:r>
      <w:proofErr w:type="spellStart"/>
      <w:r w:rsidRPr="0059173F">
        <w:t>Pettigrove</w:t>
      </w:r>
      <w:proofErr w:type="spellEnd"/>
      <w:r w:rsidRPr="0059173F">
        <w:t xml:space="preserve">, V., Townsend, K. and </w:t>
      </w:r>
      <w:proofErr w:type="spellStart"/>
      <w:r w:rsidRPr="0059173F">
        <w:t>Vietz</w:t>
      </w:r>
      <w:proofErr w:type="spellEnd"/>
      <w:r w:rsidRPr="0059173F">
        <w:t>, G. (2017). Commonwealth Environmental Water Office Long Term Intervention Monitoring Project: Goulburn River Selected Area evaluation report 2016–17.</w:t>
      </w:r>
    </w:p>
    <w:p w14:paraId="03956B6E" w14:textId="77777777" w:rsidR="00530E59" w:rsidRPr="00346B75" w:rsidRDefault="00530E59" w:rsidP="00530E59">
      <w:r w:rsidRPr="0059173F">
        <w:t xml:space="preserve">Webb, A., </w:t>
      </w:r>
      <w:proofErr w:type="spellStart"/>
      <w:r w:rsidRPr="0059173F">
        <w:t>Vietz</w:t>
      </w:r>
      <w:proofErr w:type="spellEnd"/>
      <w:r w:rsidRPr="0059173F">
        <w:t xml:space="preserve">, G., </w:t>
      </w:r>
      <w:proofErr w:type="spellStart"/>
      <w:r w:rsidRPr="0059173F">
        <w:t>Windecker</w:t>
      </w:r>
      <w:proofErr w:type="spellEnd"/>
      <w:r w:rsidRPr="0059173F">
        <w:t xml:space="preserve">, S., Hladyz, S., Thompson, R., Koster, W. and Jones, M. (2015). Monitoring and reporting on the ecological outcomes of Commonwealth environmental water delivered in the lower Goulburn River and Broken Creek in 2013/14. The University of </w:t>
      </w:r>
      <w:r w:rsidRPr="00346B75">
        <w:t>Melbourne for the Commonwealth Environmental Water Office.</w:t>
      </w:r>
    </w:p>
    <w:p w14:paraId="1647102A" w14:textId="77777777" w:rsidR="00530E59" w:rsidRPr="00346B75" w:rsidRDefault="00530E59" w:rsidP="00530E59">
      <w:r w:rsidRPr="00346B75">
        <w:t xml:space="preserve">Whitworth, K.L. and Baldwin, D.S. (2016). Improving our capacity to manage hypoxic blackwater events in lowland rivers: The Blackwater Risk Assessment Tool. </w:t>
      </w:r>
      <w:r w:rsidRPr="00346B75">
        <w:rPr>
          <w:i/>
        </w:rPr>
        <w:t>Ecological Modelling</w:t>
      </w:r>
      <w:r w:rsidRPr="00346B75">
        <w:t xml:space="preserve"> </w:t>
      </w:r>
      <w:r w:rsidRPr="00346B75">
        <w:rPr>
          <w:b/>
        </w:rPr>
        <w:t>320</w:t>
      </w:r>
      <w:r w:rsidRPr="00346B75">
        <w:t>, 292–298.</w:t>
      </w:r>
    </w:p>
    <w:p w14:paraId="272B164C" w14:textId="3F8B04D1" w:rsidR="00530E59" w:rsidRDefault="00530E59" w:rsidP="00530E59">
      <w:r w:rsidRPr="00D12643">
        <w:t>Ye, Q., Bucater, L. and Short, D. (2011). Coorong fish intervention monitoring during barrage releases in 2010/11. South Australian Research and Development Institute (Aquatic Sciences), Adelaide. SARDI Publication No. F2011/000309-1. SARDI Research Report Series No. 559.</w:t>
      </w:r>
    </w:p>
    <w:p w14:paraId="3CCC19FC" w14:textId="77777777" w:rsidR="00AC1BC0" w:rsidRDefault="00DB4B43" w:rsidP="00DB4B43">
      <w:r w:rsidRPr="0059173F">
        <w:t xml:space="preserve">Ye, Q., Giatas, G., Aldridge, K., Busch, B., Brookes, J., Gibbs, M., </w:t>
      </w:r>
      <w:proofErr w:type="spellStart"/>
      <w:r w:rsidRPr="0059173F">
        <w:t>Hipsey</w:t>
      </w:r>
      <w:proofErr w:type="spellEnd"/>
      <w:r w:rsidRPr="0059173F">
        <w:t>, M., Lorenz, Z., Maas, R., Oliver, R., Shiel, R., Woodhead, J. and Zampatti, B. (2018). Long-Term Intervention Monitoring of the Ecological Responses to Commonwealth Environmental Water Delivered to the Lower Murray River Selected Area in 2016/17. A report prepared for the Commonwealth Environmental Water Office. South Australian Research and Development Institute, Aquatic Sciences.</w:t>
      </w:r>
    </w:p>
    <w:p w14:paraId="5344896F" w14:textId="7D0DAB30" w:rsidR="00DB4B43" w:rsidRPr="00D12643" w:rsidRDefault="00DB4B43" w:rsidP="00530E59">
      <w:r w:rsidRPr="0059173F">
        <w:t xml:space="preserve">Ye, Q., Giatas, G., Aldridge, K., Busch, B., Brookes, J., Gibbs, M., </w:t>
      </w:r>
      <w:proofErr w:type="spellStart"/>
      <w:r w:rsidRPr="0059173F">
        <w:t>Hipsey</w:t>
      </w:r>
      <w:proofErr w:type="spellEnd"/>
      <w:r w:rsidRPr="0059173F">
        <w:t>, M., Lorenz, Z., Maas, R., Oliver, R., Shiel, R., Woodhead, J. and Zampatti, B. (2019). Long-Term Intervention Monitoring of the Ecological Responses to Commonwealth Environmental Water Delivered to the Lower Murray River Selected Area in 2017-18. A report prepared for the Commonwealth Environmental Water Office. South Australian Research and Development Institute, Aquatic Sciences.</w:t>
      </w:r>
    </w:p>
    <w:p w14:paraId="3B033874" w14:textId="45855C82" w:rsidR="00530E59" w:rsidRDefault="00530E59" w:rsidP="00530E59">
      <w:r w:rsidRPr="00D12643">
        <w:t xml:space="preserve">Ye, Q., Giatas, G., Aldridge, K., Busch, B., Gibbs, M., </w:t>
      </w:r>
      <w:proofErr w:type="spellStart"/>
      <w:r w:rsidRPr="00D12643">
        <w:t>Hipsey</w:t>
      </w:r>
      <w:proofErr w:type="spellEnd"/>
      <w:r w:rsidRPr="00D12643">
        <w:t xml:space="preserve">, M., Lorenz, Z., Maas, R., Oliver, R., Shiel, R., Woodhead, J. and Zampatti, B. (2017). Long-Term Intervention Monitoring of the Ecological Responses to Commonwealth Environmental Water Delivered to the Lower Murray River Selected Area in </w:t>
      </w:r>
      <w:r w:rsidRPr="0059173F">
        <w:t>2015/16. A report prepared for the Commonwealth Environmental Water Office. South Australian Research and Development Institute, Aquatic Sciences.</w:t>
      </w:r>
    </w:p>
    <w:p w14:paraId="283AB587" w14:textId="69CFBBCF" w:rsidR="00DB4B43" w:rsidRPr="0059173F" w:rsidRDefault="00DB4B43" w:rsidP="00530E59">
      <w:r w:rsidRPr="00BE00F1">
        <w:t xml:space="preserve">Ye Q., Giatas G., Aldridge K.T., Busch B., Gibbs M., </w:t>
      </w:r>
      <w:proofErr w:type="spellStart"/>
      <w:r w:rsidRPr="00BE00F1">
        <w:t>Hipsey</w:t>
      </w:r>
      <w:proofErr w:type="spellEnd"/>
      <w:r w:rsidRPr="00BE00F1">
        <w:t xml:space="preserve"> M.R., Lorenz Z., Oliver R., Shiel R.J. &amp; </w:t>
      </w:r>
      <w:proofErr w:type="spellStart"/>
      <w:r w:rsidRPr="00BE00F1">
        <w:t>Zampatti</w:t>
      </w:r>
      <w:proofErr w:type="spellEnd"/>
      <w:r w:rsidRPr="00BE00F1">
        <w:t xml:space="preserve"> B. (2016b) Long-term Intervention Monitoring for the Ecological Responses to Commonwealth Environmental Water Delivered to the Lower Murray River Selected Area in 2014/15: A Report Prepared for the Commonwealth Environmental Water Office by the South Australian Research and Development Institute, Aquatic Sciences, SARDI Aquatic </w:t>
      </w:r>
      <w:r w:rsidRPr="00C70D04">
        <w:t>Sciences.</w:t>
      </w:r>
    </w:p>
    <w:p w14:paraId="638BB4BC" w14:textId="77777777" w:rsidR="00530E59" w:rsidRPr="0059173F" w:rsidRDefault="00530E59" w:rsidP="00530E59">
      <w:r w:rsidRPr="0059173F">
        <w:t xml:space="preserve">Ye, Q., Giatas, G., Brookes, J., Furst, D., Gibbs, M., Oliver, R., Shiel, R., Zampatti, B., Aldridge, K., Bucater, L., Busch, B., </w:t>
      </w:r>
      <w:proofErr w:type="spellStart"/>
      <w:r w:rsidRPr="0059173F">
        <w:t>Hipsey</w:t>
      </w:r>
      <w:proofErr w:type="spellEnd"/>
      <w:r w:rsidRPr="0059173F">
        <w:t>, M., Lorenz, Z., Maas, R., and Woodhead, J. (2020). Commonwealth Environmental Water Office Long-Term Intervention Monitoring Project 2014–2019: Lower Murray River Technical Report. A report prepared for the Commonwealth Environmental Water Office by the South Australian Research and Development Institute, Aquatic Sciences.</w:t>
      </w:r>
    </w:p>
    <w:p w14:paraId="2A31FE37" w14:textId="37C6133E" w:rsidR="00530E59" w:rsidRPr="00C70D04" w:rsidRDefault="00530E59" w:rsidP="00530E59">
      <w:r w:rsidRPr="00C70D04">
        <w:t xml:space="preserve">Ye, Q., </w:t>
      </w:r>
      <w:proofErr w:type="spellStart"/>
      <w:r w:rsidRPr="00C70D04">
        <w:t>Livore</w:t>
      </w:r>
      <w:proofErr w:type="spellEnd"/>
      <w:r w:rsidRPr="00C70D04">
        <w:t xml:space="preserve">, J.P., Aldridge, K., Bradford, T. , Busch, B., Earl, J., </w:t>
      </w:r>
      <w:proofErr w:type="spellStart"/>
      <w:r w:rsidRPr="00C70D04">
        <w:t>Hipsey</w:t>
      </w:r>
      <w:proofErr w:type="spellEnd"/>
      <w:r w:rsidRPr="00C70D04">
        <w:t xml:space="preserve">, M., Hoffmann, E., </w:t>
      </w:r>
      <w:proofErr w:type="spellStart"/>
      <w:r w:rsidRPr="00C70D04">
        <w:t>Joehnk</w:t>
      </w:r>
      <w:proofErr w:type="spellEnd"/>
      <w:r w:rsidRPr="00C70D04">
        <w:t xml:space="preserve">, K., Lorenz, Z., Nicol, J., Oliver, R., Shiel, R., Suitor, L., Tan, L., Turner, R., Wegener, I., Wilson, P.J. and Zampatti, B.P. (2015). Monitoring the ecological responses to Commonwealth environmental water delivered to the Lower Murray River in 2012-13. </w:t>
      </w:r>
      <w:proofErr w:type="gramStart"/>
      <w:r w:rsidRPr="00C70D04">
        <w:t>Report 3,</w:t>
      </w:r>
      <w:proofErr w:type="gramEnd"/>
      <w:r w:rsidRPr="00C70D04">
        <w:t xml:space="preserve"> prepared for Commonwealth Environmental Water Office. South Australian Research and Development Institute, Aquatic Sciences. </w:t>
      </w:r>
    </w:p>
    <w:p w14:paraId="5AF2404C" w14:textId="77777777" w:rsidR="00530E59" w:rsidRPr="00346B75" w:rsidRDefault="00530E59" w:rsidP="00530E59">
      <w:r w:rsidRPr="00C70D04">
        <w:t xml:space="preserve">Ye, Q., </w:t>
      </w:r>
      <w:proofErr w:type="spellStart"/>
      <w:r w:rsidRPr="00C70D04">
        <w:t>Livore</w:t>
      </w:r>
      <w:proofErr w:type="spellEnd"/>
      <w:r w:rsidRPr="00C70D04">
        <w:t xml:space="preserve">, J., Aldridge, K., Giatas, G., </w:t>
      </w:r>
      <w:proofErr w:type="spellStart"/>
      <w:r w:rsidRPr="00C70D04">
        <w:t>Hipsey</w:t>
      </w:r>
      <w:proofErr w:type="spellEnd"/>
      <w:r w:rsidRPr="00C70D04">
        <w:t xml:space="preserve">, M., </w:t>
      </w:r>
      <w:proofErr w:type="spellStart"/>
      <w:r w:rsidRPr="00C70D04">
        <w:t>Joehnk</w:t>
      </w:r>
      <w:proofErr w:type="spellEnd"/>
      <w:r w:rsidRPr="00C70D04">
        <w:t>, K., Nicol, J., Wilson, P., Zampatti, B. (2016a</w:t>
      </w:r>
      <w:r w:rsidRPr="00346B75">
        <w:t>). Monitoring ecological response to Commonwealth environmental water delivered to the Lower Murray River in 2013-14. Final Report prepared for the Commonwealth Environmental Water Office. South Australian Research and Development Institute.</w:t>
      </w:r>
    </w:p>
    <w:p w14:paraId="1A99916B" w14:textId="77777777" w:rsidR="00530E59" w:rsidRPr="00BC2A5A" w:rsidRDefault="00530E59" w:rsidP="00530E59">
      <w:pPr>
        <w:rPr>
          <w:highlight w:val="yellow"/>
        </w:rPr>
      </w:pPr>
      <w:r w:rsidRPr="001D5B23">
        <w:t xml:space="preserve">Ye, Q. and Zampatti, B. (2007). Murray cod stock status – the Lower River Murray, South Australia. Stock status report to PIRSA Fisheries. South Australian Research and Development Institute (Aquatic Sciences), Adelaide. SARDI Publication No. </w:t>
      </w:r>
      <w:r>
        <w:t>F2007-000211-1</w:t>
      </w:r>
      <w:r w:rsidRPr="001D5B23">
        <w:t xml:space="preserve">. SARDI Report Series No. </w:t>
      </w:r>
      <w:r>
        <w:t>208</w:t>
      </w:r>
      <w:r w:rsidRPr="001D5B23">
        <w:t>.</w:t>
      </w:r>
    </w:p>
    <w:p w14:paraId="106C83F3" w14:textId="77777777" w:rsidR="00530E59" w:rsidRPr="0059173F" w:rsidRDefault="00530E59" w:rsidP="00530E59">
      <w:pPr>
        <w:rPr>
          <w:bCs/>
        </w:rPr>
      </w:pPr>
      <w:r w:rsidRPr="0059173F">
        <w:rPr>
          <w:bCs/>
        </w:rPr>
        <w:t xml:space="preserve">Young, R.G. and </w:t>
      </w:r>
      <w:proofErr w:type="spellStart"/>
      <w:r w:rsidRPr="0059173F">
        <w:rPr>
          <w:bCs/>
        </w:rPr>
        <w:t>Huryn</w:t>
      </w:r>
      <w:proofErr w:type="spellEnd"/>
      <w:r w:rsidRPr="0059173F">
        <w:rPr>
          <w:bCs/>
        </w:rPr>
        <w:t xml:space="preserve">, A.D. (1996). Interannual variation in discharge controls ecosystem metabolism along a grassland river continuum. </w:t>
      </w:r>
      <w:r w:rsidRPr="0059173F">
        <w:rPr>
          <w:bCs/>
          <w:i/>
        </w:rPr>
        <w:t>Canadian Journal of Fisheries and Aquatic Sciences</w:t>
      </w:r>
      <w:r w:rsidRPr="0059173F">
        <w:rPr>
          <w:bCs/>
        </w:rPr>
        <w:t xml:space="preserve"> </w:t>
      </w:r>
      <w:r w:rsidRPr="0059173F">
        <w:rPr>
          <w:b/>
          <w:bCs/>
        </w:rPr>
        <w:t>53</w:t>
      </w:r>
      <w:r w:rsidRPr="0059173F">
        <w:rPr>
          <w:bCs/>
        </w:rPr>
        <w:t>, 2199–2211.</w:t>
      </w:r>
    </w:p>
    <w:p w14:paraId="2E0EBF18" w14:textId="77777777" w:rsidR="00530E59" w:rsidRPr="0059509B" w:rsidRDefault="00530E59" w:rsidP="00530E59">
      <w:pPr>
        <w:rPr>
          <w:bCs/>
        </w:rPr>
      </w:pPr>
      <w:r w:rsidRPr="0059509B">
        <w:rPr>
          <w:bCs/>
        </w:rPr>
        <w:t>Zampatti, B.P. and Leigh, S.J. (2013a). Effects of flooding on recruitment and abundance of Golden Perch (</w:t>
      </w:r>
      <w:proofErr w:type="spellStart"/>
      <w:r w:rsidRPr="0059509B">
        <w:rPr>
          <w:bCs/>
          <w:i/>
        </w:rPr>
        <w:t>Macquaria</w:t>
      </w:r>
      <w:proofErr w:type="spellEnd"/>
      <w:r w:rsidRPr="0059509B">
        <w:rPr>
          <w:bCs/>
          <w:i/>
        </w:rPr>
        <w:t xml:space="preserve"> </w:t>
      </w:r>
      <w:proofErr w:type="spellStart"/>
      <w:r w:rsidRPr="0059509B">
        <w:rPr>
          <w:bCs/>
          <w:i/>
        </w:rPr>
        <w:t>ambigua</w:t>
      </w:r>
      <w:proofErr w:type="spellEnd"/>
      <w:r w:rsidRPr="0059509B">
        <w:rPr>
          <w:bCs/>
          <w:i/>
        </w:rPr>
        <w:t xml:space="preserve"> </w:t>
      </w:r>
      <w:proofErr w:type="spellStart"/>
      <w:r w:rsidRPr="0059509B">
        <w:rPr>
          <w:bCs/>
          <w:i/>
        </w:rPr>
        <w:t>ambigua</w:t>
      </w:r>
      <w:proofErr w:type="spellEnd"/>
      <w:r w:rsidRPr="0059509B">
        <w:rPr>
          <w:bCs/>
        </w:rPr>
        <w:t xml:space="preserve">) in the lower River Murray. </w:t>
      </w:r>
      <w:r w:rsidRPr="0059509B">
        <w:rPr>
          <w:bCs/>
          <w:i/>
        </w:rPr>
        <w:t>Ecological Management and Restoration</w:t>
      </w:r>
      <w:r w:rsidRPr="0059509B">
        <w:rPr>
          <w:bCs/>
        </w:rPr>
        <w:t xml:space="preserve"> </w:t>
      </w:r>
      <w:r w:rsidRPr="0059509B">
        <w:rPr>
          <w:b/>
          <w:bCs/>
        </w:rPr>
        <w:t>14</w:t>
      </w:r>
      <w:r w:rsidRPr="0059509B">
        <w:rPr>
          <w:bCs/>
        </w:rPr>
        <w:t>, 135–143.</w:t>
      </w:r>
    </w:p>
    <w:p w14:paraId="06C5CFF1" w14:textId="77777777" w:rsidR="00530E59" w:rsidRPr="0059509B" w:rsidRDefault="00530E59" w:rsidP="00530E59">
      <w:pPr>
        <w:rPr>
          <w:bCs/>
        </w:rPr>
      </w:pPr>
      <w:r w:rsidRPr="0059509B">
        <w:rPr>
          <w:bCs/>
        </w:rPr>
        <w:t xml:space="preserve">Zampatti, B.P. and Leigh, S.J. (2013b). Within-channel flows promote spawning and recruitment of golden perch, </w:t>
      </w:r>
      <w:proofErr w:type="spellStart"/>
      <w:r w:rsidRPr="0059509B">
        <w:rPr>
          <w:bCs/>
          <w:i/>
        </w:rPr>
        <w:t>Macquaria</w:t>
      </w:r>
      <w:proofErr w:type="spellEnd"/>
      <w:r w:rsidRPr="0059509B">
        <w:rPr>
          <w:bCs/>
          <w:i/>
        </w:rPr>
        <w:t xml:space="preserve"> </w:t>
      </w:r>
      <w:proofErr w:type="spellStart"/>
      <w:r w:rsidRPr="0059509B">
        <w:rPr>
          <w:bCs/>
          <w:i/>
        </w:rPr>
        <w:t>ambigua</w:t>
      </w:r>
      <w:proofErr w:type="spellEnd"/>
      <w:r w:rsidRPr="0059509B">
        <w:rPr>
          <w:bCs/>
          <w:i/>
        </w:rPr>
        <w:t xml:space="preserve"> </w:t>
      </w:r>
      <w:proofErr w:type="spellStart"/>
      <w:r w:rsidRPr="0059509B">
        <w:rPr>
          <w:bCs/>
          <w:i/>
        </w:rPr>
        <w:t>ambigua</w:t>
      </w:r>
      <w:proofErr w:type="spellEnd"/>
      <w:r w:rsidRPr="0059509B">
        <w:rPr>
          <w:bCs/>
        </w:rPr>
        <w:t xml:space="preserve">: implications for environmental flow management in the River Murray, Australia. </w:t>
      </w:r>
      <w:r w:rsidRPr="0059509B">
        <w:rPr>
          <w:bCs/>
          <w:i/>
        </w:rPr>
        <w:t>Marine and Freshwater Research</w:t>
      </w:r>
      <w:r w:rsidRPr="0059509B">
        <w:rPr>
          <w:bCs/>
        </w:rPr>
        <w:t xml:space="preserve"> </w:t>
      </w:r>
      <w:r w:rsidRPr="0059509B">
        <w:rPr>
          <w:b/>
          <w:bCs/>
        </w:rPr>
        <w:t>64</w:t>
      </w:r>
      <w:r w:rsidRPr="0059509B">
        <w:rPr>
          <w:bCs/>
        </w:rPr>
        <w:t>, 618–630.</w:t>
      </w:r>
    </w:p>
    <w:p w14:paraId="6DC70A51" w14:textId="77777777" w:rsidR="00530E59" w:rsidRPr="0059173F" w:rsidRDefault="00530E59" w:rsidP="00530E59">
      <w:pPr>
        <w:rPr>
          <w:bCs/>
        </w:rPr>
      </w:pPr>
      <w:r w:rsidRPr="0059173F">
        <w:rPr>
          <w:bCs/>
        </w:rPr>
        <w:t>Zampatti, B.P., Bice, C.M., Wilson, P.J. and Ye, Q. (2014). Population dynamics of Murray cod (</w:t>
      </w:r>
      <w:proofErr w:type="spellStart"/>
      <w:r w:rsidRPr="0059173F">
        <w:rPr>
          <w:bCs/>
          <w:i/>
        </w:rPr>
        <w:t>Maccullochella</w:t>
      </w:r>
      <w:proofErr w:type="spellEnd"/>
      <w:r w:rsidRPr="0059173F">
        <w:rPr>
          <w:bCs/>
          <w:i/>
        </w:rPr>
        <w:t xml:space="preserve"> </w:t>
      </w:r>
      <w:proofErr w:type="spellStart"/>
      <w:r w:rsidRPr="0059173F">
        <w:rPr>
          <w:bCs/>
          <w:i/>
        </w:rPr>
        <w:t>peelii</w:t>
      </w:r>
      <w:proofErr w:type="spellEnd"/>
      <w:r w:rsidRPr="0059173F">
        <w:rPr>
          <w:bCs/>
        </w:rPr>
        <w:t xml:space="preserve">) in the South Australian reaches of the River Murray: A synthesis of data from 2002–2013. South Australian Research and Development Institute (Aquatic Sciences), Adelaide. SARDI Publication No. F2014-000089-1. SARDI Research Report Series No. 761. </w:t>
      </w:r>
    </w:p>
    <w:p w14:paraId="2B3B79FB" w14:textId="10349C56" w:rsidR="003634E6" w:rsidRDefault="00530E59" w:rsidP="005061CF">
      <w:pPr>
        <w:rPr>
          <w:bCs/>
        </w:rPr>
      </w:pPr>
      <w:r w:rsidRPr="0059509B">
        <w:rPr>
          <w:bCs/>
        </w:rPr>
        <w:t xml:space="preserve">Zampatti, B.P., Strawbridge, A., </w:t>
      </w:r>
      <w:proofErr w:type="spellStart"/>
      <w:r w:rsidRPr="0059509B">
        <w:rPr>
          <w:bCs/>
        </w:rPr>
        <w:t>Thiem</w:t>
      </w:r>
      <w:proofErr w:type="spellEnd"/>
      <w:r w:rsidRPr="0059509B">
        <w:rPr>
          <w:bCs/>
        </w:rPr>
        <w:t>, J., Tonkin, Z., Mass, R., Woodhead, J. and Fredberg, J. (2018). Golden perch (</w:t>
      </w:r>
      <w:proofErr w:type="spellStart"/>
      <w:r w:rsidRPr="0059509B">
        <w:rPr>
          <w:bCs/>
          <w:i/>
        </w:rPr>
        <w:t>Macquaria</w:t>
      </w:r>
      <w:proofErr w:type="spellEnd"/>
      <w:r w:rsidRPr="0059509B">
        <w:rPr>
          <w:bCs/>
          <w:i/>
        </w:rPr>
        <w:t xml:space="preserve"> </w:t>
      </w:r>
      <w:proofErr w:type="spellStart"/>
      <w:r w:rsidRPr="0059509B">
        <w:rPr>
          <w:bCs/>
          <w:i/>
        </w:rPr>
        <w:t>ambigua</w:t>
      </w:r>
      <w:proofErr w:type="spellEnd"/>
      <w:r w:rsidRPr="0059509B">
        <w:rPr>
          <w:bCs/>
        </w:rPr>
        <w:t>) and silver perch (</w:t>
      </w:r>
      <w:proofErr w:type="spellStart"/>
      <w:r w:rsidRPr="0059509B">
        <w:rPr>
          <w:bCs/>
          <w:i/>
        </w:rPr>
        <w:t>Bidyanus</w:t>
      </w:r>
      <w:proofErr w:type="spellEnd"/>
      <w:r w:rsidRPr="0059509B">
        <w:rPr>
          <w:bCs/>
          <w:i/>
        </w:rPr>
        <w:t xml:space="preserve"> </w:t>
      </w:r>
      <w:proofErr w:type="spellStart"/>
      <w:r w:rsidRPr="0059509B">
        <w:rPr>
          <w:bCs/>
          <w:i/>
        </w:rPr>
        <w:t>bidyanus</w:t>
      </w:r>
      <w:proofErr w:type="spellEnd"/>
      <w:r w:rsidRPr="0059509B">
        <w:rPr>
          <w:bCs/>
        </w:rPr>
        <w:t>) age demographics, natal origin and migration history in the River Murray, Australia. South Australian Research and Development Institute (Aquatic Sciences), Adelaide. SARDI Publication No. F2018/000116-1. SARDI Research Report Series No. 993.</w:t>
      </w:r>
    </w:p>
    <w:p w14:paraId="470730A6" w14:textId="77777777" w:rsidR="003634E6" w:rsidRDefault="003634E6">
      <w:pPr>
        <w:spacing w:before="0" w:after="160" w:line="259" w:lineRule="auto"/>
        <w:jc w:val="left"/>
        <w:rPr>
          <w:bCs/>
        </w:rPr>
      </w:pPr>
      <w:r>
        <w:rPr>
          <w:bCs/>
        </w:rPr>
        <w:br w:type="page"/>
      </w:r>
    </w:p>
    <w:p w14:paraId="4BF00B9A" w14:textId="77777777" w:rsidR="008849C5" w:rsidRDefault="008849C5" w:rsidP="000A65FC">
      <w:pPr>
        <w:pStyle w:val="Heading1"/>
        <w:sectPr w:rsidR="008849C5">
          <w:pgSz w:w="11906" w:h="16838"/>
          <w:pgMar w:top="1440" w:right="1440" w:bottom="1440" w:left="1440" w:header="708" w:footer="708" w:gutter="0"/>
          <w:cols w:space="708"/>
          <w:docGrid w:linePitch="360"/>
        </w:sectPr>
      </w:pPr>
      <w:bookmarkStart w:id="365" w:name="_Toc441838746"/>
      <w:bookmarkStart w:id="366" w:name="_Toc3558346"/>
    </w:p>
    <w:p w14:paraId="63F0DD66" w14:textId="030BA32A" w:rsidR="000A65FC" w:rsidRDefault="000A65FC" w:rsidP="000A65FC">
      <w:pPr>
        <w:pStyle w:val="Heading1"/>
      </w:pPr>
      <w:bookmarkStart w:id="367" w:name="_Toc69309251"/>
      <w:r w:rsidRPr="00A67C76">
        <w:t>Appendices</w:t>
      </w:r>
      <w:bookmarkEnd w:id="365"/>
      <w:bookmarkEnd w:id="366"/>
      <w:bookmarkEnd w:id="367"/>
    </w:p>
    <w:p w14:paraId="72B5208F" w14:textId="6B930EF6" w:rsidR="008849C5" w:rsidRPr="00F64880" w:rsidRDefault="008849C5" w:rsidP="008849C5">
      <w:pPr>
        <w:pStyle w:val="Heading1"/>
        <w:numPr>
          <w:ilvl w:val="0"/>
          <w:numId w:val="0"/>
        </w:numPr>
        <w:rPr>
          <w:b w:val="0"/>
          <w:bCs w:val="0"/>
          <w:caps w:val="0"/>
        </w:rPr>
      </w:pPr>
      <w:bookmarkStart w:id="368" w:name="_Toc69309252"/>
      <w:r>
        <w:t>Appendix A</w:t>
      </w:r>
      <w:r w:rsidRPr="001056B4">
        <w:t xml:space="preserve">: </w:t>
      </w:r>
      <w:r>
        <w:t xml:space="preserve">Expected outcomes of Commonwealth environmental water in the </w:t>
      </w:r>
      <w:r w:rsidR="007A183C">
        <w:t>L</w:t>
      </w:r>
      <w:r w:rsidR="006C6F74">
        <w:t xml:space="preserve">OWER </w:t>
      </w:r>
      <w:r w:rsidR="007A183C">
        <w:t>M</w:t>
      </w:r>
      <w:r w:rsidR="006C6F74">
        <w:t xml:space="preserve">URRAY </w:t>
      </w:r>
      <w:r w:rsidR="007A183C">
        <w:t>R</w:t>
      </w:r>
      <w:r w:rsidR="006C6F74">
        <w:t>IVER</w:t>
      </w:r>
      <w:r>
        <w:t>, Lower Lakes and Coorong</w:t>
      </w:r>
      <w:bookmarkEnd w:id="368"/>
    </w:p>
    <w:p w14:paraId="707F2579" w14:textId="4304BB04" w:rsidR="008849C5" w:rsidRDefault="008849C5" w:rsidP="00F8184E">
      <w:pPr>
        <w:pStyle w:val="Captions"/>
      </w:pPr>
      <w:r>
        <w:t xml:space="preserve">Table A1. </w:t>
      </w:r>
      <w:r w:rsidR="005732F4" w:rsidRPr="005732F4">
        <w:t xml:space="preserve">Summary of specific watering actions and expected outcomes for the Lower </w:t>
      </w:r>
      <w:r w:rsidR="00D26B87">
        <w:t xml:space="preserve">Murray </w:t>
      </w:r>
      <w:r w:rsidR="005732F4" w:rsidRPr="005732F4">
        <w:t>River, Lower Lakes</w:t>
      </w:r>
      <w:r w:rsidR="00847B1A">
        <w:t xml:space="preserve"> and</w:t>
      </w:r>
      <w:r w:rsidR="005732F4" w:rsidRPr="005732F4">
        <w:t xml:space="preserve"> </w:t>
      </w:r>
      <w:r w:rsidR="005732F4">
        <w:t>Coorong in 2019-20</w:t>
      </w:r>
      <w:r w:rsidR="005732F4" w:rsidRPr="005732F4">
        <w:t xml:space="preserve"> (Source: CEWO). Volumes of Commonwealth environmental water (CEW) are given at the South Australian (SA) border</w:t>
      </w:r>
      <w:r w:rsidRPr="008849C5">
        <w:t>.</w:t>
      </w:r>
    </w:p>
    <w:tbl>
      <w:tblPr>
        <w:tblStyle w:val="TableGrid"/>
        <w:tblW w:w="5000" w:type="pct"/>
        <w:tblLook w:val="04A0" w:firstRow="1" w:lastRow="0" w:firstColumn="1" w:lastColumn="0" w:noHBand="0" w:noVBand="1"/>
      </w:tblPr>
      <w:tblGrid>
        <w:gridCol w:w="2547"/>
        <w:gridCol w:w="4251"/>
        <w:gridCol w:w="7150"/>
      </w:tblGrid>
      <w:tr w:rsidR="00947892" w:rsidRPr="00EE21BD" w14:paraId="2C99E165" w14:textId="77777777" w:rsidTr="008D1099">
        <w:trPr>
          <w:tblHeader/>
        </w:trPr>
        <w:tc>
          <w:tcPr>
            <w:tcW w:w="913" w:type="pct"/>
          </w:tcPr>
          <w:p w14:paraId="42D85AE9" w14:textId="77777777" w:rsidR="00947892" w:rsidRPr="00991D3C" w:rsidRDefault="00947892" w:rsidP="00947892">
            <w:pPr>
              <w:pStyle w:val="Default"/>
              <w:rPr>
                <w:rFonts w:ascii="Century Gothic" w:hAnsi="Century Gothic"/>
                <w:sz w:val="16"/>
                <w:szCs w:val="16"/>
              </w:rPr>
            </w:pPr>
            <w:r>
              <w:rPr>
                <w:rFonts w:ascii="Century Gothic" w:hAnsi="Century Gothic"/>
                <w:b/>
                <w:bCs/>
                <w:sz w:val="16"/>
                <w:szCs w:val="16"/>
              </w:rPr>
              <w:t>Watering action and target</w:t>
            </w:r>
          </w:p>
        </w:tc>
        <w:tc>
          <w:tcPr>
            <w:tcW w:w="1524" w:type="pct"/>
          </w:tcPr>
          <w:p w14:paraId="7FE04FD6" w14:textId="44FC0F14" w:rsidR="00947892" w:rsidRDefault="00947892" w:rsidP="00947892">
            <w:pPr>
              <w:pStyle w:val="Default"/>
              <w:rPr>
                <w:rFonts w:ascii="Century Gothic" w:hAnsi="Century Gothic"/>
                <w:b/>
                <w:bCs/>
                <w:sz w:val="16"/>
                <w:szCs w:val="16"/>
              </w:rPr>
            </w:pPr>
            <w:r w:rsidRPr="00EE21BD">
              <w:rPr>
                <w:rFonts w:ascii="Century Gothic" w:hAnsi="Century Gothic"/>
                <w:b/>
                <w:bCs/>
                <w:sz w:val="16"/>
                <w:szCs w:val="16"/>
              </w:rPr>
              <w:t xml:space="preserve">Expected outcomes </w:t>
            </w:r>
          </w:p>
        </w:tc>
        <w:tc>
          <w:tcPr>
            <w:tcW w:w="2563" w:type="pct"/>
          </w:tcPr>
          <w:p w14:paraId="01247870" w14:textId="5DB16E43" w:rsidR="00947892" w:rsidRPr="00991D3C" w:rsidRDefault="00947892" w:rsidP="00947892">
            <w:pPr>
              <w:pStyle w:val="Default"/>
              <w:rPr>
                <w:rFonts w:ascii="Century Gothic" w:hAnsi="Century Gothic"/>
                <w:b/>
                <w:bCs/>
                <w:sz w:val="16"/>
                <w:szCs w:val="16"/>
              </w:rPr>
            </w:pPr>
            <w:r>
              <w:rPr>
                <w:rFonts w:ascii="Century Gothic" w:hAnsi="Century Gothic"/>
                <w:b/>
                <w:bCs/>
                <w:sz w:val="16"/>
                <w:szCs w:val="16"/>
              </w:rPr>
              <w:t>Delivery details</w:t>
            </w:r>
          </w:p>
        </w:tc>
      </w:tr>
      <w:tr w:rsidR="00947892" w:rsidRPr="005732F4" w14:paraId="6D1F6F57" w14:textId="77777777" w:rsidTr="008D1099">
        <w:tc>
          <w:tcPr>
            <w:tcW w:w="913" w:type="pct"/>
          </w:tcPr>
          <w:p w14:paraId="72643BDA" w14:textId="77777777" w:rsidR="00947892" w:rsidRPr="00250A03" w:rsidRDefault="00947892" w:rsidP="00947892">
            <w:pPr>
              <w:pStyle w:val="Default"/>
              <w:rPr>
                <w:rFonts w:ascii="Century Gothic" w:hAnsi="Century Gothic"/>
                <w:sz w:val="16"/>
                <w:szCs w:val="16"/>
              </w:rPr>
            </w:pPr>
            <w:r w:rsidRPr="00250A03">
              <w:rPr>
                <w:rFonts w:ascii="Century Gothic" w:hAnsi="Century Gothic"/>
                <w:sz w:val="16"/>
                <w:szCs w:val="16"/>
              </w:rPr>
              <w:t>Winter pulse (July to August 2019)</w:t>
            </w:r>
          </w:p>
          <w:p w14:paraId="3702B29A" w14:textId="77777777" w:rsidR="00947892" w:rsidRPr="00250A03" w:rsidRDefault="00947892" w:rsidP="00947892">
            <w:pPr>
              <w:pStyle w:val="Default"/>
              <w:rPr>
                <w:rFonts w:ascii="Century Gothic" w:hAnsi="Century Gothic"/>
                <w:sz w:val="16"/>
                <w:szCs w:val="16"/>
              </w:rPr>
            </w:pPr>
          </w:p>
          <w:p w14:paraId="1CBEEFEC" w14:textId="29EFFEE6" w:rsidR="00947892" w:rsidRPr="00250A03" w:rsidRDefault="00947892" w:rsidP="00947892">
            <w:pPr>
              <w:pStyle w:val="Default"/>
              <w:rPr>
                <w:rFonts w:ascii="Century Gothic" w:hAnsi="Century Gothic"/>
                <w:sz w:val="16"/>
                <w:szCs w:val="16"/>
              </w:rPr>
            </w:pPr>
            <w:r w:rsidRPr="00250A03">
              <w:rPr>
                <w:rFonts w:ascii="Century Gothic" w:hAnsi="Century Gothic"/>
                <w:sz w:val="16"/>
                <w:szCs w:val="16"/>
              </w:rPr>
              <w:t xml:space="preserve">CEW volume: </w:t>
            </w:r>
            <w:r>
              <w:rPr>
                <w:rFonts w:ascii="Century Gothic" w:hAnsi="Century Gothic"/>
                <w:sz w:val="16"/>
                <w:szCs w:val="16"/>
              </w:rPr>
              <w:t>LMR</w:t>
            </w:r>
            <w:r w:rsidRPr="00250A03">
              <w:rPr>
                <w:rFonts w:ascii="Century Gothic" w:hAnsi="Century Gothic"/>
                <w:sz w:val="16"/>
                <w:szCs w:val="16"/>
              </w:rPr>
              <w:t xml:space="preserve"> 178,630 ML</w:t>
            </w:r>
            <w:r>
              <w:rPr>
                <w:rFonts w:ascii="Century Gothic" w:hAnsi="Century Gothic"/>
                <w:sz w:val="16"/>
                <w:szCs w:val="16"/>
              </w:rPr>
              <w:t>,</w:t>
            </w:r>
            <w:r w:rsidRPr="00250A03">
              <w:rPr>
                <w:rFonts w:ascii="Century Gothic" w:hAnsi="Century Gothic"/>
                <w:sz w:val="16"/>
                <w:szCs w:val="16"/>
              </w:rPr>
              <w:t xml:space="preserve"> </w:t>
            </w:r>
            <w:r>
              <w:rPr>
                <w:rFonts w:ascii="Century Gothic" w:hAnsi="Century Gothic"/>
                <w:sz w:val="16"/>
                <w:szCs w:val="16"/>
              </w:rPr>
              <w:t>barrages</w:t>
            </w:r>
            <w:r w:rsidRPr="00250A03">
              <w:rPr>
                <w:rFonts w:ascii="Century Gothic" w:hAnsi="Century Gothic"/>
                <w:sz w:val="16"/>
                <w:szCs w:val="16"/>
              </w:rPr>
              <w:t xml:space="preserve"> 195,555 ML.</w:t>
            </w:r>
          </w:p>
        </w:tc>
        <w:tc>
          <w:tcPr>
            <w:tcW w:w="1524" w:type="pct"/>
          </w:tcPr>
          <w:p w14:paraId="14DB54E0" w14:textId="77EA2D0E" w:rsidR="00947892" w:rsidRPr="0068651B" w:rsidRDefault="00947892" w:rsidP="007B56CE">
            <w:pPr>
              <w:numPr>
                <w:ilvl w:val="0"/>
                <w:numId w:val="9"/>
              </w:numPr>
              <w:snapToGrid w:val="0"/>
              <w:spacing w:after="60"/>
              <w:rPr>
                <w:rFonts w:cs="Arial"/>
                <w:sz w:val="16"/>
                <w:szCs w:val="16"/>
                <w:lang w:eastAsia="en-AU"/>
              </w:rPr>
            </w:pPr>
            <w:r>
              <w:rPr>
                <w:rFonts w:cs="Arial"/>
                <w:sz w:val="16"/>
                <w:szCs w:val="16"/>
                <w:lang w:eastAsia="en-AU"/>
              </w:rPr>
              <w:t xml:space="preserve">Fish habitat and </w:t>
            </w:r>
            <w:proofErr w:type="gramStart"/>
            <w:r>
              <w:rPr>
                <w:rFonts w:cs="Arial"/>
                <w:sz w:val="16"/>
                <w:szCs w:val="16"/>
                <w:lang w:eastAsia="en-AU"/>
              </w:rPr>
              <w:t>condition</w:t>
            </w:r>
            <w:r w:rsidR="0084014F">
              <w:rPr>
                <w:rFonts w:cs="Arial"/>
                <w:sz w:val="16"/>
                <w:szCs w:val="16"/>
                <w:lang w:eastAsia="en-AU"/>
              </w:rPr>
              <w:t>;</w:t>
            </w:r>
            <w:proofErr w:type="gramEnd"/>
            <w:r w:rsidRPr="0068651B">
              <w:rPr>
                <w:rFonts w:cs="Arial"/>
                <w:sz w:val="16"/>
                <w:szCs w:val="16"/>
                <w:lang w:eastAsia="en-AU"/>
              </w:rPr>
              <w:t xml:space="preserve"> </w:t>
            </w:r>
          </w:p>
          <w:p w14:paraId="3D53CA5A" w14:textId="6DCF58F6" w:rsidR="00947892" w:rsidRPr="0068651B" w:rsidRDefault="00947892" w:rsidP="007B56CE">
            <w:pPr>
              <w:numPr>
                <w:ilvl w:val="0"/>
                <w:numId w:val="9"/>
              </w:numPr>
              <w:snapToGrid w:val="0"/>
              <w:spacing w:after="60"/>
              <w:rPr>
                <w:rFonts w:cs="Arial"/>
                <w:sz w:val="16"/>
                <w:szCs w:val="16"/>
                <w:lang w:eastAsia="en-AU"/>
              </w:rPr>
            </w:pPr>
            <w:r w:rsidRPr="0068651B">
              <w:rPr>
                <w:rFonts w:cs="Arial"/>
                <w:bCs/>
                <w:caps/>
                <w:sz w:val="16"/>
                <w:szCs w:val="16"/>
                <w:lang w:eastAsia="en-AU"/>
              </w:rPr>
              <w:t>R</w:t>
            </w:r>
            <w:r>
              <w:rPr>
                <w:rFonts w:cs="Arial"/>
                <w:sz w:val="16"/>
                <w:szCs w:val="16"/>
                <w:lang w:eastAsia="en-AU"/>
              </w:rPr>
              <w:t xml:space="preserve">iverine </w:t>
            </w:r>
            <w:proofErr w:type="gramStart"/>
            <w:r>
              <w:rPr>
                <w:rFonts w:cs="Arial"/>
                <w:sz w:val="16"/>
                <w:szCs w:val="16"/>
                <w:lang w:eastAsia="en-AU"/>
              </w:rPr>
              <w:t>function</w:t>
            </w:r>
            <w:r w:rsidR="0084014F">
              <w:rPr>
                <w:rFonts w:cs="Arial"/>
                <w:sz w:val="16"/>
                <w:szCs w:val="16"/>
                <w:lang w:eastAsia="en-AU"/>
              </w:rPr>
              <w:t>;</w:t>
            </w:r>
            <w:proofErr w:type="gramEnd"/>
          </w:p>
          <w:p w14:paraId="5286A248" w14:textId="4694BE57" w:rsidR="00947892" w:rsidRPr="0068651B" w:rsidRDefault="00947892" w:rsidP="007B56CE">
            <w:pPr>
              <w:numPr>
                <w:ilvl w:val="0"/>
                <w:numId w:val="9"/>
              </w:numPr>
              <w:snapToGrid w:val="0"/>
              <w:spacing w:after="60"/>
              <w:rPr>
                <w:rFonts w:cs="Arial"/>
                <w:sz w:val="16"/>
                <w:szCs w:val="16"/>
                <w:lang w:eastAsia="en-AU"/>
              </w:rPr>
            </w:pPr>
            <w:r w:rsidRPr="0068651B">
              <w:rPr>
                <w:rFonts w:cs="Arial"/>
                <w:bCs/>
                <w:caps/>
                <w:sz w:val="16"/>
                <w:szCs w:val="16"/>
                <w:lang w:eastAsia="en-AU"/>
              </w:rPr>
              <w:t>L</w:t>
            </w:r>
            <w:r>
              <w:rPr>
                <w:rFonts w:cs="Arial"/>
                <w:sz w:val="16"/>
                <w:szCs w:val="16"/>
                <w:lang w:eastAsia="en-AU"/>
              </w:rPr>
              <w:t xml:space="preserve">amprey and congolli </w:t>
            </w:r>
            <w:proofErr w:type="gramStart"/>
            <w:r>
              <w:rPr>
                <w:rFonts w:cs="Arial"/>
                <w:sz w:val="16"/>
                <w:szCs w:val="16"/>
                <w:lang w:eastAsia="en-AU"/>
              </w:rPr>
              <w:t>migration</w:t>
            </w:r>
            <w:r w:rsidR="0084014F">
              <w:rPr>
                <w:rFonts w:cs="Arial"/>
                <w:sz w:val="16"/>
                <w:szCs w:val="16"/>
                <w:lang w:eastAsia="en-AU"/>
              </w:rPr>
              <w:t>;</w:t>
            </w:r>
            <w:proofErr w:type="gramEnd"/>
          </w:p>
          <w:p w14:paraId="120C77DB" w14:textId="1804B78B" w:rsidR="00947892" w:rsidRPr="0068651B" w:rsidRDefault="00947892" w:rsidP="007B56CE">
            <w:pPr>
              <w:numPr>
                <w:ilvl w:val="0"/>
                <w:numId w:val="9"/>
              </w:numPr>
              <w:snapToGrid w:val="0"/>
              <w:spacing w:after="60"/>
              <w:rPr>
                <w:rFonts w:cs="Arial"/>
                <w:sz w:val="16"/>
                <w:szCs w:val="16"/>
                <w:lang w:eastAsia="en-AU"/>
              </w:rPr>
            </w:pPr>
            <w:r w:rsidRPr="0068651B">
              <w:rPr>
                <w:rFonts w:cs="Arial"/>
                <w:sz w:val="16"/>
                <w:szCs w:val="16"/>
                <w:lang w:eastAsia="en-AU"/>
              </w:rPr>
              <w:t>Coorong wa</w:t>
            </w:r>
            <w:r>
              <w:rPr>
                <w:rFonts w:cs="Arial"/>
                <w:sz w:val="16"/>
                <w:szCs w:val="16"/>
                <w:lang w:eastAsia="en-AU"/>
              </w:rPr>
              <w:t>ter quality/habitat suitability</w:t>
            </w:r>
            <w:r w:rsidR="0084014F">
              <w:rPr>
                <w:rFonts w:cs="Arial"/>
                <w:sz w:val="16"/>
                <w:szCs w:val="16"/>
                <w:lang w:eastAsia="en-AU"/>
              </w:rPr>
              <w:t>; and</w:t>
            </w:r>
          </w:p>
          <w:p w14:paraId="035EBBEB" w14:textId="77777777" w:rsidR="00947892" w:rsidRPr="0068651B" w:rsidRDefault="00947892" w:rsidP="007B56CE">
            <w:pPr>
              <w:numPr>
                <w:ilvl w:val="0"/>
                <w:numId w:val="9"/>
              </w:numPr>
              <w:snapToGrid w:val="0"/>
              <w:spacing w:after="60"/>
              <w:rPr>
                <w:rFonts w:cs="Arial"/>
                <w:sz w:val="16"/>
                <w:szCs w:val="16"/>
                <w:lang w:eastAsia="en-AU"/>
              </w:rPr>
            </w:pPr>
            <w:r w:rsidRPr="0068651B">
              <w:rPr>
                <w:rFonts w:cs="Arial"/>
                <w:sz w:val="16"/>
                <w:szCs w:val="16"/>
                <w:lang w:eastAsia="en-AU"/>
              </w:rPr>
              <w:t>Increase lake levels in advance of spring pulse.</w:t>
            </w:r>
          </w:p>
          <w:p w14:paraId="1C81B55B" w14:textId="77777777" w:rsidR="00947892" w:rsidRDefault="00947892" w:rsidP="00947892">
            <w:pPr>
              <w:pStyle w:val="ListBullet"/>
              <w:numPr>
                <w:ilvl w:val="0"/>
                <w:numId w:val="0"/>
              </w:numPr>
              <w:snapToGrid w:val="0"/>
              <w:spacing w:before="0" w:after="60" w:line="240" w:lineRule="auto"/>
              <w:ind w:left="369"/>
              <w:jc w:val="left"/>
              <w:rPr>
                <w:sz w:val="16"/>
                <w:szCs w:val="16"/>
              </w:rPr>
            </w:pPr>
          </w:p>
        </w:tc>
        <w:tc>
          <w:tcPr>
            <w:tcW w:w="2563" w:type="pct"/>
          </w:tcPr>
          <w:p w14:paraId="0D47CE3E" w14:textId="6778CBAA" w:rsidR="00947892" w:rsidRDefault="00947892" w:rsidP="007B56CE">
            <w:pPr>
              <w:pStyle w:val="ListBullet"/>
              <w:numPr>
                <w:ilvl w:val="0"/>
                <w:numId w:val="9"/>
              </w:numPr>
              <w:snapToGrid w:val="0"/>
              <w:spacing w:before="0" w:after="60" w:line="240" w:lineRule="auto"/>
              <w:jc w:val="left"/>
              <w:rPr>
                <w:rFonts w:ascii="Arial" w:hAnsi="Arial"/>
                <w:color w:val="auto"/>
                <w:kern w:val="0"/>
                <w:sz w:val="16"/>
                <w:szCs w:val="16"/>
              </w:rPr>
            </w:pPr>
            <w:r>
              <w:rPr>
                <w:sz w:val="16"/>
                <w:szCs w:val="16"/>
              </w:rPr>
              <w:t>Return flows from the Goulburn winter fresh reached South Australia in late July with a pulse above 10,000 ML/d QSA for about five days.  Flows tapered off through the first tw</w:t>
            </w:r>
            <w:r w:rsidR="008D1099">
              <w:rPr>
                <w:sz w:val="16"/>
                <w:szCs w:val="16"/>
              </w:rPr>
              <w:t>o weeks of August</w:t>
            </w:r>
            <w:r>
              <w:rPr>
                <w:sz w:val="16"/>
                <w:szCs w:val="16"/>
              </w:rPr>
              <w:t>.</w:t>
            </w:r>
          </w:p>
          <w:p w14:paraId="16BFCB03" w14:textId="5B88D34C" w:rsidR="00947892" w:rsidRDefault="00947892" w:rsidP="007B56CE">
            <w:pPr>
              <w:pStyle w:val="ListBullet"/>
              <w:numPr>
                <w:ilvl w:val="0"/>
                <w:numId w:val="9"/>
              </w:numPr>
              <w:snapToGrid w:val="0"/>
              <w:spacing w:before="0" w:after="60" w:line="240" w:lineRule="auto"/>
              <w:jc w:val="left"/>
              <w:rPr>
                <w:sz w:val="16"/>
                <w:szCs w:val="16"/>
              </w:rPr>
            </w:pPr>
            <w:r>
              <w:rPr>
                <w:sz w:val="16"/>
                <w:szCs w:val="16"/>
              </w:rPr>
              <w:t xml:space="preserve">As this water reached the lower lakes in early August, additional bays were opened alongside fishways at </w:t>
            </w:r>
            <w:proofErr w:type="spellStart"/>
            <w:r>
              <w:rPr>
                <w:sz w:val="16"/>
                <w:szCs w:val="16"/>
              </w:rPr>
              <w:t>Tauwitchere</w:t>
            </w:r>
            <w:proofErr w:type="spellEnd"/>
            <w:r>
              <w:rPr>
                <w:sz w:val="16"/>
                <w:szCs w:val="16"/>
              </w:rPr>
              <w:t xml:space="preserve"> and Goolwa to attract and encourage fish species including lamprey and congolli to migrate. Releases we</w:t>
            </w:r>
            <w:r w:rsidR="00F46DD6">
              <w:rPr>
                <w:sz w:val="16"/>
                <w:szCs w:val="16"/>
              </w:rPr>
              <w:t>re generally around 1,400</w:t>
            </w:r>
            <w:r w:rsidR="008D1099">
              <w:rPr>
                <w:sz w:val="16"/>
                <w:szCs w:val="16"/>
              </w:rPr>
              <w:t>–</w:t>
            </w:r>
            <w:r w:rsidR="00F46DD6">
              <w:rPr>
                <w:sz w:val="16"/>
                <w:szCs w:val="16"/>
              </w:rPr>
              <w:t>5,000 </w:t>
            </w:r>
            <w:r>
              <w:rPr>
                <w:sz w:val="16"/>
                <w:szCs w:val="16"/>
              </w:rPr>
              <w:t xml:space="preserve">ML/d (gate openings were generally 4 at </w:t>
            </w:r>
            <w:proofErr w:type="spellStart"/>
            <w:r>
              <w:rPr>
                <w:sz w:val="16"/>
                <w:szCs w:val="16"/>
              </w:rPr>
              <w:t>Tauwitchere</w:t>
            </w:r>
            <w:proofErr w:type="spellEnd"/>
            <w:r>
              <w:rPr>
                <w:sz w:val="16"/>
                <w:szCs w:val="16"/>
              </w:rPr>
              <w:t xml:space="preserve">, 1 full + 2 partial gates at Goolwa) to end August, with periodic barrage closures due to reverse head conditions. </w:t>
            </w:r>
          </w:p>
          <w:p w14:paraId="37D1B383" w14:textId="7CC5A43D" w:rsidR="00947892" w:rsidRDefault="00947892" w:rsidP="007B56CE">
            <w:pPr>
              <w:pStyle w:val="ListBullet"/>
              <w:numPr>
                <w:ilvl w:val="0"/>
                <w:numId w:val="9"/>
              </w:numPr>
              <w:snapToGrid w:val="0"/>
              <w:spacing w:before="0" w:after="60" w:line="240" w:lineRule="auto"/>
              <w:jc w:val="left"/>
              <w:rPr>
                <w:sz w:val="16"/>
                <w:szCs w:val="16"/>
              </w:rPr>
            </w:pPr>
            <w:r>
              <w:rPr>
                <w:sz w:val="16"/>
                <w:szCs w:val="16"/>
              </w:rPr>
              <w:t>A single larger ‘pulse’ totalling 35</w:t>
            </w:r>
            <w:r w:rsidR="008D1099">
              <w:rPr>
                <w:sz w:val="16"/>
                <w:szCs w:val="16"/>
              </w:rPr>
              <w:t xml:space="preserve"> </w:t>
            </w:r>
            <w:r>
              <w:rPr>
                <w:sz w:val="16"/>
                <w:szCs w:val="16"/>
              </w:rPr>
              <w:t xml:space="preserve">GL over the barrages (Goolwa, </w:t>
            </w:r>
            <w:proofErr w:type="spellStart"/>
            <w:r>
              <w:rPr>
                <w:sz w:val="16"/>
                <w:szCs w:val="16"/>
              </w:rPr>
              <w:t>Mundoo</w:t>
            </w:r>
            <w:proofErr w:type="spellEnd"/>
            <w:r>
              <w:rPr>
                <w:sz w:val="16"/>
                <w:szCs w:val="16"/>
              </w:rPr>
              <w:t xml:space="preserve"> and </w:t>
            </w:r>
            <w:proofErr w:type="spellStart"/>
            <w:r>
              <w:rPr>
                <w:sz w:val="16"/>
                <w:szCs w:val="16"/>
              </w:rPr>
              <w:t>Tauwitchere</w:t>
            </w:r>
            <w:proofErr w:type="spellEnd"/>
            <w:r>
              <w:rPr>
                <w:sz w:val="16"/>
                <w:szCs w:val="16"/>
              </w:rPr>
              <w:t xml:space="preserve">) was delivered over three days in early August to stimulate fish responses and improve water quality in the North Lagoon. These releases were undertaken in response to local climatic conditions, taking advantage of anticipated swell and wind impacts to maximise water movement along the North Lagoon. </w:t>
            </w:r>
          </w:p>
          <w:p w14:paraId="6406F07F" w14:textId="4F96A641" w:rsidR="00947892" w:rsidRPr="00250A03" w:rsidRDefault="00947892" w:rsidP="007B56CE">
            <w:pPr>
              <w:pStyle w:val="ListBullet"/>
              <w:numPr>
                <w:ilvl w:val="0"/>
                <w:numId w:val="9"/>
              </w:numPr>
              <w:snapToGrid w:val="0"/>
              <w:spacing w:before="0" w:after="60" w:line="240" w:lineRule="auto"/>
              <w:jc w:val="left"/>
              <w:rPr>
                <w:sz w:val="16"/>
                <w:szCs w:val="16"/>
              </w:rPr>
            </w:pPr>
            <w:r w:rsidRPr="00250A03">
              <w:rPr>
                <w:sz w:val="16"/>
                <w:szCs w:val="16"/>
              </w:rPr>
              <w:t>Lake levels rapidly increased from 0.65</w:t>
            </w:r>
            <w:r w:rsidR="008D1099">
              <w:rPr>
                <w:sz w:val="16"/>
                <w:szCs w:val="16"/>
              </w:rPr>
              <w:t xml:space="preserve"> </w:t>
            </w:r>
            <w:r w:rsidRPr="00250A03">
              <w:rPr>
                <w:sz w:val="16"/>
                <w:szCs w:val="16"/>
              </w:rPr>
              <w:t>m AHD at the start of July to exceed 0.8</w:t>
            </w:r>
            <w:r w:rsidR="008D1099">
              <w:rPr>
                <w:sz w:val="16"/>
                <w:szCs w:val="16"/>
              </w:rPr>
              <w:t xml:space="preserve"> </w:t>
            </w:r>
            <w:r w:rsidRPr="00250A03">
              <w:rPr>
                <w:sz w:val="16"/>
                <w:szCs w:val="16"/>
              </w:rPr>
              <w:t>m in mid-August.</w:t>
            </w:r>
          </w:p>
        </w:tc>
      </w:tr>
      <w:tr w:rsidR="00947892" w:rsidRPr="005732F4" w14:paraId="442A38CD" w14:textId="77777777" w:rsidTr="008D1099">
        <w:tc>
          <w:tcPr>
            <w:tcW w:w="913" w:type="pct"/>
          </w:tcPr>
          <w:p w14:paraId="49744F98" w14:textId="3886B269" w:rsidR="00947892" w:rsidRPr="00250A03" w:rsidRDefault="00947892" w:rsidP="00947892">
            <w:pPr>
              <w:pStyle w:val="Default"/>
              <w:rPr>
                <w:rFonts w:ascii="Century Gothic" w:hAnsi="Century Gothic"/>
                <w:sz w:val="16"/>
                <w:szCs w:val="16"/>
              </w:rPr>
            </w:pPr>
            <w:r>
              <w:rPr>
                <w:rFonts w:ascii="Century Gothic" w:hAnsi="Century Gothic"/>
                <w:sz w:val="16"/>
                <w:szCs w:val="16"/>
              </w:rPr>
              <w:t>Spring</w:t>
            </w:r>
            <w:r w:rsidRPr="00250A03">
              <w:rPr>
                <w:rFonts w:ascii="Century Gothic" w:hAnsi="Century Gothic"/>
                <w:sz w:val="16"/>
                <w:szCs w:val="16"/>
              </w:rPr>
              <w:t xml:space="preserve"> pulse (</w:t>
            </w:r>
            <w:r>
              <w:rPr>
                <w:rFonts w:ascii="Century Gothic" w:hAnsi="Century Gothic"/>
                <w:sz w:val="16"/>
                <w:szCs w:val="16"/>
              </w:rPr>
              <w:t>September to November 2019</w:t>
            </w:r>
            <w:r w:rsidRPr="00250A03">
              <w:rPr>
                <w:rFonts w:ascii="Century Gothic" w:hAnsi="Century Gothic"/>
                <w:sz w:val="16"/>
                <w:szCs w:val="16"/>
              </w:rPr>
              <w:t>)</w:t>
            </w:r>
          </w:p>
          <w:p w14:paraId="0E1E60CD" w14:textId="77777777" w:rsidR="00947892" w:rsidRPr="00250A03" w:rsidRDefault="00947892" w:rsidP="00947892">
            <w:pPr>
              <w:pStyle w:val="Default"/>
              <w:rPr>
                <w:rFonts w:ascii="Century Gothic" w:hAnsi="Century Gothic"/>
                <w:sz w:val="16"/>
                <w:szCs w:val="16"/>
              </w:rPr>
            </w:pPr>
          </w:p>
          <w:p w14:paraId="6576ACF4" w14:textId="7DEF4548" w:rsidR="00947892" w:rsidRPr="00250A03" w:rsidRDefault="00947892" w:rsidP="00947892">
            <w:pPr>
              <w:pStyle w:val="Default"/>
              <w:rPr>
                <w:rFonts w:ascii="Century Gothic" w:hAnsi="Century Gothic"/>
                <w:sz w:val="16"/>
                <w:szCs w:val="16"/>
              </w:rPr>
            </w:pPr>
            <w:r w:rsidRPr="00250A03">
              <w:rPr>
                <w:rFonts w:ascii="Century Gothic" w:hAnsi="Century Gothic"/>
                <w:sz w:val="16"/>
                <w:szCs w:val="16"/>
              </w:rPr>
              <w:t xml:space="preserve">CEW volume: </w:t>
            </w:r>
            <w:r>
              <w:rPr>
                <w:rFonts w:ascii="Century Gothic" w:hAnsi="Century Gothic"/>
                <w:sz w:val="16"/>
                <w:szCs w:val="16"/>
              </w:rPr>
              <w:t>LMR</w:t>
            </w:r>
            <w:r w:rsidRPr="00250A03">
              <w:rPr>
                <w:rFonts w:ascii="Century Gothic" w:hAnsi="Century Gothic"/>
                <w:sz w:val="16"/>
                <w:szCs w:val="16"/>
              </w:rPr>
              <w:t xml:space="preserve"> </w:t>
            </w:r>
            <w:r>
              <w:rPr>
                <w:rFonts w:ascii="Century Gothic" w:hAnsi="Century Gothic"/>
                <w:sz w:val="16"/>
                <w:szCs w:val="16"/>
              </w:rPr>
              <w:t>344,093</w:t>
            </w:r>
            <w:r w:rsidRPr="00250A03">
              <w:rPr>
                <w:rFonts w:ascii="Century Gothic" w:hAnsi="Century Gothic"/>
                <w:sz w:val="16"/>
                <w:szCs w:val="16"/>
              </w:rPr>
              <w:t xml:space="preserve"> ML</w:t>
            </w:r>
            <w:r>
              <w:rPr>
                <w:rFonts w:ascii="Century Gothic" w:hAnsi="Century Gothic"/>
                <w:sz w:val="16"/>
                <w:szCs w:val="16"/>
              </w:rPr>
              <w:t>,</w:t>
            </w:r>
            <w:r w:rsidRPr="00250A03">
              <w:rPr>
                <w:rFonts w:ascii="Century Gothic" w:hAnsi="Century Gothic"/>
                <w:sz w:val="16"/>
                <w:szCs w:val="16"/>
              </w:rPr>
              <w:t xml:space="preserve"> </w:t>
            </w:r>
            <w:r>
              <w:rPr>
                <w:rFonts w:ascii="Century Gothic" w:hAnsi="Century Gothic"/>
                <w:sz w:val="16"/>
                <w:szCs w:val="16"/>
              </w:rPr>
              <w:t>barrages 364,340</w:t>
            </w:r>
            <w:r w:rsidRPr="00250A03">
              <w:rPr>
                <w:rFonts w:ascii="Century Gothic" w:hAnsi="Century Gothic"/>
                <w:sz w:val="16"/>
                <w:szCs w:val="16"/>
              </w:rPr>
              <w:t xml:space="preserve"> ML.</w:t>
            </w:r>
          </w:p>
        </w:tc>
        <w:tc>
          <w:tcPr>
            <w:tcW w:w="1524" w:type="pct"/>
          </w:tcPr>
          <w:p w14:paraId="18CBE659" w14:textId="08021688" w:rsidR="00947892" w:rsidRDefault="00947892" w:rsidP="007B56CE">
            <w:pPr>
              <w:pStyle w:val="ListBullet"/>
              <w:numPr>
                <w:ilvl w:val="0"/>
                <w:numId w:val="9"/>
              </w:numPr>
              <w:snapToGrid w:val="0"/>
              <w:spacing w:before="0" w:after="60" w:line="240" w:lineRule="auto"/>
              <w:jc w:val="left"/>
              <w:rPr>
                <w:sz w:val="16"/>
                <w:szCs w:val="16"/>
              </w:rPr>
            </w:pPr>
            <w:r>
              <w:rPr>
                <w:sz w:val="16"/>
                <w:szCs w:val="16"/>
              </w:rPr>
              <w:t xml:space="preserve">Coorong water </w:t>
            </w:r>
            <w:proofErr w:type="gramStart"/>
            <w:r>
              <w:rPr>
                <w:sz w:val="16"/>
                <w:szCs w:val="16"/>
              </w:rPr>
              <w:t>quality</w:t>
            </w:r>
            <w:r w:rsidR="0084014F">
              <w:rPr>
                <w:sz w:val="16"/>
                <w:szCs w:val="16"/>
              </w:rPr>
              <w:t>;</w:t>
            </w:r>
            <w:proofErr w:type="gramEnd"/>
          </w:p>
          <w:p w14:paraId="1A8FB8BC" w14:textId="53271A60" w:rsidR="00947892" w:rsidRDefault="00947892" w:rsidP="007B56CE">
            <w:pPr>
              <w:pStyle w:val="ListBullet"/>
              <w:numPr>
                <w:ilvl w:val="0"/>
                <w:numId w:val="9"/>
              </w:numPr>
              <w:snapToGrid w:val="0"/>
              <w:spacing w:before="0" w:after="60" w:line="240" w:lineRule="auto"/>
              <w:jc w:val="left"/>
              <w:rPr>
                <w:sz w:val="16"/>
                <w:szCs w:val="16"/>
              </w:rPr>
            </w:pPr>
            <w:r>
              <w:rPr>
                <w:sz w:val="16"/>
                <w:szCs w:val="16"/>
              </w:rPr>
              <w:t xml:space="preserve">Estuarine </w:t>
            </w:r>
            <w:proofErr w:type="gramStart"/>
            <w:r>
              <w:rPr>
                <w:sz w:val="16"/>
                <w:szCs w:val="16"/>
              </w:rPr>
              <w:t>habitat</w:t>
            </w:r>
            <w:r w:rsidR="0084014F">
              <w:rPr>
                <w:sz w:val="16"/>
                <w:szCs w:val="16"/>
              </w:rPr>
              <w:t>;</w:t>
            </w:r>
            <w:proofErr w:type="gramEnd"/>
          </w:p>
          <w:p w14:paraId="6F887C4E" w14:textId="1E2BACD8" w:rsidR="00947892" w:rsidRDefault="00947892" w:rsidP="007B56CE">
            <w:pPr>
              <w:pStyle w:val="ListBullet"/>
              <w:numPr>
                <w:ilvl w:val="0"/>
                <w:numId w:val="9"/>
              </w:numPr>
              <w:snapToGrid w:val="0"/>
              <w:spacing w:before="0" w:after="60" w:line="240" w:lineRule="auto"/>
              <w:jc w:val="left"/>
              <w:rPr>
                <w:sz w:val="16"/>
                <w:szCs w:val="16"/>
              </w:rPr>
            </w:pPr>
            <w:r>
              <w:rPr>
                <w:sz w:val="16"/>
                <w:szCs w:val="16"/>
              </w:rPr>
              <w:t xml:space="preserve">Fish habitat and </w:t>
            </w:r>
            <w:proofErr w:type="gramStart"/>
            <w:r>
              <w:rPr>
                <w:sz w:val="16"/>
                <w:szCs w:val="16"/>
              </w:rPr>
              <w:t>condition</w:t>
            </w:r>
            <w:r w:rsidR="0084014F">
              <w:rPr>
                <w:sz w:val="16"/>
                <w:szCs w:val="16"/>
              </w:rPr>
              <w:t>;</w:t>
            </w:r>
            <w:proofErr w:type="gramEnd"/>
          </w:p>
          <w:p w14:paraId="0706825B" w14:textId="0C929764" w:rsidR="00947892" w:rsidRDefault="00947892" w:rsidP="007B56CE">
            <w:pPr>
              <w:pStyle w:val="ListBullet"/>
              <w:numPr>
                <w:ilvl w:val="0"/>
                <w:numId w:val="9"/>
              </w:numPr>
              <w:snapToGrid w:val="0"/>
              <w:spacing w:before="0" w:after="60" w:line="240" w:lineRule="auto"/>
              <w:jc w:val="left"/>
              <w:rPr>
                <w:sz w:val="16"/>
                <w:szCs w:val="16"/>
              </w:rPr>
            </w:pPr>
            <w:r>
              <w:rPr>
                <w:sz w:val="16"/>
                <w:szCs w:val="16"/>
              </w:rPr>
              <w:t>R</w:t>
            </w:r>
            <w:r w:rsidRPr="00250A03">
              <w:rPr>
                <w:sz w:val="16"/>
                <w:szCs w:val="16"/>
              </w:rPr>
              <w:t>ive</w:t>
            </w:r>
            <w:r>
              <w:rPr>
                <w:sz w:val="16"/>
                <w:szCs w:val="16"/>
              </w:rPr>
              <w:t xml:space="preserve">rine function and </w:t>
            </w:r>
            <w:proofErr w:type="gramStart"/>
            <w:r>
              <w:rPr>
                <w:sz w:val="16"/>
                <w:szCs w:val="16"/>
              </w:rPr>
              <w:t>productivity</w:t>
            </w:r>
            <w:r w:rsidR="0084014F">
              <w:rPr>
                <w:sz w:val="16"/>
                <w:szCs w:val="16"/>
              </w:rPr>
              <w:t>;</w:t>
            </w:r>
            <w:proofErr w:type="gramEnd"/>
          </w:p>
          <w:p w14:paraId="3DEA7A5D" w14:textId="1E5E6E26" w:rsidR="00947892" w:rsidRDefault="00947892" w:rsidP="007B56CE">
            <w:pPr>
              <w:pStyle w:val="ListBullet"/>
              <w:numPr>
                <w:ilvl w:val="0"/>
                <w:numId w:val="9"/>
              </w:numPr>
              <w:snapToGrid w:val="0"/>
              <w:spacing w:before="0" w:after="60" w:line="240" w:lineRule="auto"/>
              <w:jc w:val="left"/>
              <w:rPr>
                <w:sz w:val="16"/>
                <w:szCs w:val="16"/>
              </w:rPr>
            </w:pPr>
            <w:r>
              <w:rPr>
                <w:sz w:val="16"/>
                <w:szCs w:val="16"/>
              </w:rPr>
              <w:t>Lamprey and congolli migration</w:t>
            </w:r>
            <w:r w:rsidR="0084014F">
              <w:rPr>
                <w:sz w:val="16"/>
                <w:szCs w:val="16"/>
              </w:rPr>
              <w:t>; and</w:t>
            </w:r>
          </w:p>
          <w:p w14:paraId="1052A1E1" w14:textId="77865C20" w:rsidR="00947892" w:rsidRDefault="00947892" w:rsidP="007B56CE">
            <w:pPr>
              <w:pStyle w:val="ListBullet"/>
              <w:numPr>
                <w:ilvl w:val="0"/>
                <w:numId w:val="9"/>
              </w:numPr>
              <w:snapToGrid w:val="0"/>
              <w:spacing w:before="0" w:after="60" w:line="240" w:lineRule="auto"/>
              <w:jc w:val="left"/>
              <w:rPr>
                <w:sz w:val="16"/>
                <w:szCs w:val="16"/>
              </w:rPr>
            </w:pPr>
            <w:r>
              <w:rPr>
                <w:sz w:val="16"/>
                <w:szCs w:val="16"/>
              </w:rPr>
              <w:t>L</w:t>
            </w:r>
            <w:r w:rsidRPr="00250A03">
              <w:rPr>
                <w:sz w:val="16"/>
                <w:szCs w:val="16"/>
              </w:rPr>
              <w:t>ower lakes fish recruitment</w:t>
            </w:r>
            <w:r>
              <w:rPr>
                <w:sz w:val="16"/>
                <w:szCs w:val="16"/>
              </w:rPr>
              <w:t>.</w:t>
            </w:r>
          </w:p>
        </w:tc>
        <w:tc>
          <w:tcPr>
            <w:tcW w:w="2563" w:type="pct"/>
          </w:tcPr>
          <w:p w14:paraId="197BEE25" w14:textId="3B46E7B5" w:rsidR="00947892" w:rsidRDefault="00947892" w:rsidP="007B56CE">
            <w:pPr>
              <w:pStyle w:val="ListBullet"/>
              <w:numPr>
                <w:ilvl w:val="0"/>
                <w:numId w:val="9"/>
              </w:numPr>
              <w:snapToGrid w:val="0"/>
              <w:spacing w:before="0" w:after="60" w:line="240" w:lineRule="auto"/>
              <w:jc w:val="left"/>
              <w:rPr>
                <w:rFonts w:ascii="Arial" w:hAnsi="Arial"/>
                <w:color w:val="auto"/>
                <w:kern w:val="0"/>
                <w:sz w:val="16"/>
                <w:szCs w:val="16"/>
              </w:rPr>
            </w:pPr>
            <w:r>
              <w:rPr>
                <w:sz w:val="16"/>
                <w:szCs w:val="16"/>
              </w:rPr>
              <w:t>Return flows from the Murray and Goulburn coordinated spring freshes began reaching the SA border in mid-September. QSA increased from 5,300 ML/d on 18 September up to a short peak of 11 days above 15,000 ML/d during 12</w:t>
            </w:r>
            <w:r w:rsidR="008D1099">
              <w:rPr>
                <w:sz w:val="16"/>
                <w:szCs w:val="16"/>
              </w:rPr>
              <w:t>–</w:t>
            </w:r>
            <w:r>
              <w:rPr>
                <w:sz w:val="16"/>
                <w:szCs w:val="16"/>
              </w:rPr>
              <w:t>23 October.</w:t>
            </w:r>
          </w:p>
          <w:p w14:paraId="426BB824" w14:textId="77777777" w:rsidR="00947892" w:rsidRDefault="00947892" w:rsidP="007B56CE">
            <w:pPr>
              <w:pStyle w:val="ListBullet"/>
              <w:numPr>
                <w:ilvl w:val="0"/>
                <w:numId w:val="9"/>
              </w:numPr>
              <w:snapToGrid w:val="0"/>
              <w:spacing w:before="0" w:after="60" w:line="240" w:lineRule="auto"/>
              <w:jc w:val="left"/>
              <w:rPr>
                <w:sz w:val="16"/>
                <w:szCs w:val="16"/>
              </w:rPr>
            </w:pPr>
            <w:r>
              <w:rPr>
                <w:sz w:val="16"/>
                <w:szCs w:val="16"/>
              </w:rPr>
              <w:t xml:space="preserve">Additional barrages were opened from late September in response to increasing flows from the river and rising lake levels as the spring pulse arrived. During mid-late October up to 37 gates were open, primarily at </w:t>
            </w:r>
            <w:proofErr w:type="spellStart"/>
            <w:r>
              <w:rPr>
                <w:sz w:val="16"/>
                <w:szCs w:val="16"/>
              </w:rPr>
              <w:t>Tauwitchere</w:t>
            </w:r>
            <w:proofErr w:type="spellEnd"/>
            <w:r>
              <w:rPr>
                <w:sz w:val="16"/>
                <w:szCs w:val="16"/>
              </w:rPr>
              <w:t xml:space="preserve"> and Ewe Island. </w:t>
            </w:r>
          </w:p>
          <w:p w14:paraId="34D82D52" w14:textId="1B03C0E4" w:rsidR="00947892" w:rsidRDefault="00947892" w:rsidP="007B56CE">
            <w:pPr>
              <w:pStyle w:val="ListBullet"/>
              <w:numPr>
                <w:ilvl w:val="0"/>
                <w:numId w:val="9"/>
              </w:numPr>
              <w:snapToGrid w:val="0"/>
              <w:spacing w:before="0" w:after="60" w:line="240" w:lineRule="auto"/>
              <w:jc w:val="left"/>
              <w:rPr>
                <w:sz w:val="16"/>
                <w:szCs w:val="16"/>
              </w:rPr>
            </w:pPr>
            <w:r>
              <w:rPr>
                <w:sz w:val="16"/>
                <w:szCs w:val="16"/>
              </w:rPr>
              <w:t>The Lower Lakes levels increased from 0.75</w:t>
            </w:r>
            <w:r w:rsidR="008D1099">
              <w:rPr>
                <w:sz w:val="16"/>
                <w:szCs w:val="16"/>
              </w:rPr>
              <w:t xml:space="preserve"> </w:t>
            </w:r>
            <w:r>
              <w:rPr>
                <w:sz w:val="16"/>
                <w:szCs w:val="16"/>
              </w:rPr>
              <w:t>m on 24 September to ~0.85</w:t>
            </w:r>
            <w:r w:rsidR="008D1099">
              <w:rPr>
                <w:sz w:val="16"/>
                <w:szCs w:val="16"/>
              </w:rPr>
              <w:t xml:space="preserve"> </w:t>
            </w:r>
            <w:r>
              <w:rPr>
                <w:sz w:val="16"/>
                <w:szCs w:val="16"/>
              </w:rPr>
              <w:t>m by the 25 October.</w:t>
            </w:r>
          </w:p>
          <w:p w14:paraId="14D5F552" w14:textId="1B5F5F4F" w:rsidR="00947892" w:rsidRPr="00250A03" w:rsidRDefault="00947892" w:rsidP="007B56CE">
            <w:pPr>
              <w:pStyle w:val="ListBullet"/>
              <w:numPr>
                <w:ilvl w:val="0"/>
                <w:numId w:val="9"/>
              </w:numPr>
              <w:snapToGrid w:val="0"/>
              <w:spacing w:before="0" w:after="60" w:line="240" w:lineRule="auto"/>
              <w:jc w:val="left"/>
              <w:rPr>
                <w:sz w:val="16"/>
                <w:szCs w:val="16"/>
              </w:rPr>
            </w:pPr>
            <w:r w:rsidRPr="00250A03">
              <w:rPr>
                <w:sz w:val="16"/>
                <w:szCs w:val="16"/>
              </w:rPr>
              <w:t xml:space="preserve">Once the peak had passed, barrage releases were reduced to retain spring pulse water in the lakes, </w:t>
            </w:r>
            <w:proofErr w:type="gramStart"/>
            <w:r w:rsidRPr="00250A03">
              <w:rPr>
                <w:sz w:val="16"/>
                <w:szCs w:val="16"/>
              </w:rPr>
              <w:t>in order to</w:t>
            </w:r>
            <w:proofErr w:type="gramEnd"/>
            <w:r w:rsidRPr="00250A03">
              <w:rPr>
                <w:sz w:val="16"/>
                <w:szCs w:val="16"/>
              </w:rPr>
              <w:t xml:space="preserve"> maintain steady low flows to the Coorong for as long as possible into summer.</w:t>
            </w:r>
          </w:p>
        </w:tc>
      </w:tr>
      <w:tr w:rsidR="00947892" w:rsidRPr="005732F4" w14:paraId="36AB3656" w14:textId="77777777" w:rsidTr="008D1099">
        <w:tc>
          <w:tcPr>
            <w:tcW w:w="913" w:type="pct"/>
          </w:tcPr>
          <w:p w14:paraId="42F20088" w14:textId="77777777" w:rsidR="00947892" w:rsidRDefault="00947892" w:rsidP="00947892">
            <w:pPr>
              <w:pStyle w:val="Default"/>
              <w:rPr>
                <w:rFonts w:ascii="Century Gothic" w:hAnsi="Century Gothic"/>
                <w:sz w:val="16"/>
                <w:szCs w:val="16"/>
              </w:rPr>
            </w:pPr>
            <w:r>
              <w:rPr>
                <w:rFonts w:ascii="Century Gothic" w:hAnsi="Century Gothic"/>
                <w:sz w:val="16"/>
                <w:szCs w:val="16"/>
              </w:rPr>
              <w:t>Summer b</w:t>
            </w:r>
            <w:r w:rsidRPr="00250A03">
              <w:rPr>
                <w:rFonts w:ascii="Century Gothic" w:hAnsi="Century Gothic"/>
                <w:sz w:val="16"/>
                <w:szCs w:val="16"/>
              </w:rPr>
              <w:t>ase flows in river, fishway flow and connection through barrages</w:t>
            </w:r>
            <w:r>
              <w:rPr>
                <w:rFonts w:ascii="Century Gothic" w:hAnsi="Century Gothic"/>
                <w:sz w:val="16"/>
                <w:szCs w:val="16"/>
              </w:rPr>
              <w:t xml:space="preserve"> (December 2019 to February 2020)</w:t>
            </w:r>
          </w:p>
          <w:p w14:paraId="691D5144" w14:textId="77777777" w:rsidR="00947892" w:rsidRDefault="00947892" w:rsidP="00947892">
            <w:pPr>
              <w:pStyle w:val="Default"/>
              <w:rPr>
                <w:rFonts w:ascii="Century Gothic" w:hAnsi="Century Gothic"/>
                <w:sz w:val="16"/>
                <w:szCs w:val="16"/>
              </w:rPr>
            </w:pPr>
          </w:p>
          <w:p w14:paraId="5A134C53" w14:textId="35319BB5" w:rsidR="00947892" w:rsidRPr="00250A03" w:rsidRDefault="00947892" w:rsidP="00947892">
            <w:pPr>
              <w:pStyle w:val="Default"/>
              <w:rPr>
                <w:rFonts w:ascii="Century Gothic" w:hAnsi="Century Gothic"/>
                <w:sz w:val="16"/>
                <w:szCs w:val="16"/>
              </w:rPr>
            </w:pPr>
            <w:r w:rsidRPr="00250A03">
              <w:rPr>
                <w:rFonts w:ascii="Century Gothic" w:hAnsi="Century Gothic"/>
                <w:sz w:val="16"/>
                <w:szCs w:val="16"/>
              </w:rPr>
              <w:t xml:space="preserve">CEW volume: </w:t>
            </w:r>
            <w:r>
              <w:rPr>
                <w:rFonts w:ascii="Century Gothic" w:hAnsi="Century Gothic"/>
                <w:sz w:val="16"/>
                <w:szCs w:val="16"/>
              </w:rPr>
              <w:t>LMR</w:t>
            </w:r>
            <w:r w:rsidRPr="00250A03">
              <w:rPr>
                <w:rFonts w:ascii="Century Gothic" w:hAnsi="Century Gothic"/>
                <w:sz w:val="16"/>
                <w:szCs w:val="16"/>
              </w:rPr>
              <w:t xml:space="preserve"> </w:t>
            </w:r>
            <w:r>
              <w:rPr>
                <w:rFonts w:ascii="Century Gothic" w:hAnsi="Century Gothic"/>
                <w:sz w:val="16"/>
                <w:szCs w:val="16"/>
              </w:rPr>
              <w:t>125,553</w:t>
            </w:r>
            <w:r w:rsidRPr="00250A03">
              <w:rPr>
                <w:rFonts w:ascii="Century Gothic" w:hAnsi="Century Gothic"/>
                <w:sz w:val="16"/>
                <w:szCs w:val="16"/>
              </w:rPr>
              <w:t xml:space="preserve"> ML</w:t>
            </w:r>
            <w:r>
              <w:rPr>
                <w:rFonts w:ascii="Century Gothic" w:hAnsi="Century Gothic"/>
                <w:sz w:val="16"/>
                <w:szCs w:val="16"/>
              </w:rPr>
              <w:t>,</w:t>
            </w:r>
            <w:r w:rsidRPr="00250A03">
              <w:rPr>
                <w:rFonts w:ascii="Century Gothic" w:hAnsi="Century Gothic"/>
                <w:sz w:val="16"/>
                <w:szCs w:val="16"/>
              </w:rPr>
              <w:t xml:space="preserve"> </w:t>
            </w:r>
            <w:r>
              <w:rPr>
                <w:rFonts w:ascii="Century Gothic" w:hAnsi="Century Gothic"/>
                <w:sz w:val="16"/>
                <w:szCs w:val="16"/>
              </w:rPr>
              <w:t>barrages 14,566</w:t>
            </w:r>
            <w:r w:rsidRPr="00250A03">
              <w:rPr>
                <w:rFonts w:ascii="Century Gothic" w:hAnsi="Century Gothic"/>
                <w:sz w:val="16"/>
                <w:szCs w:val="16"/>
              </w:rPr>
              <w:t xml:space="preserve"> ML.</w:t>
            </w:r>
          </w:p>
        </w:tc>
        <w:tc>
          <w:tcPr>
            <w:tcW w:w="1524" w:type="pct"/>
          </w:tcPr>
          <w:p w14:paraId="1EDE9D06" w14:textId="7D81B4DD" w:rsidR="00676C7B" w:rsidRDefault="00947892" w:rsidP="007B56CE">
            <w:pPr>
              <w:pStyle w:val="ListBullet"/>
              <w:numPr>
                <w:ilvl w:val="0"/>
                <w:numId w:val="9"/>
              </w:numPr>
              <w:snapToGrid w:val="0"/>
              <w:spacing w:before="0" w:after="60" w:line="240" w:lineRule="auto"/>
              <w:jc w:val="left"/>
              <w:rPr>
                <w:sz w:val="16"/>
                <w:szCs w:val="16"/>
              </w:rPr>
            </w:pPr>
            <w:r w:rsidRPr="00250A03">
              <w:rPr>
                <w:sz w:val="16"/>
                <w:szCs w:val="16"/>
              </w:rPr>
              <w:t>Protect assets and avo</w:t>
            </w:r>
            <w:r w:rsidR="00676C7B">
              <w:rPr>
                <w:sz w:val="16"/>
                <w:szCs w:val="16"/>
              </w:rPr>
              <w:t>id damage in the river channel</w:t>
            </w:r>
            <w:r w:rsidR="0084014F">
              <w:rPr>
                <w:sz w:val="16"/>
                <w:szCs w:val="16"/>
              </w:rPr>
              <w:t>; and</w:t>
            </w:r>
          </w:p>
          <w:p w14:paraId="4F7D388F" w14:textId="4D57081A" w:rsidR="00947892" w:rsidRDefault="00947892" w:rsidP="007B56CE">
            <w:pPr>
              <w:pStyle w:val="ListBullet"/>
              <w:numPr>
                <w:ilvl w:val="0"/>
                <w:numId w:val="9"/>
              </w:numPr>
              <w:snapToGrid w:val="0"/>
              <w:spacing w:before="0" w:after="60" w:line="240" w:lineRule="auto"/>
              <w:jc w:val="left"/>
              <w:rPr>
                <w:sz w:val="16"/>
                <w:szCs w:val="16"/>
              </w:rPr>
            </w:pPr>
            <w:r w:rsidRPr="00250A03">
              <w:rPr>
                <w:sz w:val="16"/>
                <w:szCs w:val="16"/>
              </w:rPr>
              <w:t>Lower Lakes and Coorong.</w:t>
            </w:r>
          </w:p>
        </w:tc>
        <w:tc>
          <w:tcPr>
            <w:tcW w:w="2563" w:type="pct"/>
          </w:tcPr>
          <w:p w14:paraId="44F80E70" w14:textId="01EC2981" w:rsidR="00947892" w:rsidRPr="00250A03" w:rsidRDefault="00947892" w:rsidP="007B56CE">
            <w:pPr>
              <w:pStyle w:val="ListBullet"/>
              <w:numPr>
                <w:ilvl w:val="0"/>
                <w:numId w:val="9"/>
              </w:numPr>
              <w:snapToGrid w:val="0"/>
              <w:spacing w:before="0" w:after="60" w:line="240" w:lineRule="auto"/>
              <w:jc w:val="left"/>
              <w:rPr>
                <w:rFonts w:ascii="Arial" w:hAnsi="Arial"/>
                <w:color w:val="auto"/>
                <w:kern w:val="0"/>
                <w:sz w:val="16"/>
                <w:szCs w:val="16"/>
              </w:rPr>
            </w:pPr>
            <w:r>
              <w:rPr>
                <w:sz w:val="16"/>
                <w:szCs w:val="16"/>
              </w:rPr>
              <w:t>The delivery of 100</w:t>
            </w:r>
            <w:r w:rsidR="008D1099">
              <w:rPr>
                <w:sz w:val="16"/>
                <w:szCs w:val="16"/>
              </w:rPr>
              <w:t xml:space="preserve"> </w:t>
            </w:r>
            <w:r>
              <w:rPr>
                <w:sz w:val="16"/>
                <w:szCs w:val="16"/>
              </w:rPr>
              <w:t xml:space="preserve">GL direct trade commenced in December. This water allowed fishways to remain open however was not sufficient to provide for any additional open gates due to extremely hot and dry conditions causing the lake levels to drop rapidly. </w:t>
            </w:r>
          </w:p>
          <w:p w14:paraId="31640370" w14:textId="4254ACFD" w:rsidR="00947892" w:rsidRPr="00250A03" w:rsidRDefault="00947892" w:rsidP="007B56CE">
            <w:pPr>
              <w:pStyle w:val="ListBullet"/>
              <w:numPr>
                <w:ilvl w:val="0"/>
                <w:numId w:val="9"/>
              </w:numPr>
              <w:snapToGrid w:val="0"/>
              <w:spacing w:before="0" w:after="60" w:line="240" w:lineRule="auto"/>
              <w:jc w:val="left"/>
              <w:rPr>
                <w:rFonts w:ascii="Arial" w:hAnsi="Arial"/>
                <w:color w:val="auto"/>
                <w:kern w:val="0"/>
                <w:sz w:val="16"/>
                <w:szCs w:val="16"/>
              </w:rPr>
            </w:pPr>
            <w:r w:rsidRPr="00250A03">
              <w:rPr>
                <w:sz w:val="16"/>
                <w:szCs w:val="16"/>
              </w:rPr>
              <w:t>Fishway-only releases were maintained despite the rapidly falling lake levels.</w:t>
            </w:r>
          </w:p>
        </w:tc>
      </w:tr>
      <w:tr w:rsidR="00947892" w:rsidRPr="005732F4" w14:paraId="01A9C537" w14:textId="77777777" w:rsidTr="008D1099">
        <w:tc>
          <w:tcPr>
            <w:tcW w:w="913" w:type="pct"/>
          </w:tcPr>
          <w:p w14:paraId="79FA639E" w14:textId="77777777" w:rsidR="00947892" w:rsidRDefault="00947892" w:rsidP="00947892">
            <w:pPr>
              <w:pStyle w:val="Default"/>
              <w:rPr>
                <w:rFonts w:ascii="Century Gothic" w:hAnsi="Century Gothic"/>
                <w:sz w:val="16"/>
                <w:szCs w:val="16"/>
              </w:rPr>
            </w:pPr>
            <w:r w:rsidRPr="00276358">
              <w:rPr>
                <w:rFonts w:ascii="Century Gothic" w:hAnsi="Century Gothic"/>
                <w:sz w:val="16"/>
                <w:szCs w:val="16"/>
              </w:rPr>
              <w:t>Base flows and opportunistic pulses through the barrages</w:t>
            </w:r>
            <w:r>
              <w:rPr>
                <w:rFonts w:ascii="Century Gothic" w:hAnsi="Century Gothic"/>
                <w:sz w:val="16"/>
                <w:szCs w:val="16"/>
              </w:rPr>
              <w:t xml:space="preserve"> (March to June 2020)</w:t>
            </w:r>
          </w:p>
          <w:p w14:paraId="16E8F74A" w14:textId="77777777" w:rsidR="00947892" w:rsidRDefault="00947892" w:rsidP="00947892">
            <w:pPr>
              <w:pStyle w:val="Default"/>
              <w:rPr>
                <w:rFonts w:ascii="Century Gothic" w:hAnsi="Century Gothic"/>
                <w:sz w:val="16"/>
                <w:szCs w:val="16"/>
              </w:rPr>
            </w:pPr>
          </w:p>
          <w:p w14:paraId="165FF394" w14:textId="106715C3" w:rsidR="00947892" w:rsidRPr="00250A03" w:rsidRDefault="00947892" w:rsidP="00947892">
            <w:pPr>
              <w:pStyle w:val="Default"/>
              <w:rPr>
                <w:rFonts w:ascii="Century Gothic" w:hAnsi="Century Gothic"/>
                <w:sz w:val="16"/>
                <w:szCs w:val="16"/>
              </w:rPr>
            </w:pPr>
            <w:r w:rsidRPr="00250A03">
              <w:rPr>
                <w:rFonts w:ascii="Century Gothic" w:hAnsi="Century Gothic"/>
                <w:sz w:val="16"/>
                <w:szCs w:val="16"/>
              </w:rPr>
              <w:t xml:space="preserve">CEW volume: </w:t>
            </w:r>
            <w:r>
              <w:rPr>
                <w:rFonts w:ascii="Century Gothic" w:hAnsi="Century Gothic"/>
                <w:sz w:val="16"/>
                <w:szCs w:val="16"/>
              </w:rPr>
              <w:t>LMR</w:t>
            </w:r>
            <w:r w:rsidRPr="00250A03">
              <w:rPr>
                <w:rFonts w:ascii="Century Gothic" w:hAnsi="Century Gothic"/>
                <w:sz w:val="16"/>
                <w:szCs w:val="16"/>
              </w:rPr>
              <w:t xml:space="preserve"> </w:t>
            </w:r>
            <w:r>
              <w:rPr>
                <w:rFonts w:ascii="Century Gothic" w:hAnsi="Century Gothic"/>
                <w:sz w:val="16"/>
                <w:szCs w:val="16"/>
              </w:rPr>
              <w:t>101,804</w:t>
            </w:r>
            <w:r w:rsidRPr="00250A03">
              <w:rPr>
                <w:rFonts w:ascii="Century Gothic" w:hAnsi="Century Gothic"/>
                <w:sz w:val="16"/>
                <w:szCs w:val="16"/>
              </w:rPr>
              <w:t xml:space="preserve"> ML</w:t>
            </w:r>
            <w:r>
              <w:rPr>
                <w:rFonts w:ascii="Century Gothic" w:hAnsi="Century Gothic"/>
                <w:sz w:val="16"/>
                <w:szCs w:val="16"/>
              </w:rPr>
              <w:t>,</w:t>
            </w:r>
            <w:r w:rsidRPr="00250A03">
              <w:rPr>
                <w:rFonts w:ascii="Century Gothic" w:hAnsi="Century Gothic"/>
                <w:sz w:val="16"/>
                <w:szCs w:val="16"/>
              </w:rPr>
              <w:t xml:space="preserve"> </w:t>
            </w:r>
            <w:r>
              <w:rPr>
                <w:rFonts w:ascii="Century Gothic" w:hAnsi="Century Gothic"/>
                <w:sz w:val="16"/>
                <w:szCs w:val="16"/>
              </w:rPr>
              <w:t>barrages 110,708</w:t>
            </w:r>
            <w:r w:rsidRPr="00250A03">
              <w:rPr>
                <w:rFonts w:ascii="Century Gothic" w:hAnsi="Century Gothic"/>
                <w:sz w:val="16"/>
                <w:szCs w:val="16"/>
              </w:rPr>
              <w:t xml:space="preserve"> ML.</w:t>
            </w:r>
          </w:p>
        </w:tc>
        <w:tc>
          <w:tcPr>
            <w:tcW w:w="1524" w:type="pct"/>
          </w:tcPr>
          <w:p w14:paraId="285FD242" w14:textId="740478F8" w:rsidR="00676C7B" w:rsidRPr="00676C7B" w:rsidRDefault="00676C7B" w:rsidP="007B56CE">
            <w:pPr>
              <w:numPr>
                <w:ilvl w:val="0"/>
                <w:numId w:val="9"/>
              </w:numPr>
              <w:snapToGrid w:val="0"/>
              <w:spacing w:after="60"/>
              <w:rPr>
                <w:rFonts w:cs="Arial"/>
                <w:b/>
                <w:bCs/>
                <w:caps/>
                <w:sz w:val="16"/>
                <w:szCs w:val="16"/>
                <w:lang w:eastAsia="en-AU"/>
              </w:rPr>
            </w:pPr>
            <w:r>
              <w:rPr>
                <w:sz w:val="16"/>
                <w:szCs w:val="16"/>
              </w:rPr>
              <w:t xml:space="preserve">Coorong water </w:t>
            </w:r>
            <w:proofErr w:type="gramStart"/>
            <w:r>
              <w:rPr>
                <w:sz w:val="16"/>
                <w:szCs w:val="16"/>
              </w:rPr>
              <w:t>quality</w:t>
            </w:r>
            <w:r w:rsidR="0084014F">
              <w:rPr>
                <w:sz w:val="16"/>
                <w:szCs w:val="16"/>
              </w:rPr>
              <w:t>;</w:t>
            </w:r>
            <w:proofErr w:type="gramEnd"/>
          </w:p>
          <w:p w14:paraId="06DC8570" w14:textId="6AA1B781" w:rsidR="00676C7B" w:rsidRPr="00676C7B" w:rsidRDefault="00676C7B" w:rsidP="007B56CE">
            <w:pPr>
              <w:numPr>
                <w:ilvl w:val="0"/>
                <w:numId w:val="9"/>
              </w:numPr>
              <w:snapToGrid w:val="0"/>
              <w:spacing w:after="60"/>
              <w:rPr>
                <w:rFonts w:cs="Arial"/>
                <w:b/>
                <w:bCs/>
                <w:caps/>
                <w:sz w:val="16"/>
                <w:szCs w:val="16"/>
                <w:lang w:eastAsia="en-AU"/>
              </w:rPr>
            </w:pPr>
            <w:r>
              <w:rPr>
                <w:sz w:val="16"/>
                <w:szCs w:val="16"/>
              </w:rPr>
              <w:t xml:space="preserve">Estuarine </w:t>
            </w:r>
            <w:proofErr w:type="gramStart"/>
            <w:r>
              <w:rPr>
                <w:sz w:val="16"/>
                <w:szCs w:val="16"/>
              </w:rPr>
              <w:t>habitat</w:t>
            </w:r>
            <w:r w:rsidR="0084014F">
              <w:rPr>
                <w:sz w:val="16"/>
                <w:szCs w:val="16"/>
              </w:rPr>
              <w:t>;</w:t>
            </w:r>
            <w:proofErr w:type="gramEnd"/>
          </w:p>
          <w:p w14:paraId="07846217" w14:textId="088FDA36" w:rsidR="00676C7B" w:rsidRPr="00676C7B" w:rsidRDefault="00676C7B" w:rsidP="007B56CE">
            <w:pPr>
              <w:numPr>
                <w:ilvl w:val="0"/>
                <w:numId w:val="9"/>
              </w:numPr>
              <w:snapToGrid w:val="0"/>
              <w:spacing w:after="60"/>
              <w:rPr>
                <w:rFonts w:cs="Arial"/>
                <w:b/>
                <w:bCs/>
                <w:caps/>
                <w:sz w:val="16"/>
                <w:szCs w:val="16"/>
                <w:lang w:eastAsia="en-AU"/>
              </w:rPr>
            </w:pPr>
            <w:r>
              <w:rPr>
                <w:sz w:val="16"/>
                <w:szCs w:val="16"/>
              </w:rPr>
              <w:t>Fish habitat and condition</w:t>
            </w:r>
            <w:r w:rsidR="0084014F">
              <w:rPr>
                <w:sz w:val="16"/>
                <w:szCs w:val="16"/>
              </w:rPr>
              <w:t>; and</w:t>
            </w:r>
          </w:p>
          <w:p w14:paraId="2F538B42" w14:textId="1371FE4D" w:rsidR="00947892" w:rsidRDefault="00676C7B" w:rsidP="007B56CE">
            <w:pPr>
              <w:numPr>
                <w:ilvl w:val="0"/>
                <w:numId w:val="9"/>
              </w:numPr>
              <w:snapToGrid w:val="0"/>
              <w:spacing w:after="60"/>
              <w:rPr>
                <w:rFonts w:cs="Arial"/>
                <w:b/>
                <w:bCs/>
                <w:caps/>
                <w:sz w:val="16"/>
                <w:szCs w:val="16"/>
                <w:lang w:eastAsia="en-AU"/>
              </w:rPr>
            </w:pPr>
            <w:r>
              <w:rPr>
                <w:sz w:val="16"/>
                <w:szCs w:val="16"/>
              </w:rPr>
              <w:t>R</w:t>
            </w:r>
            <w:r w:rsidR="00947892" w:rsidRPr="00276358">
              <w:rPr>
                <w:sz w:val="16"/>
                <w:szCs w:val="16"/>
              </w:rPr>
              <w:t>iverine function and productivity</w:t>
            </w:r>
            <w:r w:rsidR="00947892">
              <w:rPr>
                <w:sz w:val="16"/>
                <w:szCs w:val="16"/>
              </w:rPr>
              <w:t>.</w:t>
            </w:r>
          </w:p>
        </w:tc>
        <w:tc>
          <w:tcPr>
            <w:tcW w:w="2563" w:type="pct"/>
          </w:tcPr>
          <w:p w14:paraId="7A102E02" w14:textId="0E01AFE6" w:rsidR="00947892" w:rsidRPr="00250A03" w:rsidRDefault="00947892" w:rsidP="007B56CE">
            <w:pPr>
              <w:numPr>
                <w:ilvl w:val="0"/>
                <w:numId w:val="9"/>
              </w:numPr>
              <w:snapToGrid w:val="0"/>
              <w:spacing w:after="60"/>
              <w:rPr>
                <w:sz w:val="16"/>
                <w:szCs w:val="16"/>
              </w:rPr>
            </w:pPr>
            <w:r>
              <w:rPr>
                <w:rFonts w:cs="Arial"/>
                <w:sz w:val="16"/>
                <w:szCs w:val="16"/>
                <w:lang w:eastAsia="en-AU"/>
              </w:rPr>
              <w:t>O</w:t>
            </w:r>
            <w:r w:rsidRPr="00276358">
              <w:rPr>
                <w:rFonts w:cs="Arial"/>
                <w:sz w:val="16"/>
                <w:szCs w:val="16"/>
                <w:lang w:eastAsia="en-AU"/>
              </w:rPr>
              <w:t>pportunistic releases to the Coorong (in addition to base releases) were made in April</w:t>
            </w:r>
            <w:r w:rsidR="008D1099">
              <w:rPr>
                <w:rFonts w:cs="Arial"/>
                <w:sz w:val="16"/>
                <w:szCs w:val="16"/>
                <w:lang w:eastAsia="en-AU"/>
              </w:rPr>
              <w:t>–</w:t>
            </w:r>
            <w:r w:rsidRPr="00276358">
              <w:rPr>
                <w:rFonts w:cs="Arial"/>
                <w:sz w:val="16"/>
                <w:szCs w:val="16"/>
                <w:lang w:eastAsia="en-AU"/>
              </w:rPr>
              <w:t>J</w:t>
            </w:r>
            <w:r w:rsidR="008D1099">
              <w:rPr>
                <w:rFonts w:cs="Arial"/>
                <w:sz w:val="16"/>
                <w:szCs w:val="16"/>
                <w:lang w:eastAsia="en-AU"/>
              </w:rPr>
              <w:t>u</w:t>
            </w:r>
            <w:r w:rsidRPr="00276358">
              <w:rPr>
                <w:rFonts w:cs="Arial"/>
                <w:sz w:val="16"/>
                <w:szCs w:val="16"/>
                <w:lang w:eastAsia="en-AU"/>
              </w:rPr>
              <w:t xml:space="preserve">ne in response to water levels and weather conditions. Automated gates at </w:t>
            </w:r>
            <w:proofErr w:type="spellStart"/>
            <w:r w:rsidRPr="00276358">
              <w:rPr>
                <w:rFonts w:cs="Arial"/>
                <w:sz w:val="16"/>
                <w:szCs w:val="16"/>
                <w:lang w:eastAsia="en-AU"/>
              </w:rPr>
              <w:t>Tauwitchere</w:t>
            </w:r>
            <w:proofErr w:type="spellEnd"/>
            <w:r w:rsidRPr="00276358">
              <w:rPr>
                <w:rFonts w:cs="Arial"/>
                <w:sz w:val="16"/>
                <w:szCs w:val="16"/>
                <w:lang w:eastAsia="en-AU"/>
              </w:rPr>
              <w:t>, Goolwa and Ewe Island were used to deliver pulses of additional water during ‘windows’ when conditions were most conducive to releases that would benefit the Coorong (ranging from a few hours to several days).</w:t>
            </w:r>
          </w:p>
        </w:tc>
      </w:tr>
      <w:tr w:rsidR="00947892" w:rsidRPr="005732F4" w14:paraId="6CBD9BB3" w14:textId="77777777" w:rsidTr="008D1099">
        <w:tc>
          <w:tcPr>
            <w:tcW w:w="913" w:type="pct"/>
          </w:tcPr>
          <w:p w14:paraId="2DA7BEF1" w14:textId="0AE74DC0" w:rsidR="00947892" w:rsidRDefault="00947892" w:rsidP="00947892">
            <w:pPr>
              <w:pStyle w:val="Default"/>
              <w:rPr>
                <w:rFonts w:ascii="Century Gothic" w:hAnsi="Century Gothic"/>
                <w:sz w:val="16"/>
                <w:szCs w:val="16"/>
              </w:rPr>
            </w:pPr>
            <w:r>
              <w:rPr>
                <w:rFonts w:ascii="Century Gothic" w:hAnsi="Century Gothic"/>
                <w:sz w:val="16"/>
                <w:szCs w:val="16"/>
              </w:rPr>
              <w:t>Lower Murray weir pool m</w:t>
            </w:r>
            <w:r w:rsidRPr="00C0656A">
              <w:rPr>
                <w:rFonts w:ascii="Century Gothic" w:hAnsi="Century Gothic"/>
                <w:sz w:val="16"/>
                <w:szCs w:val="16"/>
              </w:rPr>
              <w:t>anipulations</w:t>
            </w:r>
          </w:p>
          <w:p w14:paraId="11E7CF06" w14:textId="77777777" w:rsidR="00947892" w:rsidRDefault="00947892" w:rsidP="00947892">
            <w:pPr>
              <w:pStyle w:val="Default"/>
              <w:rPr>
                <w:rFonts w:ascii="Century Gothic" w:hAnsi="Century Gothic"/>
                <w:sz w:val="16"/>
                <w:szCs w:val="16"/>
              </w:rPr>
            </w:pPr>
            <w:r>
              <w:rPr>
                <w:rFonts w:ascii="Century Gothic" w:hAnsi="Century Gothic"/>
                <w:sz w:val="16"/>
                <w:szCs w:val="16"/>
              </w:rPr>
              <w:t>(July to October 2019)</w:t>
            </w:r>
          </w:p>
          <w:p w14:paraId="61CA974A" w14:textId="77777777" w:rsidR="00947892" w:rsidRDefault="00947892" w:rsidP="00947892">
            <w:pPr>
              <w:pStyle w:val="Default"/>
              <w:rPr>
                <w:rFonts w:ascii="Century Gothic" w:hAnsi="Century Gothic"/>
                <w:sz w:val="16"/>
                <w:szCs w:val="16"/>
              </w:rPr>
            </w:pPr>
          </w:p>
          <w:p w14:paraId="4AF9B9D7" w14:textId="5D4E4663" w:rsidR="00947892" w:rsidRPr="005732F4" w:rsidRDefault="00947892" w:rsidP="00947892">
            <w:pPr>
              <w:pStyle w:val="Default"/>
              <w:rPr>
                <w:rFonts w:ascii="Century Gothic" w:hAnsi="Century Gothic"/>
                <w:sz w:val="16"/>
                <w:szCs w:val="16"/>
                <w:highlight w:val="yellow"/>
              </w:rPr>
            </w:pPr>
            <w:r>
              <w:rPr>
                <w:rFonts w:ascii="Century Gothic" w:hAnsi="Century Gothic"/>
                <w:sz w:val="16"/>
                <w:szCs w:val="16"/>
              </w:rPr>
              <w:t>CEW volume: LMR 352 ML.</w:t>
            </w:r>
          </w:p>
        </w:tc>
        <w:tc>
          <w:tcPr>
            <w:tcW w:w="1524" w:type="pct"/>
          </w:tcPr>
          <w:p w14:paraId="71046FBF" w14:textId="77777777" w:rsidR="00947892" w:rsidRPr="00276358" w:rsidRDefault="00947892" w:rsidP="00947892">
            <w:pPr>
              <w:rPr>
                <w:sz w:val="16"/>
                <w:szCs w:val="16"/>
              </w:rPr>
            </w:pPr>
            <w:r>
              <w:rPr>
                <w:sz w:val="16"/>
                <w:szCs w:val="16"/>
              </w:rPr>
              <w:t>E</w:t>
            </w:r>
            <w:r w:rsidRPr="00276358">
              <w:rPr>
                <w:sz w:val="16"/>
                <w:szCs w:val="16"/>
              </w:rPr>
              <w:t>cological objectives</w:t>
            </w:r>
            <w:r>
              <w:rPr>
                <w:sz w:val="16"/>
                <w:szCs w:val="16"/>
              </w:rPr>
              <w:t xml:space="preserve"> under a ‘Moderate’ scenario</w:t>
            </w:r>
            <w:r w:rsidRPr="00276358">
              <w:rPr>
                <w:sz w:val="16"/>
                <w:szCs w:val="16"/>
              </w:rPr>
              <w:t>:</w:t>
            </w:r>
          </w:p>
          <w:p w14:paraId="11B77EF3" w14:textId="6E0C067C" w:rsidR="005B41F4" w:rsidRPr="005B41F4" w:rsidRDefault="005B41F4" w:rsidP="007B56CE">
            <w:pPr>
              <w:pStyle w:val="ListBullet"/>
              <w:numPr>
                <w:ilvl w:val="0"/>
                <w:numId w:val="9"/>
              </w:numPr>
              <w:snapToGrid w:val="0"/>
              <w:spacing w:before="0" w:after="60" w:line="240" w:lineRule="auto"/>
              <w:jc w:val="left"/>
              <w:rPr>
                <w:sz w:val="16"/>
                <w:szCs w:val="16"/>
              </w:rPr>
            </w:pPr>
            <w:r w:rsidRPr="005B41F4">
              <w:rPr>
                <w:sz w:val="16"/>
                <w:szCs w:val="16"/>
              </w:rPr>
              <w:t xml:space="preserve">Growth and expansion of littoral vegetation including </w:t>
            </w:r>
            <w:r w:rsidRPr="005B41F4">
              <w:rPr>
                <w:i/>
                <w:iCs/>
                <w:sz w:val="16"/>
                <w:szCs w:val="16"/>
              </w:rPr>
              <w:t xml:space="preserve">Juncus, Cyperus </w:t>
            </w:r>
            <w:proofErr w:type="spellStart"/>
            <w:r w:rsidRPr="005B41F4">
              <w:rPr>
                <w:i/>
                <w:iCs/>
                <w:sz w:val="16"/>
                <w:szCs w:val="16"/>
              </w:rPr>
              <w:t>gymnocaulos</w:t>
            </w:r>
            <w:proofErr w:type="spellEnd"/>
            <w:r w:rsidRPr="005B41F4">
              <w:rPr>
                <w:i/>
                <w:iCs/>
                <w:sz w:val="16"/>
                <w:szCs w:val="16"/>
              </w:rPr>
              <w:t xml:space="preserve">, </w:t>
            </w:r>
            <w:proofErr w:type="spellStart"/>
            <w:proofErr w:type="gramStart"/>
            <w:r w:rsidRPr="005B41F4">
              <w:rPr>
                <w:i/>
                <w:iCs/>
                <w:sz w:val="16"/>
                <w:szCs w:val="16"/>
              </w:rPr>
              <w:t>Schoenoplectus</w:t>
            </w:r>
            <w:proofErr w:type="spellEnd"/>
            <w:r w:rsidRPr="005B41F4">
              <w:rPr>
                <w:sz w:val="16"/>
                <w:szCs w:val="16"/>
              </w:rPr>
              <w:t>;</w:t>
            </w:r>
            <w:proofErr w:type="gramEnd"/>
            <w:r w:rsidRPr="005B41F4">
              <w:rPr>
                <w:sz w:val="16"/>
                <w:szCs w:val="16"/>
              </w:rPr>
              <w:t xml:space="preserve"> </w:t>
            </w:r>
          </w:p>
          <w:p w14:paraId="7507B947" w14:textId="77777777" w:rsidR="005B41F4" w:rsidRDefault="005B41F4" w:rsidP="007B56CE">
            <w:pPr>
              <w:pStyle w:val="ListBullet"/>
              <w:numPr>
                <w:ilvl w:val="0"/>
                <w:numId w:val="9"/>
              </w:numPr>
              <w:snapToGrid w:val="0"/>
              <w:spacing w:before="0" w:after="60" w:line="240" w:lineRule="auto"/>
              <w:jc w:val="left"/>
              <w:rPr>
                <w:sz w:val="16"/>
                <w:szCs w:val="16"/>
              </w:rPr>
            </w:pPr>
            <w:r w:rsidRPr="005B41F4">
              <w:rPr>
                <w:sz w:val="16"/>
                <w:szCs w:val="16"/>
              </w:rPr>
              <w:t xml:space="preserve">Understorey plant community sustained and </w:t>
            </w:r>
            <w:proofErr w:type="gramStart"/>
            <w:r w:rsidRPr="005B41F4">
              <w:rPr>
                <w:sz w:val="16"/>
                <w:szCs w:val="16"/>
              </w:rPr>
              <w:t>productive;</w:t>
            </w:r>
            <w:proofErr w:type="gramEnd"/>
          </w:p>
          <w:p w14:paraId="56EA32A3" w14:textId="77777777" w:rsidR="005B41F4" w:rsidRDefault="005B41F4" w:rsidP="007B56CE">
            <w:pPr>
              <w:pStyle w:val="ListBullet"/>
              <w:numPr>
                <w:ilvl w:val="0"/>
                <w:numId w:val="9"/>
              </w:numPr>
              <w:snapToGrid w:val="0"/>
              <w:spacing w:before="0" w:after="60" w:line="240" w:lineRule="auto"/>
              <w:jc w:val="left"/>
              <w:rPr>
                <w:sz w:val="16"/>
                <w:szCs w:val="16"/>
              </w:rPr>
            </w:pPr>
            <w:r w:rsidRPr="005B41F4">
              <w:rPr>
                <w:sz w:val="16"/>
                <w:szCs w:val="16"/>
              </w:rPr>
              <w:t xml:space="preserve">Create diverse and productive biofilm and macroinvertebrate </w:t>
            </w:r>
            <w:proofErr w:type="gramStart"/>
            <w:r w:rsidRPr="005B41F4">
              <w:rPr>
                <w:sz w:val="16"/>
                <w:szCs w:val="16"/>
              </w:rPr>
              <w:t>communities;</w:t>
            </w:r>
            <w:proofErr w:type="gramEnd"/>
          </w:p>
          <w:p w14:paraId="2D9A474D" w14:textId="77777777" w:rsidR="005B41F4" w:rsidRDefault="005B41F4" w:rsidP="007B56CE">
            <w:pPr>
              <w:pStyle w:val="ListBullet"/>
              <w:numPr>
                <w:ilvl w:val="0"/>
                <w:numId w:val="9"/>
              </w:numPr>
              <w:snapToGrid w:val="0"/>
              <w:spacing w:before="0" w:after="60" w:line="240" w:lineRule="auto"/>
              <w:jc w:val="left"/>
              <w:rPr>
                <w:sz w:val="16"/>
                <w:szCs w:val="16"/>
              </w:rPr>
            </w:pPr>
            <w:r w:rsidRPr="005B41F4">
              <w:rPr>
                <w:sz w:val="16"/>
                <w:szCs w:val="16"/>
              </w:rPr>
              <w:t xml:space="preserve">Provide breeding habitat for small fish (in littoral vegetation) and reed-dependent </w:t>
            </w:r>
            <w:proofErr w:type="gramStart"/>
            <w:r w:rsidRPr="005B41F4">
              <w:rPr>
                <w:sz w:val="16"/>
                <w:szCs w:val="16"/>
              </w:rPr>
              <w:t>waterbirds;</w:t>
            </w:r>
            <w:proofErr w:type="gramEnd"/>
          </w:p>
          <w:p w14:paraId="0A74E15F" w14:textId="35753520" w:rsidR="005B41F4" w:rsidRPr="005B41F4" w:rsidRDefault="005B41F4" w:rsidP="007B56CE">
            <w:pPr>
              <w:pStyle w:val="ListBullet"/>
              <w:numPr>
                <w:ilvl w:val="0"/>
                <w:numId w:val="9"/>
              </w:numPr>
              <w:snapToGrid w:val="0"/>
              <w:spacing w:before="0" w:after="60" w:line="240" w:lineRule="auto"/>
              <w:jc w:val="left"/>
              <w:rPr>
                <w:sz w:val="16"/>
                <w:szCs w:val="16"/>
              </w:rPr>
            </w:pPr>
            <w:r w:rsidRPr="005B41F4">
              <w:rPr>
                <w:sz w:val="16"/>
                <w:szCs w:val="16"/>
              </w:rPr>
              <w:t>Groundwater exchange with river and relieve soil salinity stress in littoral zone;</w:t>
            </w:r>
            <w:r w:rsidR="0084014F">
              <w:rPr>
                <w:sz w:val="16"/>
                <w:szCs w:val="16"/>
              </w:rPr>
              <w:t xml:space="preserve"> and</w:t>
            </w:r>
          </w:p>
          <w:p w14:paraId="59897F94" w14:textId="088383BE" w:rsidR="00947892" w:rsidRDefault="00947892" w:rsidP="007B56CE">
            <w:pPr>
              <w:pStyle w:val="ListBullet"/>
              <w:numPr>
                <w:ilvl w:val="0"/>
                <w:numId w:val="9"/>
              </w:numPr>
              <w:snapToGrid w:val="0"/>
              <w:spacing w:before="0" w:after="60" w:line="240" w:lineRule="auto"/>
              <w:jc w:val="left"/>
              <w:rPr>
                <w:sz w:val="16"/>
                <w:szCs w:val="16"/>
              </w:rPr>
            </w:pPr>
            <w:r w:rsidRPr="00276358">
              <w:rPr>
                <w:sz w:val="16"/>
                <w:szCs w:val="16"/>
              </w:rPr>
              <w:t>Contribute to in-channel flows during drawdown in late spring to assist in delivering water to the Coorong, Lower Lakes and Murray Mouth (CLLMM).</w:t>
            </w:r>
          </w:p>
        </w:tc>
        <w:tc>
          <w:tcPr>
            <w:tcW w:w="2563" w:type="pct"/>
          </w:tcPr>
          <w:p w14:paraId="45B8988D" w14:textId="354BBDD6" w:rsidR="00947892" w:rsidRDefault="00947892" w:rsidP="007B56CE">
            <w:pPr>
              <w:pStyle w:val="ListBullet"/>
              <w:numPr>
                <w:ilvl w:val="0"/>
                <w:numId w:val="9"/>
              </w:numPr>
              <w:snapToGrid w:val="0"/>
              <w:spacing w:before="0" w:after="60" w:line="240" w:lineRule="auto"/>
              <w:jc w:val="left"/>
              <w:rPr>
                <w:rFonts w:ascii="Arial" w:hAnsi="Arial"/>
                <w:color w:val="auto"/>
                <w:kern w:val="0"/>
                <w:sz w:val="16"/>
                <w:szCs w:val="16"/>
              </w:rPr>
            </w:pPr>
            <w:r>
              <w:rPr>
                <w:sz w:val="16"/>
                <w:szCs w:val="16"/>
              </w:rPr>
              <w:t>The weir pool at Lock 2 was raised to 0.52</w:t>
            </w:r>
            <w:r w:rsidR="008D1099">
              <w:rPr>
                <w:sz w:val="16"/>
                <w:szCs w:val="16"/>
              </w:rPr>
              <w:t xml:space="preserve"> </w:t>
            </w:r>
            <w:r>
              <w:rPr>
                <w:sz w:val="16"/>
                <w:szCs w:val="16"/>
              </w:rPr>
              <w:t>m above normal pool level during July/August. The fill volume was 5,639 ML. Raising commenced on 13 July and reached the maximum height on 19 August.</w:t>
            </w:r>
          </w:p>
          <w:p w14:paraId="2FFC93C1" w14:textId="77777777" w:rsidR="00947892" w:rsidRDefault="00947892" w:rsidP="007B56CE">
            <w:pPr>
              <w:pStyle w:val="ListBullet"/>
              <w:numPr>
                <w:ilvl w:val="0"/>
                <w:numId w:val="9"/>
              </w:numPr>
              <w:snapToGrid w:val="0"/>
              <w:spacing w:before="0" w:after="60" w:line="240" w:lineRule="auto"/>
              <w:jc w:val="left"/>
              <w:rPr>
                <w:sz w:val="16"/>
                <w:szCs w:val="16"/>
              </w:rPr>
            </w:pPr>
            <w:r>
              <w:rPr>
                <w:sz w:val="16"/>
                <w:szCs w:val="16"/>
              </w:rPr>
              <w:t xml:space="preserve">Raising was also attempted at Lock 6, commencing on 5 August. </w:t>
            </w:r>
            <w:proofErr w:type="gramStart"/>
            <w:r>
              <w:rPr>
                <w:sz w:val="16"/>
                <w:szCs w:val="16"/>
              </w:rPr>
              <w:t>However</w:t>
            </w:r>
            <w:proofErr w:type="gramEnd"/>
            <w:r>
              <w:rPr>
                <w:sz w:val="16"/>
                <w:szCs w:val="16"/>
              </w:rPr>
              <w:t xml:space="preserve"> flow rates were insufficient to support the action and after reaching a maximum of 0.28m above normal pool level on 13 August, the pool was returned to normal level by 18 August. 1,502 ML was used in the attempted raising, of which 1,499 was returned in the lowering (3 ML of net losses were accounted against this action). </w:t>
            </w:r>
          </w:p>
          <w:p w14:paraId="695B56D4" w14:textId="4CB3FCF8" w:rsidR="00947892" w:rsidRPr="00250A03" w:rsidRDefault="00947892" w:rsidP="007B56CE">
            <w:pPr>
              <w:pStyle w:val="ListBullet"/>
              <w:numPr>
                <w:ilvl w:val="0"/>
                <w:numId w:val="9"/>
              </w:numPr>
              <w:snapToGrid w:val="0"/>
              <w:spacing w:before="0" w:after="60" w:line="240" w:lineRule="auto"/>
              <w:jc w:val="left"/>
              <w:rPr>
                <w:sz w:val="16"/>
                <w:szCs w:val="16"/>
              </w:rPr>
            </w:pPr>
            <w:r w:rsidRPr="00250A03">
              <w:rPr>
                <w:sz w:val="16"/>
                <w:szCs w:val="16"/>
              </w:rPr>
              <w:t>The weir pool at Lock 2 was lowered from 20 September to reach normal pool level on 23 October. This was slightly earlier than planned to align with the receding spring pulse. The return volume was 5,290 ML (349 ML of net losses were accounted against this action).</w:t>
            </w:r>
          </w:p>
        </w:tc>
      </w:tr>
    </w:tbl>
    <w:p w14:paraId="749EDBEE" w14:textId="77777777" w:rsidR="008849C5" w:rsidRPr="008849C5" w:rsidRDefault="008849C5" w:rsidP="008849C5"/>
    <w:p w14:paraId="08CAB39F" w14:textId="77777777" w:rsidR="008849C5" w:rsidRDefault="008849C5" w:rsidP="00BB6D22">
      <w:pPr>
        <w:pStyle w:val="Heading1"/>
        <w:numPr>
          <w:ilvl w:val="0"/>
          <w:numId w:val="0"/>
        </w:numPr>
        <w:sectPr w:rsidR="008849C5" w:rsidSect="008849C5">
          <w:pgSz w:w="16838" w:h="11906" w:orient="landscape"/>
          <w:pgMar w:top="1440" w:right="1440" w:bottom="1440" w:left="1440" w:header="709" w:footer="709" w:gutter="0"/>
          <w:cols w:space="708"/>
          <w:docGrid w:linePitch="360"/>
        </w:sectPr>
      </w:pPr>
      <w:bookmarkStart w:id="369" w:name="_Toc3558347"/>
    </w:p>
    <w:p w14:paraId="5E1D114C" w14:textId="543FA354" w:rsidR="00BB6D22" w:rsidRPr="00F64880" w:rsidRDefault="008849C5" w:rsidP="00BB6D22">
      <w:pPr>
        <w:pStyle w:val="Heading1"/>
        <w:numPr>
          <w:ilvl w:val="0"/>
          <w:numId w:val="0"/>
        </w:numPr>
        <w:rPr>
          <w:b w:val="0"/>
          <w:bCs w:val="0"/>
          <w:caps w:val="0"/>
        </w:rPr>
      </w:pPr>
      <w:bookmarkStart w:id="370" w:name="_Toc69309253"/>
      <w:r>
        <w:t>Appendix B</w:t>
      </w:r>
      <w:r w:rsidR="000A65FC" w:rsidRPr="001056B4">
        <w:t xml:space="preserve">: </w:t>
      </w:r>
      <w:bookmarkStart w:id="371" w:name="_Toc3558348"/>
      <w:bookmarkStart w:id="372" w:name="_Toc441838748"/>
      <w:bookmarkEnd w:id="369"/>
      <w:r w:rsidR="00BB6D22">
        <w:t>Overview of other m</w:t>
      </w:r>
      <w:r w:rsidR="00186D82">
        <w:t xml:space="preserve">anagement activities </w:t>
      </w:r>
      <w:r w:rsidR="005732F4">
        <w:t>during</w:t>
      </w:r>
      <w:r w:rsidR="00C935AC">
        <w:t xml:space="preserve"> 2019-20</w:t>
      </w:r>
      <w:bookmarkEnd w:id="370"/>
      <w:bookmarkEnd w:id="371"/>
      <w:bookmarkEnd w:id="372"/>
    </w:p>
    <w:p w14:paraId="4C6D5ED7" w14:textId="5171BE35" w:rsidR="00844BB9" w:rsidRPr="00844BB9" w:rsidRDefault="00844BB9" w:rsidP="00BB6D22">
      <w:r w:rsidRPr="009C0C0D">
        <w:t xml:space="preserve">In addition to environmental water deliveries to the </w:t>
      </w:r>
      <w:r w:rsidR="00FE3EAD">
        <w:t>Lower Murray</w:t>
      </w:r>
      <w:r w:rsidR="00FE3EAD" w:rsidRPr="009C0C0D">
        <w:t xml:space="preserve"> </w:t>
      </w:r>
      <w:r w:rsidR="005732F4">
        <w:t>in</w:t>
      </w:r>
      <w:r>
        <w:t xml:space="preserve"> </w:t>
      </w:r>
      <w:r w:rsidR="00C935AC">
        <w:t>2019-20</w:t>
      </w:r>
      <w:r w:rsidRPr="009C0C0D">
        <w:t xml:space="preserve"> </w:t>
      </w:r>
      <w:r>
        <w:t xml:space="preserve">(Section </w:t>
      </w:r>
      <w:r>
        <w:fldChar w:fldCharType="begin"/>
      </w:r>
      <w:r>
        <w:instrText xml:space="preserve"> REF _Ref25846459 \r \h </w:instrText>
      </w:r>
      <w:r>
        <w:fldChar w:fldCharType="separate"/>
      </w:r>
      <w:r w:rsidR="00241910">
        <w:t>1.4</w:t>
      </w:r>
      <w:r>
        <w:fldChar w:fldCharType="end"/>
      </w:r>
      <w:r>
        <w:t>)</w:t>
      </w:r>
      <w:r w:rsidRPr="009C0C0D">
        <w:t xml:space="preserve">, the following management </w:t>
      </w:r>
      <w:r>
        <w:t>actions</w:t>
      </w:r>
      <w:r w:rsidRPr="009C0C0D">
        <w:t xml:space="preserve"> are relevant to the analyses and interpretations in this report. </w:t>
      </w:r>
    </w:p>
    <w:p w14:paraId="6EA8437F" w14:textId="02B19296" w:rsidR="00BB6D22" w:rsidRPr="00964B7F" w:rsidRDefault="00BB6D22" w:rsidP="00BB6D22">
      <w:pPr>
        <w:rPr>
          <w:b/>
          <w:color w:val="44546A" w:themeColor="text2"/>
          <w:sz w:val="26"/>
          <w:szCs w:val="26"/>
        </w:rPr>
      </w:pPr>
      <w:r w:rsidRPr="00964B7F">
        <w:rPr>
          <w:b/>
          <w:color w:val="44546A" w:themeColor="text2"/>
          <w:sz w:val="26"/>
          <w:szCs w:val="26"/>
        </w:rPr>
        <w:t xml:space="preserve">Other watering </w:t>
      </w:r>
      <w:r>
        <w:rPr>
          <w:b/>
          <w:color w:val="44546A" w:themeColor="text2"/>
          <w:sz w:val="26"/>
          <w:szCs w:val="26"/>
        </w:rPr>
        <w:t xml:space="preserve">and management </w:t>
      </w:r>
      <w:r w:rsidRPr="00964B7F">
        <w:rPr>
          <w:b/>
          <w:color w:val="44546A" w:themeColor="text2"/>
          <w:sz w:val="26"/>
          <w:szCs w:val="26"/>
        </w:rPr>
        <w:t xml:space="preserve">activities in the </w:t>
      </w:r>
      <w:r w:rsidR="00FE3EAD">
        <w:rPr>
          <w:b/>
          <w:color w:val="44546A" w:themeColor="text2"/>
          <w:sz w:val="26"/>
          <w:szCs w:val="26"/>
        </w:rPr>
        <w:t>Lower Murray</w:t>
      </w:r>
      <w:r w:rsidR="00FE3EAD" w:rsidRPr="00964B7F">
        <w:rPr>
          <w:b/>
          <w:color w:val="44546A" w:themeColor="text2"/>
          <w:sz w:val="26"/>
          <w:szCs w:val="26"/>
        </w:rPr>
        <w:t xml:space="preserve"> </w:t>
      </w:r>
    </w:p>
    <w:p w14:paraId="48324437" w14:textId="4DB5DA22" w:rsidR="00BB6D22" w:rsidRPr="00964B7F" w:rsidRDefault="00BB6D22" w:rsidP="00BB6D22">
      <w:pPr>
        <w:rPr>
          <w:i/>
          <w:sz w:val="24"/>
          <w:szCs w:val="24"/>
        </w:rPr>
      </w:pPr>
      <w:r>
        <w:rPr>
          <w:b/>
          <w:i/>
          <w:color w:val="44546A" w:themeColor="text2"/>
          <w:sz w:val="24"/>
          <w:szCs w:val="24"/>
        </w:rPr>
        <w:t>Manipulation</w:t>
      </w:r>
      <w:r w:rsidRPr="00964B7F">
        <w:rPr>
          <w:b/>
          <w:i/>
          <w:color w:val="44546A" w:themeColor="text2"/>
          <w:sz w:val="24"/>
          <w:szCs w:val="24"/>
        </w:rPr>
        <w:t xml:space="preserve"> of water levels in </w:t>
      </w:r>
      <w:r w:rsidR="005732F4">
        <w:rPr>
          <w:b/>
          <w:i/>
          <w:color w:val="44546A" w:themeColor="text2"/>
          <w:sz w:val="24"/>
          <w:szCs w:val="24"/>
        </w:rPr>
        <w:t>Weir P</w:t>
      </w:r>
      <w:r w:rsidRPr="00964B7F">
        <w:rPr>
          <w:b/>
          <w:i/>
          <w:color w:val="44546A" w:themeColor="text2"/>
          <w:sz w:val="24"/>
          <w:szCs w:val="24"/>
        </w:rPr>
        <w:t>ools</w:t>
      </w:r>
      <w:r w:rsidR="005732F4">
        <w:rPr>
          <w:b/>
          <w:i/>
          <w:color w:val="44546A" w:themeColor="text2"/>
          <w:sz w:val="24"/>
          <w:szCs w:val="24"/>
        </w:rPr>
        <w:t xml:space="preserve"> 2 and 6</w:t>
      </w:r>
      <w:r w:rsidRPr="00964B7F">
        <w:rPr>
          <w:b/>
          <w:i/>
          <w:color w:val="44546A" w:themeColor="text2"/>
          <w:sz w:val="24"/>
          <w:szCs w:val="24"/>
        </w:rPr>
        <w:t xml:space="preserve"> </w:t>
      </w:r>
    </w:p>
    <w:p w14:paraId="235F0049" w14:textId="040721C6" w:rsidR="005732F4" w:rsidRDefault="005732F4" w:rsidP="005732F4">
      <w:pPr>
        <w:rPr>
          <w:lang w:val="en-US"/>
        </w:rPr>
      </w:pPr>
      <w:r>
        <w:rPr>
          <w:lang w:val="en-US"/>
        </w:rPr>
        <w:t>Raising of Weir Pool 2 occurred between early August and mid October 2019. Water levels within were raised to a maximum of 0.50</w:t>
      </w:r>
      <w:r w:rsidR="009A4868">
        <w:rPr>
          <w:lang w:val="en-US"/>
        </w:rPr>
        <w:t xml:space="preserve"> m</w:t>
      </w:r>
      <w:r>
        <w:rPr>
          <w:lang w:val="en-US"/>
        </w:rPr>
        <w:t xml:space="preserve"> above NPL in August/September before undergoing a drawdown in late September</w:t>
      </w:r>
      <w:r w:rsidRPr="0065683B">
        <w:rPr>
          <w:lang w:val="en-US"/>
        </w:rPr>
        <w:t xml:space="preserve"> </w:t>
      </w:r>
      <w:r>
        <w:rPr>
          <w:lang w:val="en-US"/>
        </w:rPr>
        <w:t>(</w:t>
      </w:r>
      <w:r w:rsidR="009A4868">
        <w:rPr>
          <w:lang w:val="en-US"/>
        </w:rPr>
        <w:t xml:space="preserve">Table A1; </w:t>
      </w:r>
      <w:r>
        <w:rPr>
          <w:lang w:val="en-US"/>
        </w:rPr>
        <w:t xml:space="preserve">Figure B1). </w:t>
      </w:r>
      <w:r w:rsidR="001027C1">
        <w:rPr>
          <w:lang w:val="en-US"/>
        </w:rPr>
        <w:t xml:space="preserve">Raising of Weir Pool 6 commenced in early </w:t>
      </w:r>
      <w:proofErr w:type="gramStart"/>
      <w:r w:rsidR="001027C1">
        <w:rPr>
          <w:lang w:val="en-US"/>
        </w:rPr>
        <w:t>August, but</w:t>
      </w:r>
      <w:proofErr w:type="gramEnd"/>
      <w:r w:rsidR="001027C1">
        <w:rPr>
          <w:lang w:val="en-US"/>
        </w:rPr>
        <w:t xml:space="preserve"> curtailed as flow to South Australia declined. </w:t>
      </w:r>
      <w:r>
        <w:rPr>
          <w:lang w:val="en-US"/>
        </w:rPr>
        <w:t xml:space="preserve">Approximately </w:t>
      </w:r>
      <w:r w:rsidR="008D1099">
        <w:rPr>
          <w:lang w:val="en-US"/>
        </w:rPr>
        <w:t>352 M</w:t>
      </w:r>
      <w:r>
        <w:rPr>
          <w:lang w:val="en-US"/>
        </w:rPr>
        <w:t xml:space="preserve">L of Commonwealth environmental water was delivered to account for losses (e.g. evaporation) during the manipulation of Weir Pools 2 and </w:t>
      </w:r>
      <w:r w:rsidR="00B164BA">
        <w:rPr>
          <w:lang w:val="en-US"/>
        </w:rPr>
        <w:t>6</w:t>
      </w:r>
      <w:r>
        <w:rPr>
          <w:lang w:val="en-US"/>
        </w:rPr>
        <w:t xml:space="preserve"> (source, CEWO).</w:t>
      </w:r>
    </w:p>
    <w:p w14:paraId="42E81289" w14:textId="7EAF1CC7" w:rsidR="00BB6D22" w:rsidRDefault="00C125CE" w:rsidP="005732F4">
      <w:pPr>
        <w:rPr>
          <w:lang w:val="en-US"/>
        </w:rPr>
      </w:pPr>
      <w:r w:rsidRPr="00C125CE">
        <w:rPr>
          <w:noProof/>
          <w:lang w:eastAsia="en-AU"/>
        </w:rPr>
        <w:drawing>
          <wp:inline distT="0" distB="0" distL="0" distR="0" wp14:anchorId="62738785" wp14:editId="04A8E59D">
            <wp:extent cx="5730189" cy="3083442"/>
            <wp:effectExtent l="0" t="0" r="4445"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2" cstate="email">
                      <a:extLst>
                        <a:ext uri="{28A0092B-C50C-407E-A947-70E740481C1C}">
                          <a14:useLocalDpi xmlns:a14="http://schemas.microsoft.com/office/drawing/2010/main"/>
                        </a:ext>
                      </a:extLst>
                    </a:blip>
                    <a:srcRect t="7627" b="3902"/>
                    <a:stretch/>
                  </pic:blipFill>
                  <pic:spPr bwMode="auto">
                    <a:xfrm>
                      <a:off x="0" y="0"/>
                      <a:ext cx="5731510" cy="3084153"/>
                    </a:xfrm>
                    <a:prstGeom prst="rect">
                      <a:avLst/>
                    </a:prstGeom>
                    <a:noFill/>
                    <a:ln>
                      <a:noFill/>
                    </a:ln>
                    <a:extLst>
                      <a:ext uri="{53640926-AAD7-44D8-BBD7-CCE9431645EC}">
                        <a14:shadowObscured xmlns:a14="http://schemas.microsoft.com/office/drawing/2010/main"/>
                      </a:ext>
                    </a:extLst>
                  </pic:spPr>
                </pic:pic>
              </a:graphicData>
            </a:graphic>
          </wp:inline>
        </w:drawing>
      </w:r>
    </w:p>
    <w:p w14:paraId="5C1BDC3F" w14:textId="7261AB29" w:rsidR="00BB6D22" w:rsidRDefault="008849C5" w:rsidP="00F8184E">
      <w:pPr>
        <w:pStyle w:val="Captions"/>
        <w:rPr>
          <w:color w:val="44546A" w:themeColor="text2"/>
          <w:sz w:val="26"/>
          <w:szCs w:val="26"/>
        </w:rPr>
      </w:pPr>
      <w:r>
        <w:t>Figure B</w:t>
      </w:r>
      <w:r w:rsidR="005732F4">
        <w:t>1</w:t>
      </w:r>
      <w:r w:rsidR="00BB6D22">
        <w:t xml:space="preserve">. Water levels </w:t>
      </w:r>
      <w:r w:rsidR="00BB6D22" w:rsidRPr="007F2CBC">
        <w:t xml:space="preserve">in </w:t>
      </w:r>
      <w:r w:rsidR="00DE6DCA">
        <w:t>the Lock</w:t>
      </w:r>
      <w:r w:rsidR="00DF0F55">
        <w:t xml:space="preserve"> </w:t>
      </w:r>
      <w:r w:rsidR="00DE6DCA">
        <w:t xml:space="preserve">2 </w:t>
      </w:r>
      <w:r w:rsidR="00F47935">
        <w:t>and</w:t>
      </w:r>
      <w:r w:rsidR="00DE6DCA">
        <w:t xml:space="preserve"> 6 weir pools </w:t>
      </w:r>
      <w:r w:rsidR="004B3F4E">
        <w:t>in</w:t>
      </w:r>
      <w:r w:rsidR="00DF0F55">
        <w:t xml:space="preserve"> </w:t>
      </w:r>
      <w:r w:rsidR="004B3F4E">
        <w:t>201</w:t>
      </w:r>
      <w:r w:rsidR="00C935AC">
        <w:t>9</w:t>
      </w:r>
      <w:r w:rsidR="004B3F4E">
        <w:t>-</w:t>
      </w:r>
      <w:r w:rsidR="00C935AC">
        <w:t>20</w:t>
      </w:r>
      <w:r w:rsidR="00BB6D22" w:rsidRPr="00B15AF7">
        <w:t>, showing</w:t>
      </w:r>
      <w:r w:rsidR="00BB6D22">
        <w:t xml:space="preserve"> weir pool manipulations (DEW</w:t>
      </w:r>
      <w:r w:rsidR="00BB6D22" w:rsidRPr="00D94F35">
        <w:t xml:space="preserve">). Water levels are measured at </w:t>
      </w:r>
      <w:r w:rsidR="00A410A4" w:rsidRPr="00D94F35">
        <w:t>Lock 2 US (A4260518)</w:t>
      </w:r>
      <w:r w:rsidR="00A410A4">
        <w:t xml:space="preserve"> + 6.1 m AHD</w:t>
      </w:r>
      <w:r w:rsidR="00A410A4" w:rsidRPr="00D94F35">
        <w:t xml:space="preserve"> and Lock 6 US (A4260510)</w:t>
      </w:r>
      <w:r w:rsidR="00A410A4">
        <w:t xml:space="preserve"> + 19.25 m AHD</w:t>
      </w:r>
      <w:r w:rsidR="00A410A4" w:rsidRPr="00D94F35">
        <w:t xml:space="preserve"> sites.</w:t>
      </w:r>
    </w:p>
    <w:p w14:paraId="112D7B32" w14:textId="77777777" w:rsidR="00731D0A" w:rsidRDefault="00731D0A">
      <w:pPr>
        <w:spacing w:before="0" w:after="160" w:line="259" w:lineRule="auto"/>
        <w:jc w:val="left"/>
        <w:rPr>
          <w:b/>
          <w:i/>
          <w:color w:val="44546A" w:themeColor="text2"/>
          <w:sz w:val="24"/>
          <w:szCs w:val="24"/>
        </w:rPr>
      </w:pPr>
      <w:r>
        <w:rPr>
          <w:b/>
          <w:i/>
          <w:color w:val="44546A" w:themeColor="text2"/>
          <w:sz w:val="24"/>
          <w:szCs w:val="24"/>
        </w:rPr>
        <w:br w:type="page"/>
      </w:r>
    </w:p>
    <w:p w14:paraId="0E286B59" w14:textId="77777777" w:rsidR="00A74C62" w:rsidRDefault="00A74C62">
      <w:pPr>
        <w:spacing w:before="0" w:after="160" w:line="259" w:lineRule="auto"/>
        <w:jc w:val="left"/>
        <w:rPr>
          <w:b/>
          <w:color w:val="44546A" w:themeColor="text2"/>
          <w:sz w:val="26"/>
          <w:szCs w:val="26"/>
        </w:rPr>
        <w:sectPr w:rsidR="00A74C62" w:rsidSect="00AA75E1">
          <w:pgSz w:w="11906" w:h="16838"/>
          <w:pgMar w:top="1440" w:right="1440" w:bottom="1440" w:left="1440" w:header="709" w:footer="709" w:gutter="0"/>
          <w:cols w:space="708"/>
          <w:docGrid w:linePitch="360"/>
        </w:sectPr>
      </w:pPr>
    </w:p>
    <w:p w14:paraId="6A60109B" w14:textId="0D505D09" w:rsidR="00BB6D22" w:rsidRPr="00171687" w:rsidRDefault="00BB6D22" w:rsidP="00BB6D22">
      <w:pPr>
        <w:rPr>
          <w:b/>
          <w:color w:val="44546A" w:themeColor="text2"/>
          <w:sz w:val="26"/>
          <w:szCs w:val="26"/>
        </w:rPr>
      </w:pPr>
      <w:r w:rsidRPr="00171687">
        <w:rPr>
          <w:b/>
          <w:color w:val="44546A" w:themeColor="text2"/>
          <w:sz w:val="26"/>
          <w:szCs w:val="26"/>
        </w:rPr>
        <w:t xml:space="preserve">Watering </w:t>
      </w:r>
      <w:r>
        <w:rPr>
          <w:b/>
          <w:color w:val="44546A" w:themeColor="text2"/>
          <w:sz w:val="26"/>
          <w:szCs w:val="26"/>
        </w:rPr>
        <w:t xml:space="preserve">and management </w:t>
      </w:r>
      <w:r w:rsidRPr="00171687">
        <w:rPr>
          <w:b/>
          <w:color w:val="44546A" w:themeColor="text2"/>
          <w:sz w:val="26"/>
          <w:szCs w:val="26"/>
        </w:rPr>
        <w:t xml:space="preserve">activities </w:t>
      </w:r>
      <w:r>
        <w:rPr>
          <w:b/>
          <w:color w:val="44546A" w:themeColor="text2"/>
          <w:sz w:val="26"/>
          <w:szCs w:val="26"/>
        </w:rPr>
        <w:t>outside of</w:t>
      </w:r>
      <w:r w:rsidRPr="00171687">
        <w:rPr>
          <w:b/>
          <w:color w:val="44546A" w:themeColor="text2"/>
          <w:sz w:val="26"/>
          <w:szCs w:val="26"/>
        </w:rPr>
        <w:t xml:space="preserve"> the </w:t>
      </w:r>
      <w:r w:rsidR="00FE3EAD">
        <w:rPr>
          <w:b/>
          <w:color w:val="44546A" w:themeColor="text2"/>
          <w:sz w:val="26"/>
          <w:szCs w:val="26"/>
        </w:rPr>
        <w:t>Lower Murray</w:t>
      </w:r>
      <w:r w:rsidR="00FE3EAD" w:rsidRPr="00171687">
        <w:rPr>
          <w:b/>
          <w:color w:val="44546A" w:themeColor="text2"/>
          <w:sz w:val="26"/>
          <w:szCs w:val="26"/>
        </w:rPr>
        <w:t xml:space="preserve"> </w:t>
      </w:r>
    </w:p>
    <w:p w14:paraId="0269EAD2" w14:textId="73ADA9F7" w:rsidR="00BB6D22" w:rsidRPr="00B32316" w:rsidRDefault="00BB6D22" w:rsidP="00BB6D22">
      <w:pPr>
        <w:rPr>
          <w:b/>
          <w:i/>
          <w:color w:val="44546A" w:themeColor="text2"/>
          <w:sz w:val="24"/>
          <w:szCs w:val="24"/>
        </w:rPr>
      </w:pPr>
      <w:r w:rsidRPr="00B32316">
        <w:rPr>
          <w:b/>
          <w:i/>
          <w:color w:val="44546A" w:themeColor="text2"/>
          <w:sz w:val="24"/>
          <w:szCs w:val="24"/>
        </w:rPr>
        <w:t>M</w:t>
      </w:r>
      <w:r w:rsidR="00337C1F" w:rsidRPr="00B32316">
        <w:rPr>
          <w:b/>
          <w:i/>
          <w:color w:val="44546A" w:themeColor="text2"/>
          <w:sz w:val="24"/>
          <w:szCs w:val="24"/>
        </w:rPr>
        <w:t xml:space="preserve">anipulation of water levels in </w:t>
      </w:r>
      <w:r w:rsidR="00CF1A5D" w:rsidRPr="00D7212F">
        <w:rPr>
          <w:b/>
          <w:i/>
          <w:color w:val="44546A" w:themeColor="text2"/>
          <w:sz w:val="24"/>
          <w:szCs w:val="24"/>
        </w:rPr>
        <w:t xml:space="preserve">Weir Pools </w:t>
      </w:r>
      <w:r w:rsidR="00D7212F" w:rsidRPr="00D7212F">
        <w:rPr>
          <w:b/>
          <w:i/>
          <w:color w:val="44546A" w:themeColor="text2"/>
          <w:sz w:val="24"/>
          <w:szCs w:val="24"/>
        </w:rPr>
        <w:t>7</w:t>
      </w:r>
      <w:r w:rsidR="00CF1A5D" w:rsidRPr="00D7212F">
        <w:rPr>
          <w:b/>
          <w:i/>
          <w:color w:val="44546A" w:themeColor="text2"/>
          <w:sz w:val="24"/>
          <w:szCs w:val="24"/>
        </w:rPr>
        <w:t xml:space="preserve">, </w:t>
      </w:r>
      <w:r w:rsidR="00D7212F" w:rsidRPr="00D7212F">
        <w:rPr>
          <w:b/>
          <w:i/>
          <w:color w:val="44546A" w:themeColor="text2"/>
          <w:sz w:val="24"/>
          <w:szCs w:val="24"/>
        </w:rPr>
        <w:t>8</w:t>
      </w:r>
      <w:r w:rsidR="00CF1A5D" w:rsidRPr="00D7212F">
        <w:rPr>
          <w:b/>
          <w:i/>
          <w:color w:val="44546A" w:themeColor="text2"/>
          <w:sz w:val="24"/>
          <w:szCs w:val="24"/>
        </w:rPr>
        <w:t xml:space="preserve">, </w:t>
      </w:r>
      <w:r w:rsidR="00D7212F" w:rsidRPr="00D7212F">
        <w:rPr>
          <w:b/>
          <w:i/>
          <w:color w:val="44546A" w:themeColor="text2"/>
          <w:sz w:val="24"/>
          <w:szCs w:val="24"/>
        </w:rPr>
        <w:t>9</w:t>
      </w:r>
      <w:r w:rsidR="00CF1A5D" w:rsidRPr="00D7212F">
        <w:rPr>
          <w:b/>
          <w:i/>
          <w:color w:val="44546A" w:themeColor="text2"/>
          <w:sz w:val="24"/>
          <w:szCs w:val="24"/>
        </w:rPr>
        <w:t xml:space="preserve"> and </w:t>
      </w:r>
      <w:r w:rsidR="00D7212F" w:rsidRPr="00D7212F">
        <w:rPr>
          <w:b/>
          <w:i/>
          <w:color w:val="44546A" w:themeColor="text2"/>
          <w:sz w:val="24"/>
          <w:szCs w:val="24"/>
        </w:rPr>
        <w:t>15</w:t>
      </w:r>
      <w:r w:rsidRPr="00B32316">
        <w:rPr>
          <w:b/>
          <w:i/>
          <w:color w:val="44546A" w:themeColor="text2"/>
          <w:sz w:val="24"/>
          <w:szCs w:val="24"/>
        </w:rPr>
        <w:t xml:space="preserve"> </w:t>
      </w:r>
    </w:p>
    <w:p w14:paraId="296DDB64" w14:textId="54EBEADD" w:rsidR="00D7212F" w:rsidRDefault="00D7212F" w:rsidP="00D7212F">
      <w:r w:rsidRPr="00964B7F">
        <w:t>Water levels in Weir Pools 7, 8, 9</w:t>
      </w:r>
      <w:r>
        <w:t xml:space="preserve"> &amp; 15 </w:t>
      </w:r>
      <w:r w:rsidRPr="00964B7F">
        <w:t>were</w:t>
      </w:r>
      <w:r>
        <w:t xml:space="preserve"> raised and lowered, relative to their NPL during 201</w:t>
      </w:r>
      <w:r w:rsidR="00DE7CCB">
        <w:t>9</w:t>
      </w:r>
      <w:r>
        <w:t>-</w:t>
      </w:r>
      <w:r w:rsidR="00DE7CCB">
        <w:t>20</w:t>
      </w:r>
      <w:r>
        <w:t xml:space="preserve"> (Table B1</w:t>
      </w:r>
      <w:r w:rsidRPr="00964B7F">
        <w:t>)</w:t>
      </w:r>
      <w:r>
        <w:t xml:space="preserve">. The </w:t>
      </w:r>
      <w:r w:rsidR="00DE7CCB">
        <w:t xml:space="preserve">expected outcomes </w:t>
      </w:r>
      <w:r w:rsidR="00633816">
        <w:t xml:space="preserve">of the raising and lowering are summarised. </w:t>
      </w:r>
      <w:r w:rsidRPr="00964B7F">
        <w:t>Approximately</w:t>
      </w:r>
      <w:r w:rsidRPr="0025624B">
        <w:t xml:space="preserve"> </w:t>
      </w:r>
      <w:r w:rsidR="00633816">
        <w:t>775</w:t>
      </w:r>
      <w:r>
        <w:t xml:space="preserve"> </w:t>
      </w:r>
      <w:r w:rsidR="00633816">
        <w:t>M</w:t>
      </w:r>
      <w:r>
        <w:t>L</w:t>
      </w:r>
      <w:r w:rsidRPr="0025624B">
        <w:t xml:space="preserve"> of Commonwealth </w:t>
      </w:r>
      <w:r>
        <w:t xml:space="preserve">environmental water </w:t>
      </w:r>
      <w:r w:rsidRPr="0025624B">
        <w:t xml:space="preserve">was </w:t>
      </w:r>
      <w:r>
        <w:t xml:space="preserve">used </w:t>
      </w:r>
      <w:r w:rsidRPr="00900D7F">
        <w:t xml:space="preserve">to account for </w:t>
      </w:r>
      <w:r w:rsidRPr="00341F89">
        <w:t>‘net’ use, i.e. combined loss from raising and savings from lowering for the duration of the environmental watering event and for all weirs involved in the event</w:t>
      </w:r>
      <w:r>
        <w:t xml:space="preserve">. </w:t>
      </w:r>
    </w:p>
    <w:p w14:paraId="4CCED453" w14:textId="69B9EC47" w:rsidR="00337C1F" w:rsidRDefault="008849C5" w:rsidP="00F8184E">
      <w:pPr>
        <w:pStyle w:val="Captions"/>
      </w:pPr>
      <w:r>
        <w:t>Table B</w:t>
      </w:r>
      <w:r w:rsidR="00065DAD">
        <w:t>1</w:t>
      </w:r>
      <w:r w:rsidR="00337C1F">
        <w:t>.</w:t>
      </w:r>
      <w:r w:rsidR="004E1F7E">
        <w:t xml:space="preserve"> </w:t>
      </w:r>
      <w:r w:rsidR="00CF1A5D" w:rsidRPr="00CF1A5D">
        <w:t>Timing of water manipulation actions for weir pools</w:t>
      </w:r>
      <w:r w:rsidR="00CF1A5D">
        <w:t xml:space="preserve"> upstream of the Lower Murray Selected Area during 2019-20</w:t>
      </w:r>
      <w:r w:rsidR="00CF1A5D" w:rsidRPr="00CF1A5D">
        <w:t xml:space="preserve"> (source, MDBA). </w:t>
      </w:r>
      <w:r w:rsidR="006F5D24">
        <w:t xml:space="preserve">Raisings are above </w:t>
      </w:r>
      <w:r w:rsidR="00C00263">
        <w:t>normal pool level</w:t>
      </w:r>
      <w:r w:rsidR="006F5D24">
        <w:t xml:space="preserve"> (NPL)</w:t>
      </w:r>
      <w:r w:rsidR="00C00263">
        <w:t>.</w:t>
      </w:r>
      <w:r w:rsidR="00716167">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
        <w:gridCol w:w="1781"/>
        <w:gridCol w:w="2340"/>
        <w:gridCol w:w="1694"/>
        <w:gridCol w:w="2152"/>
      </w:tblGrid>
      <w:tr w:rsidR="007D287C" w:rsidRPr="009166E2" w14:paraId="7D15FED2" w14:textId="77777777" w:rsidTr="009166E2">
        <w:trPr>
          <w:trHeight w:val="397"/>
          <w:tblHeader/>
        </w:trPr>
        <w:tc>
          <w:tcPr>
            <w:tcW w:w="1049" w:type="dxa"/>
            <w:vMerge w:val="restart"/>
            <w:vAlign w:val="center"/>
          </w:tcPr>
          <w:p w14:paraId="290E27CC" w14:textId="6DBD2008" w:rsidR="007D287C" w:rsidRPr="009166E2" w:rsidRDefault="007D287C" w:rsidP="007D287C">
            <w:pPr>
              <w:contextualSpacing/>
              <w:jc w:val="center"/>
              <w:rPr>
                <w:sz w:val="19"/>
                <w:szCs w:val="19"/>
              </w:rPr>
            </w:pPr>
          </w:p>
        </w:tc>
        <w:tc>
          <w:tcPr>
            <w:tcW w:w="7967" w:type="dxa"/>
            <w:gridSpan w:val="4"/>
            <w:vAlign w:val="center"/>
          </w:tcPr>
          <w:p w14:paraId="447CA6C0" w14:textId="2E293B19" w:rsidR="007D287C" w:rsidRPr="009166E2" w:rsidRDefault="007D287C" w:rsidP="007D287C">
            <w:pPr>
              <w:contextualSpacing/>
              <w:jc w:val="center"/>
              <w:rPr>
                <w:sz w:val="19"/>
                <w:szCs w:val="19"/>
              </w:rPr>
            </w:pPr>
            <w:r w:rsidRPr="009166E2">
              <w:rPr>
                <w:sz w:val="19"/>
                <w:szCs w:val="19"/>
              </w:rPr>
              <w:t>Weir pool</w:t>
            </w:r>
          </w:p>
        </w:tc>
      </w:tr>
      <w:tr w:rsidR="007D287C" w:rsidRPr="009166E2" w14:paraId="3CB133C9" w14:textId="77777777" w:rsidTr="0084014F">
        <w:trPr>
          <w:trHeight w:val="397"/>
          <w:tblHeader/>
        </w:trPr>
        <w:tc>
          <w:tcPr>
            <w:tcW w:w="1049" w:type="dxa"/>
            <w:vMerge/>
            <w:vAlign w:val="center"/>
          </w:tcPr>
          <w:p w14:paraId="60ABF099" w14:textId="77777777" w:rsidR="007D287C" w:rsidRPr="009166E2" w:rsidRDefault="007D287C" w:rsidP="007D287C">
            <w:pPr>
              <w:contextualSpacing/>
              <w:jc w:val="center"/>
              <w:rPr>
                <w:sz w:val="19"/>
                <w:szCs w:val="19"/>
              </w:rPr>
            </w:pPr>
          </w:p>
        </w:tc>
        <w:tc>
          <w:tcPr>
            <w:tcW w:w="1781" w:type="dxa"/>
            <w:vAlign w:val="center"/>
          </w:tcPr>
          <w:p w14:paraId="3F39FA0B" w14:textId="023307E7" w:rsidR="007D287C" w:rsidRPr="009166E2" w:rsidRDefault="00CF1A5D" w:rsidP="007D287C">
            <w:pPr>
              <w:contextualSpacing/>
              <w:jc w:val="center"/>
              <w:rPr>
                <w:sz w:val="19"/>
                <w:szCs w:val="19"/>
              </w:rPr>
            </w:pPr>
            <w:r w:rsidRPr="009166E2">
              <w:rPr>
                <w:sz w:val="19"/>
                <w:szCs w:val="19"/>
              </w:rPr>
              <w:t>7</w:t>
            </w:r>
          </w:p>
        </w:tc>
        <w:tc>
          <w:tcPr>
            <w:tcW w:w="2340" w:type="dxa"/>
            <w:vAlign w:val="center"/>
          </w:tcPr>
          <w:p w14:paraId="2E3A5762" w14:textId="61E9D020" w:rsidR="007D287C" w:rsidRPr="009166E2" w:rsidRDefault="007D287C" w:rsidP="007D287C">
            <w:pPr>
              <w:contextualSpacing/>
              <w:jc w:val="center"/>
              <w:rPr>
                <w:sz w:val="19"/>
                <w:szCs w:val="19"/>
              </w:rPr>
            </w:pPr>
            <w:r w:rsidRPr="009166E2">
              <w:rPr>
                <w:sz w:val="19"/>
                <w:szCs w:val="19"/>
              </w:rPr>
              <w:t>8</w:t>
            </w:r>
          </w:p>
        </w:tc>
        <w:tc>
          <w:tcPr>
            <w:tcW w:w="1694" w:type="dxa"/>
            <w:vAlign w:val="center"/>
          </w:tcPr>
          <w:p w14:paraId="0F3706D9" w14:textId="61E24725" w:rsidR="007D287C" w:rsidRPr="009166E2" w:rsidRDefault="007D287C" w:rsidP="007D287C">
            <w:pPr>
              <w:contextualSpacing/>
              <w:jc w:val="center"/>
              <w:rPr>
                <w:sz w:val="19"/>
                <w:szCs w:val="19"/>
              </w:rPr>
            </w:pPr>
            <w:r w:rsidRPr="009166E2">
              <w:rPr>
                <w:sz w:val="19"/>
                <w:szCs w:val="19"/>
              </w:rPr>
              <w:t>9</w:t>
            </w:r>
          </w:p>
        </w:tc>
        <w:tc>
          <w:tcPr>
            <w:tcW w:w="2152" w:type="dxa"/>
            <w:vAlign w:val="center"/>
          </w:tcPr>
          <w:p w14:paraId="4D0E67CE" w14:textId="40D04962" w:rsidR="007D287C" w:rsidRPr="009166E2" w:rsidRDefault="007D287C" w:rsidP="007D287C">
            <w:pPr>
              <w:contextualSpacing/>
              <w:jc w:val="center"/>
              <w:rPr>
                <w:sz w:val="19"/>
                <w:szCs w:val="19"/>
              </w:rPr>
            </w:pPr>
            <w:r w:rsidRPr="009166E2">
              <w:rPr>
                <w:sz w:val="19"/>
                <w:szCs w:val="19"/>
              </w:rPr>
              <w:t>15</w:t>
            </w:r>
          </w:p>
        </w:tc>
      </w:tr>
      <w:tr w:rsidR="00C00263" w:rsidRPr="009166E2" w14:paraId="664938FA" w14:textId="77777777" w:rsidTr="0084014F">
        <w:trPr>
          <w:trHeight w:val="397"/>
        </w:trPr>
        <w:tc>
          <w:tcPr>
            <w:tcW w:w="1049" w:type="dxa"/>
          </w:tcPr>
          <w:p w14:paraId="040919BC" w14:textId="6899C23A" w:rsidR="00C00263" w:rsidRPr="009166E2" w:rsidRDefault="00106C7A" w:rsidP="00C00263">
            <w:pPr>
              <w:contextualSpacing/>
              <w:rPr>
                <w:sz w:val="19"/>
                <w:szCs w:val="19"/>
              </w:rPr>
            </w:pPr>
            <w:r w:rsidRPr="009166E2">
              <w:rPr>
                <w:sz w:val="19"/>
                <w:szCs w:val="19"/>
              </w:rPr>
              <w:t>Raising</w:t>
            </w:r>
            <w:r w:rsidR="00DE7CCB" w:rsidRPr="009166E2">
              <w:rPr>
                <w:sz w:val="19"/>
                <w:szCs w:val="19"/>
              </w:rPr>
              <w:t xml:space="preserve"> details</w:t>
            </w:r>
          </w:p>
        </w:tc>
        <w:tc>
          <w:tcPr>
            <w:tcW w:w="1781" w:type="dxa"/>
            <w:shd w:val="clear" w:color="auto" w:fill="auto"/>
          </w:tcPr>
          <w:p w14:paraId="3A50FB39" w14:textId="555FC121" w:rsidR="00C00263" w:rsidRPr="009166E2" w:rsidRDefault="00106C7A" w:rsidP="001C45CB">
            <w:pPr>
              <w:contextualSpacing/>
              <w:jc w:val="left"/>
              <w:rPr>
                <w:sz w:val="19"/>
                <w:szCs w:val="19"/>
              </w:rPr>
            </w:pPr>
            <w:r w:rsidRPr="009166E2">
              <w:rPr>
                <w:sz w:val="19"/>
                <w:szCs w:val="19"/>
              </w:rPr>
              <w:t>Raising of weir pool to +60 cm: August to December 2019</w:t>
            </w:r>
          </w:p>
          <w:p w14:paraId="5580F5B7" w14:textId="4F5F4871" w:rsidR="00106C7A" w:rsidRPr="009166E2" w:rsidRDefault="00106C7A" w:rsidP="001C45CB">
            <w:pPr>
              <w:contextualSpacing/>
              <w:jc w:val="left"/>
              <w:rPr>
                <w:sz w:val="19"/>
                <w:szCs w:val="19"/>
              </w:rPr>
            </w:pPr>
          </w:p>
          <w:p w14:paraId="6C2D02EF" w14:textId="556EB401" w:rsidR="00106C7A" w:rsidRPr="009166E2" w:rsidRDefault="00106C7A" w:rsidP="001C45CB">
            <w:pPr>
              <w:contextualSpacing/>
              <w:jc w:val="left"/>
              <w:rPr>
                <w:sz w:val="19"/>
                <w:szCs w:val="19"/>
              </w:rPr>
            </w:pPr>
            <w:r w:rsidRPr="009166E2">
              <w:rPr>
                <w:sz w:val="19"/>
                <w:szCs w:val="19"/>
              </w:rPr>
              <w:t>Modelled use: 509 ML</w:t>
            </w:r>
          </w:p>
        </w:tc>
        <w:tc>
          <w:tcPr>
            <w:tcW w:w="2340" w:type="dxa"/>
            <w:shd w:val="clear" w:color="auto" w:fill="auto"/>
          </w:tcPr>
          <w:p w14:paraId="427F8AF2" w14:textId="77777777" w:rsidR="00106C7A" w:rsidRPr="009166E2" w:rsidRDefault="00106C7A" w:rsidP="00106C7A">
            <w:pPr>
              <w:contextualSpacing/>
              <w:jc w:val="left"/>
              <w:rPr>
                <w:sz w:val="19"/>
                <w:szCs w:val="19"/>
              </w:rPr>
            </w:pPr>
            <w:r w:rsidRPr="009166E2">
              <w:rPr>
                <w:sz w:val="19"/>
                <w:szCs w:val="19"/>
              </w:rPr>
              <w:t>Raising of weir pool to +95 cm: September to December 2019</w:t>
            </w:r>
          </w:p>
          <w:p w14:paraId="32022B99" w14:textId="77777777" w:rsidR="00106C7A" w:rsidRPr="009166E2" w:rsidRDefault="00106C7A" w:rsidP="00106C7A">
            <w:pPr>
              <w:contextualSpacing/>
              <w:jc w:val="left"/>
              <w:rPr>
                <w:sz w:val="19"/>
                <w:szCs w:val="19"/>
              </w:rPr>
            </w:pPr>
          </w:p>
          <w:p w14:paraId="15D66929" w14:textId="483BE086" w:rsidR="00C00263" w:rsidRPr="009166E2" w:rsidRDefault="00106C7A" w:rsidP="001C45CB">
            <w:pPr>
              <w:contextualSpacing/>
              <w:jc w:val="left"/>
              <w:rPr>
                <w:sz w:val="19"/>
                <w:szCs w:val="19"/>
              </w:rPr>
            </w:pPr>
            <w:r w:rsidRPr="009166E2">
              <w:rPr>
                <w:sz w:val="19"/>
                <w:szCs w:val="19"/>
              </w:rPr>
              <w:t>Modelled use: 1,738 ML</w:t>
            </w:r>
          </w:p>
        </w:tc>
        <w:tc>
          <w:tcPr>
            <w:tcW w:w="1694" w:type="dxa"/>
            <w:shd w:val="clear" w:color="auto" w:fill="auto"/>
          </w:tcPr>
          <w:p w14:paraId="36BB3D43" w14:textId="77777777" w:rsidR="00106C7A" w:rsidRPr="009166E2" w:rsidRDefault="00106C7A" w:rsidP="00106C7A">
            <w:pPr>
              <w:contextualSpacing/>
              <w:jc w:val="left"/>
              <w:rPr>
                <w:sz w:val="19"/>
                <w:szCs w:val="19"/>
              </w:rPr>
            </w:pPr>
            <w:r w:rsidRPr="009166E2">
              <w:rPr>
                <w:sz w:val="19"/>
                <w:szCs w:val="19"/>
              </w:rPr>
              <w:t>Raising of weir pool to +20 cm: August 2019, May 2020</w:t>
            </w:r>
          </w:p>
          <w:p w14:paraId="482A11E6" w14:textId="77777777" w:rsidR="00106C7A" w:rsidRPr="009166E2" w:rsidRDefault="00106C7A" w:rsidP="00106C7A">
            <w:pPr>
              <w:contextualSpacing/>
              <w:jc w:val="left"/>
              <w:rPr>
                <w:sz w:val="19"/>
                <w:szCs w:val="19"/>
              </w:rPr>
            </w:pPr>
          </w:p>
          <w:p w14:paraId="5D8D17BE" w14:textId="57968DB9" w:rsidR="00C00263" w:rsidRPr="009166E2" w:rsidRDefault="00106C7A" w:rsidP="00106C7A">
            <w:pPr>
              <w:contextualSpacing/>
              <w:jc w:val="left"/>
              <w:rPr>
                <w:sz w:val="19"/>
                <w:szCs w:val="19"/>
              </w:rPr>
            </w:pPr>
            <w:r w:rsidRPr="009166E2">
              <w:rPr>
                <w:sz w:val="19"/>
                <w:szCs w:val="19"/>
              </w:rPr>
              <w:t>Modelled use: N/A*</w:t>
            </w:r>
          </w:p>
        </w:tc>
        <w:tc>
          <w:tcPr>
            <w:tcW w:w="2152" w:type="dxa"/>
            <w:shd w:val="clear" w:color="auto" w:fill="auto"/>
          </w:tcPr>
          <w:p w14:paraId="6939EB1A" w14:textId="77777777" w:rsidR="00106C7A" w:rsidRPr="009166E2" w:rsidRDefault="00106C7A" w:rsidP="00106C7A">
            <w:pPr>
              <w:contextualSpacing/>
              <w:jc w:val="left"/>
              <w:rPr>
                <w:sz w:val="19"/>
                <w:szCs w:val="19"/>
              </w:rPr>
            </w:pPr>
            <w:r w:rsidRPr="009166E2">
              <w:rPr>
                <w:sz w:val="19"/>
                <w:szCs w:val="19"/>
              </w:rPr>
              <w:t>Raising of weir pool to +60 cm: August to December 2019</w:t>
            </w:r>
          </w:p>
          <w:p w14:paraId="6DFD2A45" w14:textId="77777777" w:rsidR="00106C7A" w:rsidRPr="009166E2" w:rsidRDefault="00106C7A" w:rsidP="00106C7A">
            <w:pPr>
              <w:contextualSpacing/>
              <w:jc w:val="left"/>
              <w:rPr>
                <w:sz w:val="19"/>
                <w:szCs w:val="19"/>
              </w:rPr>
            </w:pPr>
          </w:p>
          <w:p w14:paraId="08D4C9AA" w14:textId="3F7BFBC9" w:rsidR="00C00263" w:rsidRPr="009166E2" w:rsidRDefault="00106C7A" w:rsidP="00106C7A">
            <w:pPr>
              <w:contextualSpacing/>
              <w:jc w:val="left"/>
              <w:rPr>
                <w:sz w:val="19"/>
                <w:szCs w:val="19"/>
              </w:rPr>
            </w:pPr>
            <w:r w:rsidRPr="009166E2">
              <w:rPr>
                <w:sz w:val="19"/>
                <w:szCs w:val="19"/>
              </w:rPr>
              <w:t>Modelled use: 3,238 ML</w:t>
            </w:r>
          </w:p>
        </w:tc>
      </w:tr>
      <w:tr w:rsidR="00DE7CCB" w:rsidRPr="009166E2" w14:paraId="619E4ECD" w14:textId="77777777" w:rsidTr="0084014F">
        <w:trPr>
          <w:trHeight w:val="397"/>
        </w:trPr>
        <w:tc>
          <w:tcPr>
            <w:tcW w:w="1049" w:type="dxa"/>
          </w:tcPr>
          <w:p w14:paraId="7CA68DD1" w14:textId="058B7F73" w:rsidR="00DE7CCB" w:rsidRPr="009166E2" w:rsidRDefault="00DE7CCB" w:rsidP="00C00263">
            <w:pPr>
              <w:contextualSpacing/>
              <w:rPr>
                <w:sz w:val="19"/>
                <w:szCs w:val="19"/>
              </w:rPr>
            </w:pPr>
            <w:r w:rsidRPr="009166E2">
              <w:rPr>
                <w:sz w:val="19"/>
                <w:szCs w:val="19"/>
              </w:rPr>
              <w:t>Aims of raising</w:t>
            </w:r>
          </w:p>
        </w:tc>
        <w:tc>
          <w:tcPr>
            <w:tcW w:w="1781" w:type="dxa"/>
            <w:shd w:val="clear" w:color="auto" w:fill="auto"/>
          </w:tcPr>
          <w:p w14:paraId="1C9B8330" w14:textId="59148D13" w:rsidR="00DE7CCB" w:rsidRPr="009166E2" w:rsidRDefault="00DE7CCB" w:rsidP="001C45CB">
            <w:pPr>
              <w:contextualSpacing/>
              <w:jc w:val="left"/>
              <w:rPr>
                <w:sz w:val="19"/>
                <w:szCs w:val="19"/>
              </w:rPr>
            </w:pPr>
            <w:r w:rsidRPr="009166E2">
              <w:rPr>
                <w:sz w:val="19"/>
                <w:szCs w:val="19"/>
              </w:rPr>
              <w:t xml:space="preserve">• </w:t>
            </w:r>
            <w:r w:rsidR="009166E2" w:rsidRPr="009166E2">
              <w:rPr>
                <w:sz w:val="19"/>
                <w:szCs w:val="19"/>
              </w:rPr>
              <w:t>P</w:t>
            </w:r>
            <w:r w:rsidRPr="009166E2">
              <w:rPr>
                <w:sz w:val="19"/>
                <w:szCs w:val="19"/>
              </w:rPr>
              <w:t xml:space="preserve">rovide fast flowing habitat in off-channel creeks for large-bodied native fish species such as Murray cod, golden </w:t>
            </w:r>
            <w:proofErr w:type="gramStart"/>
            <w:r w:rsidRPr="009166E2">
              <w:rPr>
                <w:sz w:val="19"/>
                <w:szCs w:val="19"/>
              </w:rPr>
              <w:t>perch</w:t>
            </w:r>
            <w:proofErr w:type="gramEnd"/>
            <w:r w:rsidRPr="009166E2">
              <w:rPr>
                <w:sz w:val="19"/>
                <w:szCs w:val="19"/>
              </w:rPr>
              <w:t xml:space="preserve"> and silver perch.</w:t>
            </w:r>
          </w:p>
        </w:tc>
        <w:tc>
          <w:tcPr>
            <w:tcW w:w="2340" w:type="dxa"/>
            <w:shd w:val="clear" w:color="auto" w:fill="auto"/>
          </w:tcPr>
          <w:p w14:paraId="73648FA5" w14:textId="37338B8E" w:rsidR="00DE7CCB" w:rsidRPr="009166E2" w:rsidRDefault="00DE7CCB" w:rsidP="00DE7CCB">
            <w:pPr>
              <w:contextualSpacing/>
              <w:jc w:val="left"/>
              <w:rPr>
                <w:sz w:val="19"/>
                <w:szCs w:val="19"/>
              </w:rPr>
            </w:pPr>
            <w:r w:rsidRPr="009166E2">
              <w:rPr>
                <w:sz w:val="19"/>
                <w:szCs w:val="19"/>
              </w:rPr>
              <w:t xml:space="preserve">• </w:t>
            </w:r>
            <w:r w:rsidR="009166E2" w:rsidRPr="009166E2">
              <w:rPr>
                <w:sz w:val="19"/>
                <w:szCs w:val="19"/>
              </w:rPr>
              <w:t>P</w:t>
            </w:r>
            <w:r w:rsidRPr="009166E2">
              <w:rPr>
                <w:sz w:val="19"/>
                <w:szCs w:val="19"/>
              </w:rPr>
              <w:t xml:space="preserve">rovide temporary flowing water habitat in off-channel creeks to support dispersal, spawning and recruitment opportunities for native </w:t>
            </w:r>
            <w:proofErr w:type="gramStart"/>
            <w:r w:rsidRPr="009166E2">
              <w:rPr>
                <w:sz w:val="19"/>
                <w:szCs w:val="19"/>
              </w:rPr>
              <w:t>fish</w:t>
            </w:r>
            <w:r w:rsidR="0084014F">
              <w:rPr>
                <w:sz w:val="19"/>
                <w:szCs w:val="19"/>
              </w:rPr>
              <w:t>;</w:t>
            </w:r>
            <w:proofErr w:type="gramEnd"/>
          </w:p>
          <w:p w14:paraId="73E7AE31" w14:textId="6E65C185" w:rsidR="00DE7CCB" w:rsidRPr="009166E2" w:rsidRDefault="00DE7CCB" w:rsidP="00DE7CCB">
            <w:pPr>
              <w:contextualSpacing/>
              <w:jc w:val="left"/>
              <w:rPr>
                <w:sz w:val="19"/>
                <w:szCs w:val="19"/>
              </w:rPr>
            </w:pPr>
            <w:r w:rsidRPr="009166E2">
              <w:rPr>
                <w:sz w:val="19"/>
                <w:szCs w:val="19"/>
              </w:rPr>
              <w:t xml:space="preserve">• </w:t>
            </w:r>
            <w:r w:rsidR="009166E2" w:rsidRPr="009166E2">
              <w:rPr>
                <w:sz w:val="19"/>
                <w:szCs w:val="19"/>
              </w:rPr>
              <w:t>G</w:t>
            </w:r>
            <w:r w:rsidRPr="009166E2">
              <w:rPr>
                <w:sz w:val="19"/>
                <w:szCs w:val="19"/>
              </w:rPr>
              <w:t>enerate improved biofilm diversity (more types of algae), thereby increasing their value as a food source for micro/macro invertebrates and fish</w:t>
            </w:r>
            <w:r w:rsidR="0084014F">
              <w:rPr>
                <w:sz w:val="19"/>
                <w:szCs w:val="19"/>
              </w:rPr>
              <w:t>; and</w:t>
            </w:r>
          </w:p>
          <w:p w14:paraId="15049072" w14:textId="249412C0" w:rsidR="00DE7CCB" w:rsidRPr="009166E2" w:rsidRDefault="00DE7CCB" w:rsidP="00DE7CCB">
            <w:pPr>
              <w:contextualSpacing/>
              <w:jc w:val="left"/>
              <w:rPr>
                <w:sz w:val="19"/>
                <w:szCs w:val="19"/>
              </w:rPr>
            </w:pPr>
            <w:r w:rsidRPr="009166E2">
              <w:rPr>
                <w:sz w:val="19"/>
                <w:szCs w:val="19"/>
              </w:rPr>
              <w:t xml:space="preserve">• </w:t>
            </w:r>
            <w:r w:rsidR="009166E2" w:rsidRPr="009166E2">
              <w:rPr>
                <w:sz w:val="19"/>
                <w:szCs w:val="19"/>
              </w:rPr>
              <w:t>P</w:t>
            </w:r>
            <w:r w:rsidRPr="009166E2">
              <w:rPr>
                <w:sz w:val="19"/>
                <w:szCs w:val="19"/>
              </w:rPr>
              <w:t>rovide spring flows to cue medium bodied fish spawning and movement.</w:t>
            </w:r>
          </w:p>
        </w:tc>
        <w:tc>
          <w:tcPr>
            <w:tcW w:w="1694" w:type="dxa"/>
            <w:shd w:val="clear" w:color="auto" w:fill="auto"/>
          </w:tcPr>
          <w:p w14:paraId="0F7807D0" w14:textId="6EC52078" w:rsidR="00DE7CCB" w:rsidRPr="009166E2" w:rsidRDefault="00DE7CCB" w:rsidP="00DE7CCB">
            <w:pPr>
              <w:contextualSpacing/>
              <w:jc w:val="left"/>
              <w:rPr>
                <w:sz w:val="19"/>
                <w:szCs w:val="19"/>
              </w:rPr>
            </w:pPr>
            <w:r w:rsidRPr="009166E2">
              <w:rPr>
                <w:sz w:val="19"/>
                <w:szCs w:val="19"/>
              </w:rPr>
              <w:t>For anabranches:</w:t>
            </w:r>
          </w:p>
          <w:p w14:paraId="0AD0773B" w14:textId="22F6F8F4" w:rsidR="00DE7CCB" w:rsidRPr="009166E2" w:rsidRDefault="00DE7CCB" w:rsidP="00DE7CCB">
            <w:pPr>
              <w:contextualSpacing/>
              <w:jc w:val="left"/>
              <w:rPr>
                <w:sz w:val="19"/>
                <w:szCs w:val="19"/>
              </w:rPr>
            </w:pPr>
            <w:r w:rsidRPr="009166E2">
              <w:rPr>
                <w:sz w:val="19"/>
                <w:szCs w:val="19"/>
              </w:rPr>
              <w:t xml:space="preserve">• </w:t>
            </w:r>
            <w:r w:rsidR="009166E2" w:rsidRPr="009166E2">
              <w:rPr>
                <w:sz w:val="19"/>
                <w:szCs w:val="19"/>
              </w:rPr>
              <w:t>P</w:t>
            </w:r>
            <w:r w:rsidRPr="009166E2">
              <w:rPr>
                <w:sz w:val="19"/>
                <w:szCs w:val="19"/>
              </w:rPr>
              <w:t xml:space="preserve">rovide refuge </w:t>
            </w:r>
            <w:proofErr w:type="gramStart"/>
            <w:r w:rsidRPr="009166E2">
              <w:rPr>
                <w:sz w:val="19"/>
                <w:szCs w:val="19"/>
              </w:rPr>
              <w:t>habitat</w:t>
            </w:r>
            <w:r w:rsidR="0084014F">
              <w:rPr>
                <w:sz w:val="19"/>
                <w:szCs w:val="19"/>
              </w:rPr>
              <w:t>;</w:t>
            </w:r>
            <w:proofErr w:type="gramEnd"/>
            <w:r w:rsidRPr="009166E2">
              <w:rPr>
                <w:sz w:val="19"/>
                <w:szCs w:val="19"/>
              </w:rPr>
              <w:t xml:space="preserve"> </w:t>
            </w:r>
          </w:p>
          <w:p w14:paraId="7A7ABC8A" w14:textId="7F3B59F5" w:rsidR="00DE7CCB" w:rsidRPr="009166E2" w:rsidRDefault="00DE7CCB" w:rsidP="00DE7CCB">
            <w:pPr>
              <w:contextualSpacing/>
              <w:jc w:val="left"/>
              <w:rPr>
                <w:sz w:val="19"/>
                <w:szCs w:val="19"/>
              </w:rPr>
            </w:pPr>
            <w:r w:rsidRPr="009166E2">
              <w:rPr>
                <w:sz w:val="19"/>
                <w:szCs w:val="19"/>
              </w:rPr>
              <w:t xml:space="preserve">• </w:t>
            </w:r>
            <w:r w:rsidR="009166E2" w:rsidRPr="009166E2">
              <w:rPr>
                <w:sz w:val="19"/>
                <w:szCs w:val="19"/>
              </w:rPr>
              <w:t>M</w:t>
            </w:r>
            <w:r w:rsidRPr="009166E2">
              <w:rPr>
                <w:sz w:val="19"/>
                <w:szCs w:val="19"/>
              </w:rPr>
              <w:t>aintain fluctuating inundation levels on the littoral zone to improve wetland productivity</w:t>
            </w:r>
            <w:r w:rsidR="0084014F">
              <w:rPr>
                <w:sz w:val="19"/>
                <w:szCs w:val="19"/>
              </w:rPr>
              <w:t>; and</w:t>
            </w:r>
            <w:r w:rsidRPr="009166E2">
              <w:rPr>
                <w:sz w:val="19"/>
                <w:szCs w:val="19"/>
              </w:rPr>
              <w:t xml:space="preserve"> </w:t>
            </w:r>
          </w:p>
          <w:p w14:paraId="6B262E3E" w14:textId="51312E60" w:rsidR="00DE7CCB" w:rsidRPr="009166E2" w:rsidRDefault="00DE7CCB" w:rsidP="00DE7CCB">
            <w:pPr>
              <w:contextualSpacing/>
              <w:jc w:val="left"/>
              <w:rPr>
                <w:sz w:val="19"/>
                <w:szCs w:val="19"/>
              </w:rPr>
            </w:pPr>
            <w:r w:rsidRPr="009166E2">
              <w:rPr>
                <w:sz w:val="19"/>
                <w:szCs w:val="19"/>
              </w:rPr>
              <w:t xml:space="preserve">• </w:t>
            </w:r>
            <w:r w:rsidR="009166E2" w:rsidRPr="009166E2">
              <w:rPr>
                <w:sz w:val="19"/>
                <w:szCs w:val="19"/>
              </w:rPr>
              <w:t>C</w:t>
            </w:r>
            <w:r w:rsidRPr="009166E2">
              <w:rPr>
                <w:sz w:val="19"/>
                <w:szCs w:val="19"/>
              </w:rPr>
              <w:t>ontrol river red gum sapling encroachment</w:t>
            </w:r>
            <w:r w:rsidR="009166E2">
              <w:rPr>
                <w:sz w:val="19"/>
                <w:szCs w:val="19"/>
              </w:rPr>
              <w:t>.</w:t>
            </w:r>
          </w:p>
        </w:tc>
        <w:tc>
          <w:tcPr>
            <w:tcW w:w="2152" w:type="dxa"/>
            <w:shd w:val="clear" w:color="auto" w:fill="auto"/>
          </w:tcPr>
          <w:p w14:paraId="6AB53B8A" w14:textId="135EAED2" w:rsidR="00DE7CCB" w:rsidRPr="009166E2" w:rsidRDefault="009166E2" w:rsidP="00DE7CCB">
            <w:pPr>
              <w:contextualSpacing/>
              <w:jc w:val="left"/>
              <w:rPr>
                <w:sz w:val="19"/>
                <w:szCs w:val="19"/>
              </w:rPr>
            </w:pPr>
            <w:r w:rsidRPr="009166E2">
              <w:rPr>
                <w:sz w:val="19"/>
                <w:szCs w:val="19"/>
              </w:rPr>
              <w:t>I</w:t>
            </w:r>
            <w:r w:rsidR="00DE7CCB" w:rsidRPr="009166E2">
              <w:rPr>
                <w:sz w:val="19"/>
                <w:szCs w:val="19"/>
              </w:rPr>
              <w:t xml:space="preserve">nundate high value ecological and cultural wetlands including </w:t>
            </w:r>
            <w:proofErr w:type="spellStart"/>
            <w:r w:rsidR="00DE7CCB" w:rsidRPr="009166E2">
              <w:rPr>
                <w:sz w:val="19"/>
                <w:szCs w:val="19"/>
              </w:rPr>
              <w:t>Margooya</w:t>
            </w:r>
            <w:proofErr w:type="spellEnd"/>
            <w:r w:rsidR="00DE7CCB" w:rsidRPr="009166E2">
              <w:rPr>
                <w:sz w:val="19"/>
                <w:szCs w:val="19"/>
              </w:rPr>
              <w:t xml:space="preserve"> Lagoon, </w:t>
            </w:r>
            <w:proofErr w:type="spellStart"/>
            <w:r w:rsidR="00DE7CCB" w:rsidRPr="009166E2">
              <w:rPr>
                <w:sz w:val="19"/>
                <w:szCs w:val="19"/>
              </w:rPr>
              <w:t>Walshes</w:t>
            </w:r>
            <w:proofErr w:type="spellEnd"/>
            <w:r w:rsidR="00DE7CCB" w:rsidRPr="009166E2">
              <w:rPr>
                <w:sz w:val="19"/>
                <w:szCs w:val="19"/>
              </w:rPr>
              <w:t xml:space="preserve"> Bend and </w:t>
            </w:r>
            <w:proofErr w:type="spellStart"/>
            <w:r w:rsidR="00DE7CCB" w:rsidRPr="009166E2">
              <w:rPr>
                <w:sz w:val="19"/>
                <w:szCs w:val="19"/>
              </w:rPr>
              <w:t>Bumbang</w:t>
            </w:r>
            <w:proofErr w:type="spellEnd"/>
            <w:r w:rsidR="00DE7CCB" w:rsidRPr="009166E2">
              <w:rPr>
                <w:sz w:val="19"/>
                <w:szCs w:val="19"/>
              </w:rPr>
              <w:t xml:space="preserve"> Island, </w:t>
            </w:r>
            <w:proofErr w:type="gramStart"/>
            <w:r w:rsidR="00DE7CCB" w:rsidRPr="009166E2">
              <w:rPr>
                <w:sz w:val="19"/>
                <w:szCs w:val="19"/>
              </w:rPr>
              <w:t>in order to</w:t>
            </w:r>
            <w:proofErr w:type="gramEnd"/>
            <w:r w:rsidR="00DE7CCB" w:rsidRPr="009166E2">
              <w:rPr>
                <w:sz w:val="19"/>
                <w:szCs w:val="19"/>
              </w:rPr>
              <w:t xml:space="preserve">: </w:t>
            </w:r>
          </w:p>
          <w:p w14:paraId="45BA14A5" w14:textId="253485A3" w:rsidR="00DE7CCB" w:rsidRPr="009166E2" w:rsidRDefault="00DE7CCB" w:rsidP="00DE7CCB">
            <w:pPr>
              <w:contextualSpacing/>
              <w:jc w:val="left"/>
              <w:rPr>
                <w:sz w:val="19"/>
                <w:szCs w:val="19"/>
              </w:rPr>
            </w:pPr>
            <w:r w:rsidRPr="009166E2">
              <w:rPr>
                <w:sz w:val="19"/>
                <w:szCs w:val="19"/>
              </w:rPr>
              <w:t xml:space="preserve">• </w:t>
            </w:r>
            <w:r w:rsidR="009166E2" w:rsidRPr="009166E2">
              <w:rPr>
                <w:sz w:val="19"/>
                <w:szCs w:val="19"/>
              </w:rPr>
              <w:t>E</w:t>
            </w:r>
            <w:r w:rsidRPr="009166E2">
              <w:rPr>
                <w:sz w:val="19"/>
                <w:szCs w:val="19"/>
              </w:rPr>
              <w:t>nable feeding, breeding and recruitment opportunities for flood-dependent organisms</w:t>
            </w:r>
            <w:r w:rsidR="0084014F">
              <w:rPr>
                <w:sz w:val="19"/>
                <w:szCs w:val="19"/>
              </w:rPr>
              <w:t>; and</w:t>
            </w:r>
          </w:p>
          <w:p w14:paraId="32C8EFA5" w14:textId="49D4D4B0" w:rsidR="00DE7CCB" w:rsidRPr="009166E2" w:rsidRDefault="00DE7CCB" w:rsidP="00DE7CCB">
            <w:pPr>
              <w:contextualSpacing/>
              <w:jc w:val="left"/>
              <w:rPr>
                <w:sz w:val="19"/>
                <w:szCs w:val="19"/>
              </w:rPr>
            </w:pPr>
            <w:r w:rsidRPr="009166E2">
              <w:rPr>
                <w:sz w:val="19"/>
                <w:szCs w:val="19"/>
              </w:rPr>
              <w:t xml:space="preserve">• </w:t>
            </w:r>
            <w:r w:rsidR="009166E2" w:rsidRPr="009166E2">
              <w:rPr>
                <w:sz w:val="19"/>
                <w:szCs w:val="19"/>
              </w:rPr>
              <w:t>P</w:t>
            </w:r>
            <w:r w:rsidRPr="009166E2">
              <w:rPr>
                <w:sz w:val="19"/>
                <w:szCs w:val="19"/>
              </w:rPr>
              <w:t xml:space="preserve">romote cycling of carbon and nutrients within the river, </w:t>
            </w:r>
            <w:proofErr w:type="gramStart"/>
            <w:r w:rsidRPr="009166E2">
              <w:rPr>
                <w:sz w:val="19"/>
                <w:szCs w:val="19"/>
              </w:rPr>
              <w:t>floodplains</w:t>
            </w:r>
            <w:proofErr w:type="gramEnd"/>
            <w:r w:rsidRPr="009166E2">
              <w:rPr>
                <w:sz w:val="19"/>
                <w:szCs w:val="19"/>
              </w:rPr>
              <w:t xml:space="preserve"> and wetlands.</w:t>
            </w:r>
          </w:p>
        </w:tc>
      </w:tr>
      <w:tr w:rsidR="00106C7A" w:rsidRPr="009166E2" w14:paraId="155849F8" w14:textId="77777777" w:rsidTr="0084014F">
        <w:trPr>
          <w:trHeight w:val="397"/>
        </w:trPr>
        <w:tc>
          <w:tcPr>
            <w:tcW w:w="1049" w:type="dxa"/>
          </w:tcPr>
          <w:p w14:paraId="2349DD32" w14:textId="4D6D65C6" w:rsidR="00106C7A" w:rsidRPr="009166E2" w:rsidRDefault="00106C7A" w:rsidP="00C00263">
            <w:pPr>
              <w:contextualSpacing/>
              <w:rPr>
                <w:sz w:val="19"/>
                <w:szCs w:val="19"/>
              </w:rPr>
            </w:pPr>
            <w:r w:rsidRPr="009166E2">
              <w:rPr>
                <w:sz w:val="19"/>
                <w:szCs w:val="19"/>
              </w:rPr>
              <w:t>Lowering</w:t>
            </w:r>
            <w:r w:rsidR="00DE7CCB" w:rsidRPr="009166E2">
              <w:rPr>
                <w:sz w:val="19"/>
                <w:szCs w:val="19"/>
              </w:rPr>
              <w:t xml:space="preserve"> details</w:t>
            </w:r>
          </w:p>
        </w:tc>
        <w:tc>
          <w:tcPr>
            <w:tcW w:w="1781" w:type="dxa"/>
            <w:shd w:val="clear" w:color="auto" w:fill="auto"/>
          </w:tcPr>
          <w:p w14:paraId="32A1FBC7" w14:textId="77777777" w:rsidR="00106C7A" w:rsidRPr="009166E2" w:rsidRDefault="00106C7A" w:rsidP="00106C7A">
            <w:pPr>
              <w:contextualSpacing/>
              <w:jc w:val="left"/>
              <w:rPr>
                <w:sz w:val="19"/>
                <w:szCs w:val="19"/>
              </w:rPr>
            </w:pPr>
            <w:r w:rsidRPr="009166E2">
              <w:rPr>
                <w:sz w:val="19"/>
                <w:szCs w:val="19"/>
              </w:rPr>
              <w:t>Lowering of weir pool to -55 cm: December 2019 to April 2020</w:t>
            </w:r>
          </w:p>
          <w:p w14:paraId="0B44E1A7" w14:textId="77777777" w:rsidR="00106C7A" w:rsidRPr="009166E2" w:rsidRDefault="00106C7A" w:rsidP="00106C7A">
            <w:pPr>
              <w:contextualSpacing/>
              <w:jc w:val="left"/>
              <w:rPr>
                <w:sz w:val="19"/>
                <w:szCs w:val="19"/>
              </w:rPr>
            </w:pPr>
          </w:p>
          <w:p w14:paraId="63B78E32" w14:textId="0316A8AC" w:rsidR="00106C7A" w:rsidRPr="009166E2" w:rsidRDefault="00106C7A" w:rsidP="00106C7A">
            <w:pPr>
              <w:contextualSpacing/>
              <w:jc w:val="left"/>
              <w:rPr>
                <w:sz w:val="19"/>
                <w:szCs w:val="19"/>
              </w:rPr>
            </w:pPr>
            <w:r w:rsidRPr="009166E2">
              <w:rPr>
                <w:sz w:val="19"/>
                <w:szCs w:val="19"/>
              </w:rPr>
              <w:t>Modelled gain: 357 ML</w:t>
            </w:r>
          </w:p>
        </w:tc>
        <w:tc>
          <w:tcPr>
            <w:tcW w:w="2340" w:type="dxa"/>
            <w:shd w:val="clear" w:color="auto" w:fill="auto"/>
          </w:tcPr>
          <w:p w14:paraId="7FB01CEC" w14:textId="77777777" w:rsidR="00106C7A" w:rsidRPr="009166E2" w:rsidRDefault="00106C7A" w:rsidP="00106C7A">
            <w:pPr>
              <w:contextualSpacing/>
              <w:jc w:val="left"/>
              <w:rPr>
                <w:sz w:val="19"/>
                <w:szCs w:val="19"/>
              </w:rPr>
            </w:pPr>
            <w:r w:rsidRPr="009166E2">
              <w:rPr>
                <w:sz w:val="19"/>
                <w:szCs w:val="19"/>
              </w:rPr>
              <w:t>Lowering of weir pool to -100 cm: January to May 2020</w:t>
            </w:r>
          </w:p>
          <w:p w14:paraId="2252812C" w14:textId="77777777" w:rsidR="00106C7A" w:rsidRPr="009166E2" w:rsidRDefault="00106C7A" w:rsidP="00106C7A">
            <w:pPr>
              <w:contextualSpacing/>
              <w:jc w:val="left"/>
              <w:rPr>
                <w:sz w:val="19"/>
                <w:szCs w:val="19"/>
              </w:rPr>
            </w:pPr>
          </w:p>
          <w:p w14:paraId="13D70100" w14:textId="594DC9BE" w:rsidR="00106C7A" w:rsidRPr="009166E2" w:rsidRDefault="00106C7A" w:rsidP="00106C7A">
            <w:pPr>
              <w:contextualSpacing/>
              <w:jc w:val="left"/>
              <w:rPr>
                <w:sz w:val="19"/>
                <w:szCs w:val="19"/>
              </w:rPr>
            </w:pPr>
            <w:r w:rsidRPr="009166E2">
              <w:rPr>
                <w:sz w:val="19"/>
                <w:szCs w:val="19"/>
              </w:rPr>
              <w:t>Modelled gain: 2,335 ML</w:t>
            </w:r>
          </w:p>
        </w:tc>
        <w:tc>
          <w:tcPr>
            <w:tcW w:w="1694" w:type="dxa"/>
            <w:shd w:val="clear" w:color="auto" w:fill="auto"/>
          </w:tcPr>
          <w:p w14:paraId="184159AA" w14:textId="77777777" w:rsidR="00106C7A" w:rsidRPr="009166E2" w:rsidRDefault="00106C7A" w:rsidP="00106C7A">
            <w:pPr>
              <w:contextualSpacing/>
              <w:jc w:val="left"/>
              <w:rPr>
                <w:sz w:val="19"/>
                <w:szCs w:val="19"/>
              </w:rPr>
            </w:pPr>
            <w:r w:rsidRPr="009166E2">
              <w:rPr>
                <w:sz w:val="19"/>
                <w:szCs w:val="19"/>
              </w:rPr>
              <w:t>Lowering of weir pool to -10 cm: February to May 2020</w:t>
            </w:r>
          </w:p>
          <w:p w14:paraId="1E1987DB" w14:textId="77777777" w:rsidR="00106C7A" w:rsidRPr="009166E2" w:rsidRDefault="00106C7A" w:rsidP="00106C7A">
            <w:pPr>
              <w:contextualSpacing/>
              <w:jc w:val="left"/>
              <w:rPr>
                <w:sz w:val="19"/>
                <w:szCs w:val="19"/>
              </w:rPr>
            </w:pPr>
          </w:p>
          <w:p w14:paraId="3A4E1D4A" w14:textId="697947FF" w:rsidR="00106C7A" w:rsidRPr="009166E2" w:rsidRDefault="00106C7A" w:rsidP="00106C7A">
            <w:pPr>
              <w:contextualSpacing/>
              <w:jc w:val="left"/>
              <w:rPr>
                <w:sz w:val="19"/>
                <w:szCs w:val="19"/>
              </w:rPr>
            </w:pPr>
            <w:r w:rsidRPr="009166E2">
              <w:rPr>
                <w:sz w:val="19"/>
                <w:szCs w:val="19"/>
              </w:rPr>
              <w:t>Modelled gain: 1,450 ML</w:t>
            </w:r>
          </w:p>
        </w:tc>
        <w:tc>
          <w:tcPr>
            <w:tcW w:w="2152" w:type="dxa"/>
            <w:shd w:val="clear" w:color="auto" w:fill="auto"/>
          </w:tcPr>
          <w:p w14:paraId="6CCBE789" w14:textId="77777777" w:rsidR="00106C7A" w:rsidRPr="009166E2" w:rsidRDefault="00106C7A" w:rsidP="00106C7A">
            <w:pPr>
              <w:contextualSpacing/>
              <w:jc w:val="left"/>
              <w:rPr>
                <w:sz w:val="19"/>
                <w:szCs w:val="19"/>
              </w:rPr>
            </w:pPr>
            <w:r w:rsidRPr="009166E2">
              <w:rPr>
                <w:sz w:val="19"/>
                <w:szCs w:val="19"/>
              </w:rPr>
              <w:t>Lowering of weir pool to -30 cm: June-July 2019 and April-May 2020</w:t>
            </w:r>
          </w:p>
          <w:p w14:paraId="657E742B" w14:textId="77777777" w:rsidR="00106C7A" w:rsidRPr="009166E2" w:rsidRDefault="00106C7A" w:rsidP="00106C7A">
            <w:pPr>
              <w:contextualSpacing/>
              <w:jc w:val="left"/>
              <w:rPr>
                <w:sz w:val="19"/>
                <w:szCs w:val="19"/>
              </w:rPr>
            </w:pPr>
          </w:p>
          <w:p w14:paraId="61C673E0" w14:textId="3C5CE1A1" w:rsidR="00106C7A" w:rsidRPr="009166E2" w:rsidRDefault="00106C7A" w:rsidP="00106C7A">
            <w:pPr>
              <w:contextualSpacing/>
              <w:jc w:val="left"/>
              <w:rPr>
                <w:sz w:val="19"/>
                <w:szCs w:val="19"/>
              </w:rPr>
            </w:pPr>
            <w:r w:rsidRPr="009166E2">
              <w:rPr>
                <w:sz w:val="19"/>
                <w:szCs w:val="19"/>
              </w:rPr>
              <w:t>Modelled gain: 568 ML</w:t>
            </w:r>
          </w:p>
        </w:tc>
      </w:tr>
      <w:tr w:rsidR="00DE7CCB" w:rsidRPr="009166E2" w14:paraId="70FEF869" w14:textId="77777777" w:rsidTr="009166E2">
        <w:trPr>
          <w:trHeight w:val="397"/>
        </w:trPr>
        <w:tc>
          <w:tcPr>
            <w:tcW w:w="1049" w:type="dxa"/>
          </w:tcPr>
          <w:p w14:paraId="2098AE9D" w14:textId="7B07397F" w:rsidR="00DE7CCB" w:rsidRPr="009166E2" w:rsidRDefault="00DE7CCB" w:rsidP="00C00263">
            <w:pPr>
              <w:contextualSpacing/>
              <w:rPr>
                <w:sz w:val="19"/>
                <w:szCs w:val="19"/>
              </w:rPr>
            </w:pPr>
            <w:r w:rsidRPr="009166E2">
              <w:rPr>
                <w:sz w:val="19"/>
                <w:szCs w:val="19"/>
              </w:rPr>
              <w:t>Aims of lowering</w:t>
            </w:r>
          </w:p>
        </w:tc>
        <w:tc>
          <w:tcPr>
            <w:tcW w:w="7967" w:type="dxa"/>
            <w:gridSpan w:val="4"/>
            <w:shd w:val="clear" w:color="auto" w:fill="auto"/>
          </w:tcPr>
          <w:p w14:paraId="1836C264" w14:textId="35271E90" w:rsidR="00DE7CCB" w:rsidRPr="009166E2" w:rsidRDefault="00DE7CCB" w:rsidP="00204CCB">
            <w:pPr>
              <w:pStyle w:val="ListParagraph"/>
              <w:numPr>
                <w:ilvl w:val="0"/>
                <w:numId w:val="13"/>
              </w:numPr>
              <w:jc w:val="left"/>
              <w:rPr>
                <w:sz w:val="19"/>
                <w:szCs w:val="19"/>
              </w:rPr>
            </w:pPr>
            <w:r w:rsidRPr="009166E2">
              <w:rPr>
                <w:sz w:val="19"/>
                <w:szCs w:val="19"/>
              </w:rPr>
              <w:t xml:space="preserve">Increase velocity and hydraulic complexity for native </w:t>
            </w:r>
            <w:proofErr w:type="gramStart"/>
            <w:r w:rsidRPr="009166E2">
              <w:rPr>
                <w:sz w:val="19"/>
                <w:szCs w:val="19"/>
              </w:rPr>
              <w:t>fish</w:t>
            </w:r>
            <w:r w:rsidR="0084014F">
              <w:rPr>
                <w:sz w:val="19"/>
                <w:szCs w:val="19"/>
              </w:rPr>
              <w:t>;</w:t>
            </w:r>
            <w:proofErr w:type="gramEnd"/>
          </w:p>
          <w:p w14:paraId="07CC24F0" w14:textId="0B6800FF" w:rsidR="00DE7CCB" w:rsidRPr="009166E2" w:rsidRDefault="00DE7CCB" w:rsidP="00204CCB">
            <w:pPr>
              <w:pStyle w:val="ListParagraph"/>
              <w:numPr>
                <w:ilvl w:val="0"/>
                <w:numId w:val="13"/>
              </w:numPr>
              <w:jc w:val="left"/>
              <w:rPr>
                <w:sz w:val="19"/>
                <w:szCs w:val="19"/>
              </w:rPr>
            </w:pPr>
            <w:r w:rsidRPr="009166E2">
              <w:rPr>
                <w:sz w:val="19"/>
                <w:szCs w:val="19"/>
              </w:rPr>
              <w:t xml:space="preserve">Stabilise sediment and promote growth of vegetation on exposed floodplain and </w:t>
            </w:r>
            <w:proofErr w:type="gramStart"/>
            <w:r w:rsidRPr="009166E2">
              <w:rPr>
                <w:sz w:val="19"/>
                <w:szCs w:val="19"/>
              </w:rPr>
              <w:t>river banks</w:t>
            </w:r>
            <w:proofErr w:type="gramEnd"/>
            <w:r w:rsidR="0084014F">
              <w:rPr>
                <w:sz w:val="19"/>
                <w:szCs w:val="19"/>
              </w:rPr>
              <w:t>; and</w:t>
            </w:r>
          </w:p>
          <w:p w14:paraId="652C567D" w14:textId="12EB440D" w:rsidR="00DE7CCB" w:rsidRPr="009166E2" w:rsidRDefault="00DE7CCB" w:rsidP="00204CCB">
            <w:pPr>
              <w:pStyle w:val="ListParagraph"/>
              <w:numPr>
                <w:ilvl w:val="0"/>
                <w:numId w:val="13"/>
              </w:numPr>
              <w:jc w:val="left"/>
              <w:rPr>
                <w:sz w:val="19"/>
                <w:szCs w:val="19"/>
              </w:rPr>
            </w:pPr>
            <w:r w:rsidRPr="009166E2">
              <w:rPr>
                <w:sz w:val="19"/>
                <w:szCs w:val="19"/>
              </w:rPr>
              <w:t>Export carbon from floodplain and benches to the Murray</w:t>
            </w:r>
            <w:r w:rsidR="00CC0BE2">
              <w:rPr>
                <w:sz w:val="19"/>
                <w:szCs w:val="19"/>
              </w:rPr>
              <w:t xml:space="preserve"> River</w:t>
            </w:r>
            <w:r w:rsidRPr="009166E2">
              <w:rPr>
                <w:sz w:val="19"/>
                <w:szCs w:val="19"/>
              </w:rPr>
              <w:t>.</w:t>
            </w:r>
          </w:p>
        </w:tc>
      </w:tr>
    </w:tbl>
    <w:p w14:paraId="5263E76E" w14:textId="78E525DB" w:rsidR="00866B07" w:rsidRDefault="00106C7A">
      <w:pPr>
        <w:spacing w:before="0" w:after="160" w:line="259" w:lineRule="auto"/>
        <w:jc w:val="left"/>
      </w:pPr>
      <w:r w:rsidRPr="00106C7A">
        <w:rPr>
          <w:sz w:val="18"/>
          <w:szCs w:val="16"/>
        </w:rPr>
        <w:t xml:space="preserve">*Raising of Lock 9 was operational only </w:t>
      </w:r>
      <w:proofErr w:type="gramStart"/>
      <w:r w:rsidRPr="00106C7A">
        <w:rPr>
          <w:sz w:val="18"/>
          <w:szCs w:val="16"/>
        </w:rPr>
        <w:t>in order to</w:t>
      </w:r>
      <w:proofErr w:type="gramEnd"/>
      <w:r w:rsidRPr="00106C7A">
        <w:rPr>
          <w:sz w:val="18"/>
          <w:szCs w:val="16"/>
        </w:rPr>
        <w:t xml:space="preserve"> maximise diversions to Lake Victoria (not part of the weir pool variability program) and therefore resulted in no modelled ‘use’.</w:t>
      </w:r>
      <w:r w:rsidR="00866B07">
        <w:br w:type="page"/>
      </w:r>
    </w:p>
    <w:p w14:paraId="3878B3A1" w14:textId="77777777" w:rsidR="002117A9" w:rsidRDefault="002117A9" w:rsidP="00BB6D22">
      <w:pPr>
        <w:spacing w:before="0" w:after="0"/>
        <w:rPr>
          <w:b/>
          <w:i/>
          <w:color w:val="44546A" w:themeColor="text2"/>
          <w:sz w:val="24"/>
          <w:szCs w:val="24"/>
        </w:rPr>
        <w:sectPr w:rsidR="002117A9">
          <w:pgSz w:w="11906" w:h="16838"/>
          <w:pgMar w:top="1440" w:right="1440" w:bottom="1440" w:left="1440" w:header="708" w:footer="708" w:gutter="0"/>
          <w:cols w:space="708"/>
          <w:docGrid w:linePitch="360"/>
        </w:sectPr>
      </w:pPr>
    </w:p>
    <w:p w14:paraId="353D8CFB" w14:textId="531172BE" w:rsidR="00BB6D22" w:rsidRPr="002117A9" w:rsidRDefault="00A660B6" w:rsidP="00BB6D22">
      <w:pPr>
        <w:spacing w:before="0" w:after="0"/>
        <w:rPr>
          <w:b/>
          <w:i/>
          <w:color w:val="44546A" w:themeColor="text2"/>
          <w:sz w:val="24"/>
          <w:szCs w:val="24"/>
        </w:rPr>
      </w:pPr>
      <w:r>
        <w:rPr>
          <w:b/>
          <w:i/>
          <w:color w:val="44546A" w:themeColor="text2"/>
          <w:sz w:val="24"/>
          <w:szCs w:val="24"/>
        </w:rPr>
        <w:t>Other w</w:t>
      </w:r>
      <w:r w:rsidR="002117A9">
        <w:rPr>
          <w:b/>
          <w:i/>
          <w:color w:val="44546A" w:themeColor="text2"/>
          <w:sz w:val="24"/>
          <w:szCs w:val="24"/>
        </w:rPr>
        <w:t>atering event</w:t>
      </w:r>
      <w:r>
        <w:rPr>
          <w:b/>
          <w:i/>
          <w:color w:val="44546A" w:themeColor="text2"/>
          <w:sz w:val="24"/>
          <w:szCs w:val="24"/>
        </w:rPr>
        <w:t>s and management actions</w:t>
      </w:r>
    </w:p>
    <w:p w14:paraId="1079AAFF" w14:textId="4BB95345" w:rsidR="00BF1528" w:rsidRDefault="00BF1528" w:rsidP="00BF1528">
      <w:r>
        <w:t>During 2019-20, environmental water was delivered to the LMR channel, primarily as deliveries from return flows through coordinated watering events across the southern connected Basin, to achieve multi-site environmental outcomes. The major upstream watering events that were supported by environmental water and may be relevant to the evaluation in this report are summarised in Table B</w:t>
      </w:r>
      <w:r w:rsidR="00065DAD">
        <w:t>2</w:t>
      </w:r>
      <w:r>
        <w:t>. Refer to LTIM annual technical reports for more detail.</w:t>
      </w:r>
    </w:p>
    <w:p w14:paraId="7AD2DD6D" w14:textId="189084EE" w:rsidR="002117A9" w:rsidRDefault="008849C5" w:rsidP="00F8184E">
      <w:pPr>
        <w:pStyle w:val="Captions"/>
      </w:pPr>
      <w:r>
        <w:t>Table B</w:t>
      </w:r>
      <w:r w:rsidR="00065DAD">
        <w:t>2</w:t>
      </w:r>
      <w:r w:rsidR="002117A9">
        <w:t xml:space="preserve">. </w:t>
      </w:r>
      <w:r w:rsidR="004E1F7E">
        <w:t xml:space="preserve">Details for </w:t>
      </w:r>
      <w:r w:rsidR="0044035C">
        <w:t xml:space="preserve">upstream </w:t>
      </w:r>
      <w:r w:rsidR="004E1F7E">
        <w:t xml:space="preserve">watering events and management actions supported by environmental water </w:t>
      </w:r>
      <w:r w:rsidR="002D3D7E">
        <w:t xml:space="preserve">(eWater) </w:t>
      </w:r>
      <w:r w:rsidR="00AE640F">
        <w:t>in 2019-20</w:t>
      </w:r>
      <w:r w:rsidR="004E1F7E">
        <w:t xml:space="preserve">. </w:t>
      </w:r>
      <w:r w:rsidR="00155245">
        <w:t xml:space="preserve">CEW = Commonwealth environmental water, TLM = The Living Murray, VEWH = Victorian Environmental Water Holder, IVT = Inter-Valley Transfer, </w:t>
      </w:r>
      <w:r w:rsidR="008A70C9" w:rsidRPr="008A70C9">
        <w:t>NSW DPIE = New South Wales Department of Planning, Industry and Environment</w:t>
      </w:r>
      <w:r w:rsidR="000402DC">
        <w:t>, RMIF = River Murray Increased Flows.</w:t>
      </w:r>
    </w:p>
    <w:tbl>
      <w:tblPr>
        <w:tblW w:w="497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6"/>
        <w:gridCol w:w="10315"/>
        <w:gridCol w:w="1986"/>
      </w:tblGrid>
      <w:tr w:rsidR="00BF1528" w:rsidRPr="00040579" w14:paraId="7F49AADD" w14:textId="3E104D14" w:rsidTr="00D6493B">
        <w:trPr>
          <w:cantSplit/>
          <w:trHeight w:val="397"/>
          <w:tblHeader/>
        </w:trPr>
        <w:tc>
          <w:tcPr>
            <w:tcW w:w="571" w:type="pct"/>
            <w:vAlign w:val="center"/>
          </w:tcPr>
          <w:p w14:paraId="4EE21387" w14:textId="77777777" w:rsidR="00BF1528" w:rsidRPr="00040579" w:rsidRDefault="00BF1528" w:rsidP="002069A2">
            <w:pPr>
              <w:contextualSpacing/>
              <w:jc w:val="center"/>
              <w:rPr>
                <w:sz w:val="19"/>
                <w:szCs w:val="19"/>
              </w:rPr>
            </w:pPr>
            <w:r w:rsidRPr="00040579">
              <w:rPr>
                <w:sz w:val="19"/>
                <w:szCs w:val="19"/>
              </w:rPr>
              <w:t>Event</w:t>
            </w:r>
          </w:p>
        </w:tc>
        <w:tc>
          <w:tcPr>
            <w:tcW w:w="3714" w:type="pct"/>
            <w:vAlign w:val="center"/>
          </w:tcPr>
          <w:p w14:paraId="63E97C50" w14:textId="27ABD21E" w:rsidR="00BF1528" w:rsidRPr="00040579" w:rsidRDefault="00BF1528" w:rsidP="00F40001">
            <w:pPr>
              <w:contextualSpacing/>
              <w:jc w:val="center"/>
              <w:rPr>
                <w:sz w:val="19"/>
                <w:szCs w:val="19"/>
              </w:rPr>
            </w:pPr>
            <w:r w:rsidRPr="00040579">
              <w:rPr>
                <w:sz w:val="19"/>
                <w:szCs w:val="19"/>
              </w:rPr>
              <w:t>Event description and timing</w:t>
            </w:r>
          </w:p>
        </w:tc>
        <w:tc>
          <w:tcPr>
            <w:tcW w:w="715" w:type="pct"/>
            <w:vAlign w:val="center"/>
          </w:tcPr>
          <w:p w14:paraId="0F53073F" w14:textId="77777777" w:rsidR="00BF1528" w:rsidRPr="00040579" w:rsidRDefault="00BF1528" w:rsidP="002069A2">
            <w:pPr>
              <w:contextualSpacing/>
              <w:jc w:val="center"/>
              <w:rPr>
                <w:sz w:val="19"/>
                <w:szCs w:val="19"/>
              </w:rPr>
            </w:pPr>
            <w:r w:rsidRPr="00040579">
              <w:rPr>
                <w:sz w:val="19"/>
                <w:szCs w:val="19"/>
              </w:rPr>
              <w:t>Supporting eWater</w:t>
            </w:r>
          </w:p>
        </w:tc>
      </w:tr>
      <w:tr w:rsidR="00BD1431" w:rsidRPr="00040579" w14:paraId="18A1BFC3" w14:textId="33FEB07D" w:rsidTr="00D6493B">
        <w:trPr>
          <w:cantSplit/>
          <w:trHeight w:val="397"/>
        </w:trPr>
        <w:tc>
          <w:tcPr>
            <w:tcW w:w="571" w:type="pct"/>
          </w:tcPr>
          <w:p w14:paraId="358AE9B7" w14:textId="69023DD8" w:rsidR="00BD1431" w:rsidRPr="00040579" w:rsidRDefault="00833E12" w:rsidP="00BD1431">
            <w:pPr>
              <w:contextualSpacing/>
              <w:rPr>
                <w:sz w:val="19"/>
                <w:szCs w:val="19"/>
              </w:rPr>
            </w:pPr>
            <w:r>
              <w:rPr>
                <w:sz w:val="19"/>
                <w:szCs w:val="19"/>
              </w:rPr>
              <w:t>‘Southern Spring Flow’</w:t>
            </w:r>
          </w:p>
        </w:tc>
        <w:tc>
          <w:tcPr>
            <w:tcW w:w="3714" w:type="pct"/>
          </w:tcPr>
          <w:p w14:paraId="34ED9691" w14:textId="518A209A" w:rsidR="00305F83" w:rsidRPr="00305F83" w:rsidRDefault="00305F83" w:rsidP="00204CCB">
            <w:pPr>
              <w:pStyle w:val="ListParagraph"/>
              <w:numPr>
                <w:ilvl w:val="0"/>
                <w:numId w:val="15"/>
              </w:numPr>
              <w:rPr>
                <w:sz w:val="19"/>
                <w:szCs w:val="19"/>
              </w:rPr>
            </w:pPr>
            <w:r w:rsidRPr="00305F83">
              <w:rPr>
                <w:sz w:val="19"/>
                <w:szCs w:val="19"/>
              </w:rPr>
              <w:t>Between July and October 2019, nearly 330,000 ML of environmental water was delivered from Hume Dam targeting environmental outcomes along 2,000 km of the Murray</w:t>
            </w:r>
            <w:r w:rsidR="00CC0BE2">
              <w:rPr>
                <w:sz w:val="19"/>
                <w:szCs w:val="19"/>
              </w:rPr>
              <w:t xml:space="preserve"> River</w:t>
            </w:r>
            <w:r w:rsidRPr="00305F83">
              <w:rPr>
                <w:sz w:val="19"/>
                <w:szCs w:val="19"/>
              </w:rPr>
              <w:t>.</w:t>
            </w:r>
          </w:p>
          <w:p w14:paraId="19B5FDD6" w14:textId="16E390EC" w:rsidR="00305F83" w:rsidRPr="00305F83" w:rsidRDefault="00305F83" w:rsidP="00204CCB">
            <w:pPr>
              <w:pStyle w:val="ListParagraph"/>
              <w:numPr>
                <w:ilvl w:val="0"/>
                <w:numId w:val="15"/>
              </w:numPr>
              <w:rPr>
                <w:sz w:val="19"/>
                <w:szCs w:val="19"/>
              </w:rPr>
            </w:pPr>
            <w:r w:rsidRPr="00305F83">
              <w:rPr>
                <w:sz w:val="19"/>
                <w:szCs w:val="19"/>
              </w:rPr>
              <w:t>This water provided benefits at Barmah-</w:t>
            </w:r>
            <w:proofErr w:type="spellStart"/>
            <w:r w:rsidRPr="00305F83">
              <w:rPr>
                <w:sz w:val="19"/>
                <w:szCs w:val="19"/>
              </w:rPr>
              <w:t>Millewa</w:t>
            </w:r>
            <w:proofErr w:type="spellEnd"/>
            <w:r w:rsidRPr="00305F83">
              <w:rPr>
                <w:sz w:val="19"/>
                <w:szCs w:val="19"/>
              </w:rPr>
              <w:t xml:space="preserve"> Forest, Gunbower Creek, Koondrook-</w:t>
            </w:r>
            <w:proofErr w:type="spellStart"/>
            <w:r w:rsidRPr="00305F83">
              <w:rPr>
                <w:sz w:val="19"/>
                <w:szCs w:val="19"/>
              </w:rPr>
              <w:t>Perricoota</w:t>
            </w:r>
            <w:proofErr w:type="spellEnd"/>
            <w:r w:rsidRPr="00305F83">
              <w:rPr>
                <w:sz w:val="19"/>
                <w:szCs w:val="19"/>
              </w:rPr>
              <w:t xml:space="preserve"> Forest, Lake </w:t>
            </w:r>
            <w:proofErr w:type="spellStart"/>
            <w:r w:rsidRPr="00305F83">
              <w:rPr>
                <w:sz w:val="19"/>
                <w:szCs w:val="19"/>
              </w:rPr>
              <w:t>Kramen</w:t>
            </w:r>
            <w:proofErr w:type="spellEnd"/>
            <w:r w:rsidRPr="00305F83">
              <w:rPr>
                <w:sz w:val="19"/>
                <w:szCs w:val="19"/>
              </w:rPr>
              <w:t xml:space="preserve"> at Hattah Lakes, Chowilla, the Edward-</w:t>
            </w:r>
            <w:proofErr w:type="spellStart"/>
            <w:r w:rsidRPr="00305F83">
              <w:rPr>
                <w:sz w:val="19"/>
                <w:szCs w:val="19"/>
              </w:rPr>
              <w:t>Kolety</w:t>
            </w:r>
            <w:proofErr w:type="spellEnd"/>
            <w:r w:rsidRPr="00305F83">
              <w:rPr>
                <w:sz w:val="19"/>
                <w:szCs w:val="19"/>
              </w:rPr>
              <w:t xml:space="preserve">-Wakool and the Lower Lakes and Coorong, as well as the Murray River channel itself. </w:t>
            </w:r>
          </w:p>
          <w:p w14:paraId="75D7C751" w14:textId="0AD32659" w:rsidR="00305F83" w:rsidRPr="00305F83" w:rsidRDefault="00305F83" w:rsidP="00204CCB">
            <w:pPr>
              <w:pStyle w:val="ListParagraph"/>
              <w:numPr>
                <w:ilvl w:val="0"/>
                <w:numId w:val="15"/>
              </w:numPr>
              <w:rPr>
                <w:sz w:val="19"/>
                <w:szCs w:val="19"/>
              </w:rPr>
            </w:pPr>
            <w:r w:rsidRPr="00305F83">
              <w:rPr>
                <w:sz w:val="19"/>
                <w:szCs w:val="19"/>
              </w:rPr>
              <w:t>Environmental flows targeted up to 15,000 ML/d downstream of Yarrawonga, about half of what would have occurred naturally in winter/spring 2019-20. Based on inflows over winter and spring, flows would have naturally reached about 30,000 ML/day, with overbank flows from July to October 2019.</w:t>
            </w:r>
          </w:p>
          <w:p w14:paraId="720660B0" w14:textId="106BB3BE" w:rsidR="00305F83" w:rsidRPr="00305F83" w:rsidRDefault="00305F83" w:rsidP="00204CCB">
            <w:pPr>
              <w:pStyle w:val="ListParagraph"/>
              <w:numPr>
                <w:ilvl w:val="0"/>
                <w:numId w:val="15"/>
              </w:numPr>
              <w:rPr>
                <w:sz w:val="19"/>
                <w:szCs w:val="19"/>
              </w:rPr>
            </w:pPr>
            <w:r w:rsidRPr="00305F83">
              <w:rPr>
                <w:sz w:val="19"/>
                <w:szCs w:val="19"/>
              </w:rPr>
              <w:t>The flows were designed to support a broad range of outcomes. In the Mid-Murray, this includes providing water to the wetland vegetation in Barmah-</w:t>
            </w:r>
            <w:proofErr w:type="spellStart"/>
            <w:r w:rsidRPr="00305F83">
              <w:rPr>
                <w:sz w:val="19"/>
                <w:szCs w:val="19"/>
              </w:rPr>
              <w:t>Millewa</w:t>
            </w:r>
            <w:proofErr w:type="spellEnd"/>
            <w:r w:rsidRPr="00305F83">
              <w:rPr>
                <w:sz w:val="19"/>
                <w:szCs w:val="19"/>
              </w:rPr>
              <w:t xml:space="preserve"> Forest (such as Moira grass), and improving habitat and food availability for native fish, such as Murray cod.</w:t>
            </w:r>
          </w:p>
          <w:p w14:paraId="62D85316" w14:textId="2054A1DC" w:rsidR="00BD1431" w:rsidRPr="00BD1431" w:rsidRDefault="00305F83" w:rsidP="00204CCB">
            <w:pPr>
              <w:pStyle w:val="ListParagraph"/>
              <w:numPr>
                <w:ilvl w:val="0"/>
                <w:numId w:val="15"/>
              </w:numPr>
              <w:rPr>
                <w:sz w:val="19"/>
                <w:szCs w:val="19"/>
              </w:rPr>
            </w:pPr>
            <w:r w:rsidRPr="00305F83">
              <w:rPr>
                <w:sz w:val="19"/>
                <w:szCs w:val="19"/>
              </w:rPr>
              <w:t>The flows were timed to align with environmental flows from the Lower Goulburn, creating a pulse down the Murray</w:t>
            </w:r>
            <w:r w:rsidR="00CC0BE2">
              <w:rPr>
                <w:sz w:val="19"/>
                <w:szCs w:val="19"/>
              </w:rPr>
              <w:t xml:space="preserve"> River</w:t>
            </w:r>
            <w:r w:rsidRPr="00305F83">
              <w:rPr>
                <w:sz w:val="19"/>
                <w:szCs w:val="19"/>
              </w:rPr>
              <w:t>. This pulse aimed to improve productivity in the river (that is, supporting the river food chain (or food web)).</w:t>
            </w:r>
          </w:p>
        </w:tc>
        <w:tc>
          <w:tcPr>
            <w:tcW w:w="715" w:type="pct"/>
          </w:tcPr>
          <w:p w14:paraId="1FF86E07" w14:textId="1461CF3A" w:rsidR="00BD1431" w:rsidRPr="00040579" w:rsidRDefault="008424BA" w:rsidP="00305F83">
            <w:pPr>
              <w:contextualSpacing/>
              <w:rPr>
                <w:sz w:val="19"/>
                <w:szCs w:val="19"/>
              </w:rPr>
            </w:pPr>
            <w:r>
              <w:rPr>
                <w:sz w:val="19"/>
                <w:szCs w:val="19"/>
              </w:rPr>
              <w:t>CEW, TLM, RMIF</w:t>
            </w:r>
          </w:p>
        </w:tc>
      </w:tr>
      <w:tr w:rsidR="00305F83" w:rsidRPr="00040579" w14:paraId="1D599B5E" w14:textId="77777777" w:rsidTr="00D6493B">
        <w:trPr>
          <w:cantSplit/>
          <w:trHeight w:val="397"/>
        </w:trPr>
        <w:tc>
          <w:tcPr>
            <w:tcW w:w="571" w:type="pct"/>
          </w:tcPr>
          <w:p w14:paraId="42366117" w14:textId="4D52B2D9" w:rsidR="00305F83" w:rsidRDefault="00305F83" w:rsidP="00305F83">
            <w:pPr>
              <w:contextualSpacing/>
              <w:rPr>
                <w:sz w:val="19"/>
                <w:szCs w:val="19"/>
              </w:rPr>
            </w:pPr>
            <w:r>
              <w:rPr>
                <w:sz w:val="19"/>
                <w:szCs w:val="19"/>
              </w:rPr>
              <w:t>Goulburn</w:t>
            </w:r>
            <w:r w:rsidR="003C57CF">
              <w:rPr>
                <w:sz w:val="19"/>
                <w:szCs w:val="19"/>
              </w:rPr>
              <w:t xml:space="preserve"> winter </w:t>
            </w:r>
            <w:proofErr w:type="gramStart"/>
            <w:r w:rsidR="003C57CF">
              <w:rPr>
                <w:sz w:val="19"/>
                <w:szCs w:val="19"/>
              </w:rPr>
              <w:t xml:space="preserve">and </w:t>
            </w:r>
            <w:r>
              <w:rPr>
                <w:sz w:val="19"/>
                <w:szCs w:val="19"/>
              </w:rPr>
              <w:t xml:space="preserve"> spring</w:t>
            </w:r>
            <w:proofErr w:type="gramEnd"/>
            <w:r>
              <w:rPr>
                <w:sz w:val="19"/>
                <w:szCs w:val="19"/>
              </w:rPr>
              <w:t xml:space="preserve"> </w:t>
            </w:r>
            <w:r w:rsidR="003C57CF">
              <w:rPr>
                <w:sz w:val="19"/>
                <w:szCs w:val="19"/>
              </w:rPr>
              <w:t>freshes</w:t>
            </w:r>
          </w:p>
        </w:tc>
        <w:tc>
          <w:tcPr>
            <w:tcW w:w="3714" w:type="pct"/>
          </w:tcPr>
          <w:p w14:paraId="494670A3" w14:textId="2D0D74F8" w:rsidR="003C57CF" w:rsidRDefault="00810A3E" w:rsidP="00654860">
            <w:pPr>
              <w:pStyle w:val="ListParagraph"/>
              <w:numPr>
                <w:ilvl w:val="0"/>
                <w:numId w:val="15"/>
              </w:numPr>
              <w:rPr>
                <w:sz w:val="19"/>
                <w:szCs w:val="19"/>
              </w:rPr>
            </w:pPr>
            <w:r w:rsidRPr="00D12A34">
              <w:rPr>
                <w:sz w:val="19"/>
                <w:szCs w:val="19"/>
              </w:rPr>
              <w:t>Following base</w:t>
            </w:r>
            <w:r w:rsidR="000E012E">
              <w:rPr>
                <w:sz w:val="19"/>
                <w:szCs w:val="19"/>
              </w:rPr>
              <w:t xml:space="preserve"> </w:t>
            </w:r>
            <w:r w:rsidRPr="00D12A34">
              <w:rPr>
                <w:sz w:val="19"/>
                <w:szCs w:val="19"/>
              </w:rPr>
              <w:t xml:space="preserve">flows in June 2019, the winter fresh commenced at Murchison on 01 July 2019 and finished on 1 August 2019. Flows peaked at 9,549 ML/day at Murchison, boosted by natural inflows. At </w:t>
            </w:r>
            <w:proofErr w:type="spellStart"/>
            <w:r w:rsidRPr="00D12A34">
              <w:rPr>
                <w:sz w:val="19"/>
                <w:szCs w:val="19"/>
              </w:rPr>
              <w:t>McCoys</w:t>
            </w:r>
            <w:proofErr w:type="spellEnd"/>
            <w:r w:rsidRPr="00D12A34">
              <w:rPr>
                <w:sz w:val="19"/>
                <w:szCs w:val="19"/>
              </w:rPr>
              <w:t xml:space="preserve"> Bridge the winter flow commenced on 6 July with a lower peak of 8,503 ML/day.</w:t>
            </w:r>
            <w:r w:rsidR="00D12A34">
              <w:rPr>
                <w:sz w:val="19"/>
                <w:szCs w:val="19"/>
              </w:rPr>
              <w:t xml:space="preserve"> </w:t>
            </w:r>
          </w:p>
          <w:p w14:paraId="610AEEBA" w14:textId="1244141A" w:rsidR="00D12A34" w:rsidRPr="00D12A34" w:rsidRDefault="00D12A34" w:rsidP="00654860">
            <w:pPr>
              <w:pStyle w:val="ListParagraph"/>
              <w:numPr>
                <w:ilvl w:val="0"/>
                <w:numId w:val="15"/>
              </w:numPr>
              <w:rPr>
                <w:sz w:val="19"/>
                <w:szCs w:val="19"/>
              </w:rPr>
            </w:pPr>
            <w:r w:rsidRPr="00D12A34">
              <w:rPr>
                <w:sz w:val="19"/>
                <w:szCs w:val="19"/>
              </w:rPr>
              <w:t>Expected outcome</w:t>
            </w:r>
            <w:r>
              <w:rPr>
                <w:sz w:val="19"/>
                <w:szCs w:val="19"/>
              </w:rPr>
              <w:t xml:space="preserve"> of winter fre</w:t>
            </w:r>
            <w:r w:rsidRPr="00D12A34">
              <w:rPr>
                <w:sz w:val="19"/>
                <w:szCs w:val="19"/>
              </w:rPr>
              <w:t>s</w:t>
            </w:r>
            <w:r>
              <w:rPr>
                <w:sz w:val="19"/>
                <w:szCs w:val="19"/>
              </w:rPr>
              <w:t>h</w:t>
            </w:r>
            <w:r w:rsidRPr="00D12A34">
              <w:rPr>
                <w:sz w:val="19"/>
                <w:szCs w:val="19"/>
              </w:rPr>
              <w:t xml:space="preserve">: remove terrestrial vegetation and re-establish flood tolerant native vegetation; inundate benches to encourage plant germination; provide carbon (e.g. leaf litter) to the channel; and improve water quality and </w:t>
            </w:r>
            <w:proofErr w:type="spellStart"/>
            <w:r w:rsidRPr="00D12A34">
              <w:rPr>
                <w:sz w:val="19"/>
                <w:szCs w:val="19"/>
              </w:rPr>
              <w:t>waterbug</w:t>
            </w:r>
            <w:proofErr w:type="spellEnd"/>
            <w:r w:rsidRPr="00D12A34">
              <w:rPr>
                <w:sz w:val="19"/>
                <w:szCs w:val="19"/>
              </w:rPr>
              <w:t xml:space="preserve"> habitat.</w:t>
            </w:r>
          </w:p>
          <w:p w14:paraId="5ACBBE2F" w14:textId="784D1845" w:rsidR="00305F83" w:rsidRDefault="00305F83" w:rsidP="00204CCB">
            <w:pPr>
              <w:pStyle w:val="ListParagraph"/>
              <w:numPr>
                <w:ilvl w:val="0"/>
                <w:numId w:val="15"/>
              </w:numPr>
              <w:rPr>
                <w:sz w:val="19"/>
                <w:szCs w:val="19"/>
              </w:rPr>
            </w:pPr>
            <w:r w:rsidRPr="00BD1431">
              <w:rPr>
                <w:sz w:val="19"/>
                <w:szCs w:val="19"/>
              </w:rPr>
              <w:t xml:space="preserve">The Goulburn spring </w:t>
            </w:r>
            <w:r w:rsidR="003C57CF">
              <w:rPr>
                <w:sz w:val="19"/>
                <w:szCs w:val="19"/>
              </w:rPr>
              <w:t>fresh</w:t>
            </w:r>
            <w:r w:rsidRPr="00BD1431">
              <w:rPr>
                <w:sz w:val="19"/>
                <w:szCs w:val="19"/>
              </w:rPr>
              <w:t xml:space="preserve"> delivered 135,923 ML from Eildon with the pulse commencing on 21 September and ending 19 October at </w:t>
            </w:r>
            <w:proofErr w:type="spellStart"/>
            <w:r w:rsidRPr="00BD1431">
              <w:rPr>
                <w:sz w:val="19"/>
                <w:szCs w:val="19"/>
              </w:rPr>
              <w:t>McCoys</w:t>
            </w:r>
            <w:proofErr w:type="spellEnd"/>
            <w:r w:rsidRPr="00BD1431">
              <w:rPr>
                <w:sz w:val="19"/>
                <w:szCs w:val="19"/>
              </w:rPr>
              <w:t xml:space="preserve"> Bridge. Before and after the spring pulse there was additional environmental water delivered as part of maintaining increased base</w:t>
            </w:r>
            <w:r w:rsidR="000E012E">
              <w:rPr>
                <w:sz w:val="19"/>
                <w:szCs w:val="19"/>
              </w:rPr>
              <w:t xml:space="preserve"> </w:t>
            </w:r>
            <w:r w:rsidRPr="00BD1431">
              <w:rPr>
                <w:sz w:val="19"/>
                <w:szCs w:val="19"/>
              </w:rPr>
              <w:t>flows for the Goulburn River.</w:t>
            </w:r>
          </w:p>
          <w:p w14:paraId="3B3784ED" w14:textId="3DD95E99" w:rsidR="00D12A34" w:rsidRPr="00BD1431" w:rsidRDefault="00D12A34" w:rsidP="00204CCB">
            <w:pPr>
              <w:pStyle w:val="ListParagraph"/>
              <w:numPr>
                <w:ilvl w:val="0"/>
                <w:numId w:val="15"/>
              </w:numPr>
              <w:rPr>
                <w:sz w:val="19"/>
                <w:szCs w:val="19"/>
              </w:rPr>
            </w:pPr>
            <w:r w:rsidRPr="00D12A34">
              <w:rPr>
                <w:sz w:val="19"/>
                <w:szCs w:val="19"/>
              </w:rPr>
              <w:t>Expected outcome</w:t>
            </w:r>
            <w:r>
              <w:rPr>
                <w:sz w:val="19"/>
                <w:szCs w:val="19"/>
              </w:rPr>
              <w:t xml:space="preserve"> of summer fre</w:t>
            </w:r>
            <w:r w:rsidRPr="00D12A34">
              <w:rPr>
                <w:sz w:val="19"/>
                <w:szCs w:val="19"/>
              </w:rPr>
              <w:t>s</w:t>
            </w:r>
            <w:r>
              <w:rPr>
                <w:sz w:val="19"/>
                <w:szCs w:val="19"/>
              </w:rPr>
              <w:t>h</w:t>
            </w:r>
            <w:r w:rsidRPr="00D12A34">
              <w:rPr>
                <w:sz w:val="19"/>
                <w:szCs w:val="19"/>
              </w:rPr>
              <w:t>:</w:t>
            </w:r>
            <w:r>
              <w:t xml:space="preserve"> </w:t>
            </w:r>
            <w:r w:rsidRPr="00D12A34">
              <w:rPr>
                <w:sz w:val="19"/>
                <w:szCs w:val="19"/>
              </w:rPr>
              <w:t>inundate vegetation on benches and the lower banks to facilitate recruitment, sustain growth, and encourage flowering, seed development and distribution.</w:t>
            </w:r>
          </w:p>
        </w:tc>
        <w:tc>
          <w:tcPr>
            <w:tcW w:w="715" w:type="pct"/>
          </w:tcPr>
          <w:p w14:paraId="5BF33C35" w14:textId="7A421D5E" w:rsidR="00305F83" w:rsidRPr="00BD1431" w:rsidRDefault="008424BA" w:rsidP="00305F83">
            <w:pPr>
              <w:contextualSpacing/>
              <w:rPr>
                <w:sz w:val="19"/>
                <w:szCs w:val="19"/>
              </w:rPr>
            </w:pPr>
            <w:r>
              <w:rPr>
                <w:sz w:val="19"/>
                <w:szCs w:val="19"/>
              </w:rPr>
              <w:t>CEW, TLM, VEWH</w:t>
            </w:r>
          </w:p>
        </w:tc>
      </w:tr>
      <w:tr w:rsidR="00305F83" w:rsidRPr="00040579" w14:paraId="686D0D53" w14:textId="77777777" w:rsidTr="00D6493B">
        <w:trPr>
          <w:cantSplit/>
          <w:trHeight w:val="397"/>
        </w:trPr>
        <w:tc>
          <w:tcPr>
            <w:tcW w:w="571" w:type="pct"/>
          </w:tcPr>
          <w:p w14:paraId="48CDC68F" w14:textId="08C2633B" w:rsidR="00305F83" w:rsidRDefault="00305F83" w:rsidP="00305F83">
            <w:pPr>
              <w:contextualSpacing/>
              <w:rPr>
                <w:sz w:val="19"/>
                <w:szCs w:val="19"/>
              </w:rPr>
            </w:pPr>
            <w:r>
              <w:rPr>
                <w:sz w:val="19"/>
                <w:szCs w:val="19"/>
              </w:rPr>
              <w:t>Barmah-</w:t>
            </w:r>
            <w:proofErr w:type="spellStart"/>
            <w:r>
              <w:rPr>
                <w:sz w:val="19"/>
                <w:szCs w:val="19"/>
              </w:rPr>
              <w:t>Millewa</w:t>
            </w:r>
            <w:proofErr w:type="spellEnd"/>
            <w:r>
              <w:rPr>
                <w:sz w:val="19"/>
                <w:szCs w:val="19"/>
              </w:rPr>
              <w:t xml:space="preserve"> Forest inundation</w:t>
            </w:r>
          </w:p>
        </w:tc>
        <w:tc>
          <w:tcPr>
            <w:tcW w:w="3714" w:type="pct"/>
          </w:tcPr>
          <w:p w14:paraId="67DEF133" w14:textId="59911955" w:rsidR="00305F83" w:rsidRDefault="00305F83" w:rsidP="00204CCB">
            <w:pPr>
              <w:pStyle w:val="ListParagraph"/>
              <w:numPr>
                <w:ilvl w:val="0"/>
                <w:numId w:val="14"/>
              </w:numPr>
              <w:rPr>
                <w:sz w:val="19"/>
                <w:szCs w:val="19"/>
              </w:rPr>
            </w:pPr>
            <w:r w:rsidRPr="00BD1431">
              <w:rPr>
                <w:sz w:val="19"/>
                <w:szCs w:val="19"/>
              </w:rPr>
              <w:t xml:space="preserve">Given that Barmah forest received </w:t>
            </w:r>
            <w:proofErr w:type="gramStart"/>
            <w:r w:rsidRPr="00BD1431">
              <w:rPr>
                <w:sz w:val="19"/>
                <w:szCs w:val="19"/>
              </w:rPr>
              <w:t>the majority of</w:t>
            </w:r>
            <w:proofErr w:type="gramEnd"/>
            <w:r w:rsidRPr="00BD1431">
              <w:rPr>
                <w:sz w:val="19"/>
                <w:szCs w:val="19"/>
              </w:rPr>
              <w:t xml:space="preserve"> flows in 2018-19, </w:t>
            </w:r>
            <w:proofErr w:type="spellStart"/>
            <w:r w:rsidRPr="00BD1431">
              <w:rPr>
                <w:sz w:val="19"/>
                <w:szCs w:val="19"/>
              </w:rPr>
              <w:t>Millewa</w:t>
            </w:r>
            <w:proofErr w:type="spellEnd"/>
            <w:r w:rsidRPr="00BD1431">
              <w:rPr>
                <w:sz w:val="19"/>
                <w:szCs w:val="19"/>
              </w:rPr>
              <w:t xml:space="preserve"> forest was the priority asset to receive water in 2019-20. The objective was to completely fill the Gulpa Wetlands (Reed Beds Swamp, </w:t>
            </w:r>
            <w:proofErr w:type="spellStart"/>
            <w:r w:rsidRPr="00BD1431">
              <w:rPr>
                <w:sz w:val="19"/>
                <w:szCs w:val="19"/>
              </w:rPr>
              <w:t>Coppingers</w:t>
            </w:r>
            <w:proofErr w:type="spellEnd"/>
            <w:r w:rsidRPr="00BD1431">
              <w:rPr>
                <w:sz w:val="19"/>
                <w:szCs w:val="19"/>
              </w:rPr>
              <w:t xml:space="preserve"> Swamp and Duck Lagoon) to provide optimal bittern nesting habitat over October</w:t>
            </w:r>
            <w:r w:rsidR="00697727">
              <w:rPr>
                <w:sz w:val="19"/>
                <w:szCs w:val="19"/>
              </w:rPr>
              <w:t>–</w:t>
            </w:r>
            <w:r w:rsidRPr="00BD1431">
              <w:rPr>
                <w:sz w:val="19"/>
                <w:szCs w:val="19"/>
              </w:rPr>
              <w:t xml:space="preserve">November 2019 and into December 2019. </w:t>
            </w:r>
          </w:p>
          <w:p w14:paraId="6BDB9510" w14:textId="630F9549" w:rsidR="00305F83" w:rsidRPr="00BD1431" w:rsidRDefault="00305F83" w:rsidP="00204CCB">
            <w:pPr>
              <w:pStyle w:val="ListParagraph"/>
              <w:numPr>
                <w:ilvl w:val="0"/>
                <w:numId w:val="14"/>
              </w:numPr>
              <w:rPr>
                <w:sz w:val="19"/>
                <w:szCs w:val="19"/>
              </w:rPr>
            </w:pPr>
            <w:r w:rsidRPr="00BD1431">
              <w:rPr>
                <w:sz w:val="19"/>
                <w:szCs w:val="19"/>
              </w:rPr>
              <w:t>Spring pulse started 1 September 2019 targeting 6+ weeks at 15,000 ML/d downstream of Yarrawonga, with a planned completion date of 28 October 2019 (at Yarrawonga).  An estimated 25% of Barmah-</w:t>
            </w:r>
            <w:proofErr w:type="spellStart"/>
            <w:r w:rsidRPr="00BD1431">
              <w:rPr>
                <w:sz w:val="19"/>
                <w:szCs w:val="19"/>
              </w:rPr>
              <w:t>Millewa</w:t>
            </w:r>
            <w:proofErr w:type="spellEnd"/>
            <w:r w:rsidRPr="00BD1431">
              <w:rPr>
                <w:sz w:val="19"/>
                <w:szCs w:val="19"/>
              </w:rPr>
              <w:t xml:space="preserve"> Forest was inundated as part of this flow event.</w:t>
            </w:r>
          </w:p>
          <w:p w14:paraId="500B6C75" w14:textId="4851EF90" w:rsidR="00305F83" w:rsidRPr="00BD1431" w:rsidRDefault="00305F83" w:rsidP="00204CCB">
            <w:pPr>
              <w:pStyle w:val="ListParagraph"/>
              <w:numPr>
                <w:ilvl w:val="0"/>
                <w:numId w:val="14"/>
              </w:numPr>
              <w:rPr>
                <w:sz w:val="19"/>
                <w:szCs w:val="19"/>
              </w:rPr>
            </w:pPr>
            <w:r w:rsidRPr="00BD1431">
              <w:rPr>
                <w:sz w:val="19"/>
                <w:szCs w:val="19"/>
              </w:rPr>
              <w:t>Forest regulators on the Barmah Forest (Victoria) side of the Murray</w:t>
            </w:r>
            <w:r w:rsidR="00CC0BE2">
              <w:rPr>
                <w:sz w:val="19"/>
                <w:szCs w:val="19"/>
              </w:rPr>
              <w:t xml:space="preserve"> River</w:t>
            </w:r>
            <w:r w:rsidRPr="00BD1431">
              <w:rPr>
                <w:sz w:val="19"/>
                <w:szCs w:val="19"/>
              </w:rPr>
              <w:t xml:space="preserve"> were closed on 31 October 2019 to control giant rush encroachment and discourage unwanted colonial bird breeding. A small number of regulators in </w:t>
            </w:r>
            <w:proofErr w:type="spellStart"/>
            <w:r w:rsidRPr="00BD1431">
              <w:rPr>
                <w:sz w:val="19"/>
                <w:szCs w:val="19"/>
              </w:rPr>
              <w:t>Millewa</w:t>
            </w:r>
            <w:proofErr w:type="spellEnd"/>
            <w:r w:rsidRPr="00BD1431">
              <w:rPr>
                <w:sz w:val="19"/>
                <w:szCs w:val="19"/>
              </w:rPr>
              <w:t xml:space="preserve"> Forest (NSW) remained open until 30 November to allow Murray Cod and other native fish to complete their breeding cycle and have time to exit the forest creeks. Environmental water was used to cover additional use in the forest during this period.  </w:t>
            </w:r>
          </w:p>
          <w:p w14:paraId="19474706" w14:textId="5A11C075" w:rsidR="00305F83" w:rsidRPr="00BD1431" w:rsidRDefault="00305F83" w:rsidP="00204CCB">
            <w:pPr>
              <w:pStyle w:val="ListParagraph"/>
              <w:numPr>
                <w:ilvl w:val="0"/>
                <w:numId w:val="14"/>
              </w:numPr>
              <w:rPr>
                <w:sz w:val="19"/>
                <w:szCs w:val="19"/>
              </w:rPr>
            </w:pPr>
            <w:r w:rsidRPr="00BD1431">
              <w:rPr>
                <w:sz w:val="19"/>
                <w:szCs w:val="19"/>
              </w:rPr>
              <w:t>Further deliveries proceeded into December 2019 in the Gulpa Creek region (</w:t>
            </w:r>
            <w:proofErr w:type="spellStart"/>
            <w:r w:rsidRPr="00BD1431">
              <w:rPr>
                <w:sz w:val="19"/>
                <w:szCs w:val="19"/>
              </w:rPr>
              <w:t>Coppingers</w:t>
            </w:r>
            <w:proofErr w:type="spellEnd"/>
            <w:r w:rsidRPr="00BD1431">
              <w:rPr>
                <w:sz w:val="19"/>
                <w:szCs w:val="19"/>
              </w:rPr>
              <w:t xml:space="preserve"> swamp, duck lagoon and Reed Beds swamp) to support Australasian Bittern breeding. NSW TLM and NSW PEW covered this additional water use.</w:t>
            </w:r>
          </w:p>
        </w:tc>
        <w:tc>
          <w:tcPr>
            <w:tcW w:w="715" w:type="pct"/>
          </w:tcPr>
          <w:p w14:paraId="5E7C7A4F" w14:textId="3DBFBD7F" w:rsidR="00305F83" w:rsidRPr="00040579" w:rsidRDefault="008424BA" w:rsidP="00305F83">
            <w:pPr>
              <w:contextualSpacing/>
              <w:rPr>
                <w:sz w:val="19"/>
                <w:szCs w:val="19"/>
              </w:rPr>
            </w:pPr>
            <w:r>
              <w:rPr>
                <w:sz w:val="19"/>
                <w:szCs w:val="19"/>
              </w:rPr>
              <w:t>CEW, TLM, RMIF, NSW MAA (PEW)</w:t>
            </w:r>
          </w:p>
        </w:tc>
      </w:tr>
    </w:tbl>
    <w:p w14:paraId="6170D128" w14:textId="77777777" w:rsidR="002117A9" w:rsidRPr="00780E4C" w:rsidRDefault="002117A9" w:rsidP="00BB6D22">
      <w:pPr>
        <w:spacing w:before="0" w:after="0"/>
        <w:rPr>
          <w:i/>
          <w:sz w:val="24"/>
          <w:szCs w:val="24"/>
          <w:highlight w:val="yellow"/>
        </w:rPr>
      </w:pPr>
    </w:p>
    <w:p w14:paraId="728D3C56" w14:textId="77777777" w:rsidR="002117A9" w:rsidRDefault="002117A9" w:rsidP="00BB6D22">
      <w:pPr>
        <w:rPr>
          <w:b/>
          <w:i/>
          <w:color w:val="44546A" w:themeColor="text2"/>
          <w:sz w:val="24"/>
          <w:szCs w:val="24"/>
          <w:highlight w:val="yellow"/>
        </w:rPr>
        <w:sectPr w:rsidR="002117A9" w:rsidSect="002117A9">
          <w:pgSz w:w="16838" w:h="11906" w:orient="landscape"/>
          <w:pgMar w:top="1440" w:right="1440" w:bottom="1440" w:left="1440" w:header="709" w:footer="709" w:gutter="0"/>
          <w:cols w:space="708"/>
          <w:docGrid w:linePitch="360"/>
        </w:sectPr>
      </w:pPr>
    </w:p>
    <w:p w14:paraId="33E703B3" w14:textId="338E8138" w:rsidR="00BB6D22" w:rsidRDefault="00BB6D22" w:rsidP="00BB6D22">
      <w:pPr>
        <w:pStyle w:val="Heading1"/>
        <w:numPr>
          <w:ilvl w:val="0"/>
          <w:numId w:val="0"/>
        </w:numPr>
        <w:ind w:left="851" w:hanging="851"/>
      </w:pPr>
      <w:bookmarkStart w:id="373" w:name="_Toc3558349"/>
      <w:bookmarkStart w:id="374" w:name="_Toc69309254"/>
      <w:r w:rsidRPr="00DF1502">
        <w:t xml:space="preserve">Appendix </w:t>
      </w:r>
      <w:r w:rsidR="008849C5">
        <w:t>C</w:t>
      </w:r>
      <w:r w:rsidRPr="00DF1502">
        <w:t xml:space="preserve">: </w:t>
      </w:r>
      <w:r>
        <w:t>DEW evaluation questions</w:t>
      </w:r>
      <w:bookmarkEnd w:id="373"/>
      <w:bookmarkEnd w:id="374"/>
    </w:p>
    <w:p w14:paraId="4085AE96" w14:textId="39DA61B0" w:rsidR="00BB6D22" w:rsidRDefault="00BB6D22" w:rsidP="00F8184E">
      <w:pPr>
        <w:pStyle w:val="Captions"/>
      </w:pPr>
      <w:r w:rsidRPr="00D7222B">
        <w:t>T</w:t>
      </w:r>
      <w:r w:rsidR="008849C5">
        <w:t>able C</w:t>
      </w:r>
      <w:r>
        <w:t>1.</w:t>
      </w:r>
      <w:r w:rsidRPr="00D7222B">
        <w:t xml:space="preserve"> </w:t>
      </w:r>
      <w:r w:rsidR="00124C16">
        <w:t>DEW</w:t>
      </w:r>
      <w:r w:rsidR="00124C16" w:rsidRPr="00D7222B">
        <w:t xml:space="preserve"> short-term (o</w:t>
      </w:r>
      <w:r w:rsidR="00124C16">
        <w:t xml:space="preserve">ne-year) </w:t>
      </w:r>
      <w:r w:rsidR="00124C16" w:rsidRPr="00D417C9">
        <w:t xml:space="preserve">and long-term (five-year) </w:t>
      </w:r>
      <w:r w:rsidR="00124C16">
        <w:t>evaluation questions for CEWO LTIM/MER</w:t>
      </w:r>
      <w:r w:rsidR="00124C16" w:rsidRPr="00D7222B">
        <w:t xml:space="preserve"> indicators. Evaluation questions are </w:t>
      </w:r>
      <w:r w:rsidR="00124C16">
        <w:t>based on ecological targets from the Long-Term Environmental Watering Plan (LTWP) for the South Australian Murray</w:t>
      </w:r>
      <w:r w:rsidR="00124C16" w:rsidRPr="00867B05">
        <w:t xml:space="preserve"> </w:t>
      </w:r>
      <w:r w:rsidR="00124C16">
        <w:t>River and Basin Plan Matter 8 report</w:t>
      </w:r>
      <w:r w:rsidR="00124C16" w:rsidRPr="00D7222B">
        <w:t>.</w:t>
      </w:r>
      <w:r w:rsidR="00124C16">
        <w:t xml:space="preserve"> DEW</w:t>
      </w:r>
      <w:r w:rsidR="00124C16" w:rsidRPr="00F76FD2">
        <w:t xml:space="preserve"> evaluation questions serve as ‘additional’ questions as there may be some CEWO questions</w:t>
      </w:r>
      <w:r w:rsidR="00124C16">
        <w:t xml:space="preserve"> that are also relevant to DEW</w:t>
      </w:r>
      <w:r w:rsidR="00124C16" w:rsidRPr="00F76FD2">
        <w:t>’s targets from the LTWP</w:t>
      </w:r>
      <w:r w:rsidR="00124C16">
        <w:t xml:space="preserve"> and/or the Matter 8 report</w:t>
      </w:r>
      <w:r w:rsidR="00124C16" w:rsidRPr="00F76FD2">
        <w:t>.</w:t>
      </w:r>
      <w:r w:rsidR="00124C16">
        <w:t xml:space="preserve"> CEW = Commonwealth environmental water; eWater = environmental water</w:t>
      </w:r>
      <w:r w:rsidR="00124C16" w:rsidRPr="000D022A">
        <w:t>.</w:t>
      </w:r>
    </w:p>
    <w:p w14:paraId="4AEF9EEC" w14:textId="77777777" w:rsidR="00DE29C8" w:rsidRPr="00107534" w:rsidRDefault="00DE29C8" w:rsidP="00DE29C8">
      <w:pPr>
        <w:pStyle w:val="NoSpacing"/>
        <w:rPr>
          <w:rFonts w:ascii="Century Gothic" w:hAnsi="Century Gothic"/>
          <w:sz w:val="19"/>
          <w:szCs w:val="19"/>
        </w:rPr>
      </w:pPr>
      <w:r w:rsidRPr="00107534">
        <w:rPr>
          <w:rFonts w:ascii="Century Gothic" w:hAnsi="Century Gothic"/>
          <w:sz w:val="19"/>
          <w:szCs w:val="19"/>
        </w:rPr>
        <w:t>Contribution</w:t>
      </w:r>
      <w:r>
        <w:rPr>
          <w:rFonts w:ascii="Century Gothic" w:hAnsi="Century Gothic"/>
          <w:sz w:val="19"/>
          <w:szCs w:val="19"/>
        </w:rPr>
        <w:t xml:space="preserve"> (t</w:t>
      </w:r>
      <w:r w:rsidRPr="003127BA">
        <w:rPr>
          <w:rFonts w:ascii="Century Gothic" w:hAnsi="Century Gothic"/>
          <w:sz w:val="19"/>
          <w:szCs w:val="19"/>
        </w:rPr>
        <w:t>o what extent CEW contributed towards the outcome</w:t>
      </w:r>
      <w:r>
        <w:rPr>
          <w:rFonts w:ascii="Century Gothic" w:hAnsi="Century Gothic"/>
          <w:sz w:val="19"/>
          <w:szCs w:val="19"/>
        </w:rPr>
        <w:t>, with the significance of the outcome considered):</w:t>
      </w:r>
    </w:p>
    <w:tbl>
      <w:tblPr>
        <w:tblW w:w="8894" w:type="dxa"/>
        <w:tblLook w:val="04A0" w:firstRow="1" w:lastRow="0" w:firstColumn="1" w:lastColumn="0" w:noHBand="0" w:noVBand="1"/>
      </w:tblPr>
      <w:tblGrid>
        <w:gridCol w:w="236"/>
        <w:gridCol w:w="1066"/>
        <w:gridCol w:w="222"/>
        <w:gridCol w:w="1069"/>
        <w:gridCol w:w="222"/>
        <w:gridCol w:w="1704"/>
        <w:gridCol w:w="222"/>
        <w:gridCol w:w="727"/>
        <w:gridCol w:w="222"/>
        <w:gridCol w:w="1144"/>
        <w:gridCol w:w="222"/>
        <w:gridCol w:w="1838"/>
      </w:tblGrid>
      <w:tr w:rsidR="00DE29C8" w14:paraId="58F05A73" w14:textId="77777777" w:rsidTr="00820C0E">
        <w:tc>
          <w:tcPr>
            <w:tcW w:w="236" w:type="dxa"/>
            <w:shd w:val="clear" w:color="auto" w:fill="D9D9D9" w:themeFill="background1" w:themeFillShade="D9"/>
          </w:tcPr>
          <w:p w14:paraId="65B09CAC" w14:textId="77777777" w:rsidR="00DE29C8" w:rsidRPr="00D824E3" w:rsidRDefault="00DE29C8" w:rsidP="000A171E">
            <w:pPr>
              <w:contextualSpacing/>
              <w:rPr>
                <w:sz w:val="19"/>
                <w:szCs w:val="19"/>
              </w:rPr>
            </w:pPr>
          </w:p>
        </w:tc>
        <w:tc>
          <w:tcPr>
            <w:tcW w:w="1066" w:type="dxa"/>
            <w:vAlign w:val="center"/>
          </w:tcPr>
          <w:p w14:paraId="437763A0" w14:textId="77777777" w:rsidR="00DE29C8" w:rsidRPr="009306E4" w:rsidRDefault="00DE29C8" w:rsidP="000A171E">
            <w:pPr>
              <w:contextualSpacing/>
              <w:rPr>
                <w:sz w:val="19"/>
                <w:szCs w:val="19"/>
              </w:rPr>
            </w:pPr>
            <w:r w:rsidRPr="009306E4">
              <w:rPr>
                <w:sz w:val="19"/>
                <w:szCs w:val="19"/>
              </w:rPr>
              <w:t>Unknown</w:t>
            </w:r>
          </w:p>
        </w:tc>
        <w:tc>
          <w:tcPr>
            <w:tcW w:w="222" w:type="dxa"/>
            <w:shd w:val="clear" w:color="auto" w:fill="FF0000"/>
            <w:vAlign w:val="center"/>
          </w:tcPr>
          <w:p w14:paraId="5635D59A" w14:textId="77777777" w:rsidR="00DE29C8" w:rsidRPr="009306E4" w:rsidRDefault="00DE29C8" w:rsidP="000A171E">
            <w:pPr>
              <w:contextualSpacing/>
              <w:rPr>
                <w:sz w:val="19"/>
                <w:szCs w:val="19"/>
              </w:rPr>
            </w:pPr>
          </w:p>
        </w:tc>
        <w:tc>
          <w:tcPr>
            <w:tcW w:w="1069" w:type="dxa"/>
            <w:vAlign w:val="center"/>
          </w:tcPr>
          <w:p w14:paraId="6A506509" w14:textId="77777777" w:rsidR="00DE29C8" w:rsidRPr="009306E4" w:rsidRDefault="00DE29C8" w:rsidP="000A171E">
            <w:pPr>
              <w:contextualSpacing/>
              <w:rPr>
                <w:sz w:val="19"/>
                <w:szCs w:val="19"/>
              </w:rPr>
            </w:pPr>
            <w:r w:rsidRPr="009306E4">
              <w:rPr>
                <w:sz w:val="19"/>
                <w:szCs w:val="19"/>
              </w:rPr>
              <w:t>Negative</w:t>
            </w:r>
          </w:p>
        </w:tc>
        <w:tc>
          <w:tcPr>
            <w:tcW w:w="222" w:type="dxa"/>
            <w:shd w:val="clear" w:color="auto" w:fill="E2EFD9" w:themeFill="accent6" w:themeFillTint="33"/>
            <w:vAlign w:val="center"/>
          </w:tcPr>
          <w:p w14:paraId="29410049" w14:textId="77777777" w:rsidR="00DE29C8" w:rsidRPr="009306E4" w:rsidRDefault="00DE29C8" w:rsidP="000A171E">
            <w:pPr>
              <w:contextualSpacing/>
              <w:rPr>
                <w:sz w:val="19"/>
                <w:szCs w:val="19"/>
              </w:rPr>
            </w:pPr>
          </w:p>
        </w:tc>
        <w:tc>
          <w:tcPr>
            <w:tcW w:w="1704" w:type="dxa"/>
            <w:vAlign w:val="center"/>
          </w:tcPr>
          <w:p w14:paraId="3DB4A738" w14:textId="77777777" w:rsidR="00DE29C8" w:rsidRPr="009306E4" w:rsidRDefault="00DE29C8" w:rsidP="000A171E">
            <w:pPr>
              <w:contextualSpacing/>
              <w:rPr>
                <w:sz w:val="19"/>
                <w:szCs w:val="19"/>
              </w:rPr>
            </w:pPr>
            <w:r>
              <w:rPr>
                <w:sz w:val="19"/>
                <w:szCs w:val="19"/>
              </w:rPr>
              <w:t>None/n</w:t>
            </w:r>
            <w:r w:rsidRPr="009306E4">
              <w:rPr>
                <w:sz w:val="19"/>
                <w:szCs w:val="19"/>
              </w:rPr>
              <w:t>egligible</w:t>
            </w:r>
          </w:p>
        </w:tc>
        <w:tc>
          <w:tcPr>
            <w:tcW w:w="222" w:type="dxa"/>
            <w:shd w:val="clear" w:color="auto" w:fill="A8D08D" w:themeFill="accent6" w:themeFillTint="99"/>
            <w:vAlign w:val="center"/>
          </w:tcPr>
          <w:p w14:paraId="567FD9BF" w14:textId="77777777" w:rsidR="00DE29C8" w:rsidRPr="009306E4" w:rsidRDefault="00DE29C8" w:rsidP="000A171E">
            <w:pPr>
              <w:contextualSpacing/>
              <w:rPr>
                <w:sz w:val="19"/>
                <w:szCs w:val="19"/>
              </w:rPr>
            </w:pPr>
          </w:p>
        </w:tc>
        <w:tc>
          <w:tcPr>
            <w:tcW w:w="727" w:type="dxa"/>
            <w:vAlign w:val="center"/>
          </w:tcPr>
          <w:p w14:paraId="01D15C64" w14:textId="77777777" w:rsidR="00DE29C8" w:rsidRPr="009306E4" w:rsidRDefault="00DE29C8" w:rsidP="000A171E">
            <w:pPr>
              <w:contextualSpacing/>
              <w:rPr>
                <w:sz w:val="19"/>
                <w:szCs w:val="19"/>
              </w:rPr>
            </w:pPr>
            <w:r w:rsidRPr="009306E4">
              <w:rPr>
                <w:sz w:val="19"/>
                <w:szCs w:val="19"/>
              </w:rPr>
              <w:t>Minor</w:t>
            </w:r>
          </w:p>
        </w:tc>
        <w:tc>
          <w:tcPr>
            <w:tcW w:w="222" w:type="dxa"/>
            <w:shd w:val="clear" w:color="auto" w:fill="70AD47" w:themeFill="accent6"/>
            <w:vAlign w:val="center"/>
          </w:tcPr>
          <w:p w14:paraId="57D2204C" w14:textId="77777777" w:rsidR="00DE29C8" w:rsidRPr="009306E4" w:rsidRDefault="00DE29C8" w:rsidP="000A171E">
            <w:pPr>
              <w:contextualSpacing/>
              <w:rPr>
                <w:sz w:val="19"/>
                <w:szCs w:val="19"/>
              </w:rPr>
            </w:pPr>
          </w:p>
        </w:tc>
        <w:tc>
          <w:tcPr>
            <w:tcW w:w="1144" w:type="dxa"/>
            <w:vAlign w:val="center"/>
          </w:tcPr>
          <w:p w14:paraId="332DF7C0" w14:textId="77777777" w:rsidR="00DE29C8" w:rsidRPr="009306E4" w:rsidRDefault="00DE29C8" w:rsidP="000A171E">
            <w:pPr>
              <w:contextualSpacing/>
              <w:rPr>
                <w:sz w:val="19"/>
                <w:szCs w:val="19"/>
              </w:rPr>
            </w:pPr>
            <w:r>
              <w:rPr>
                <w:sz w:val="19"/>
                <w:szCs w:val="19"/>
              </w:rPr>
              <w:t>Moderate</w:t>
            </w:r>
          </w:p>
        </w:tc>
        <w:tc>
          <w:tcPr>
            <w:tcW w:w="222" w:type="dxa"/>
            <w:shd w:val="clear" w:color="auto" w:fill="2E74B5" w:themeFill="accent1" w:themeFillShade="BF"/>
          </w:tcPr>
          <w:p w14:paraId="05866010" w14:textId="77777777" w:rsidR="00DE29C8" w:rsidRPr="009306E4" w:rsidRDefault="00DE29C8" w:rsidP="000A171E">
            <w:pPr>
              <w:contextualSpacing/>
              <w:rPr>
                <w:sz w:val="19"/>
                <w:szCs w:val="19"/>
              </w:rPr>
            </w:pPr>
          </w:p>
        </w:tc>
        <w:tc>
          <w:tcPr>
            <w:tcW w:w="1838" w:type="dxa"/>
            <w:vAlign w:val="center"/>
          </w:tcPr>
          <w:p w14:paraId="0F1FFB17" w14:textId="77777777" w:rsidR="00DE29C8" w:rsidRPr="009306E4" w:rsidRDefault="00DE29C8" w:rsidP="000A171E">
            <w:pPr>
              <w:contextualSpacing/>
              <w:jc w:val="left"/>
              <w:rPr>
                <w:sz w:val="19"/>
                <w:szCs w:val="19"/>
              </w:rPr>
            </w:pPr>
            <w:r>
              <w:rPr>
                <w:sz w:val="19"/>
                <w:szCs w:val="19"/>
              </w:rPr>
              <w:t>S</w:t>
            </w:r>
            <w:r w:rsidRPr="009306E4">
              <w:rPr>
                <w:sz w:val="19"/>
                <w:szCs w:val="19"/>
              </w:rPr>
              <w:t>ubstantial</w:t>
            </w:r>
          </w:p>
        </w:tc>
      </w:tr>
    </w:tbl>
    <w:p w14:paraId="24FA18DF" w14:textId="77777777" w:rsidR="00107534" w:rsidRDefault="00107534" w:rsidP="00A350F9">
      <w:pPr>
        <w:spacing w:before="0" w:after="160" w:line="259" w:lineRule="auto"/>
        <w:jc w:val="left"/>
        <w:rPr>
          <w:sz w:val="18"/>
          <w:szCs w:val="17"/>
        </w:rPr>
      </w:pPr>
    </w:p>
    <w:p w14:paraId="0819C15B" w14:textId="716F3969" w:rsidR="00A350F9" w:rsidRPr="00886886" w:rsidRDefault="00A350F9" w:rsidP="00A350F9">
      <w:pPr>
        <w:rPr>
          <w:b/>
          <w:highlight w:val="yellow"/>
          <w:lang w:val="en-US"/>
        </w:rPr>
      </w:pPr>
      <w:r w:rsidRPr="00886886">
        <w:rPr>
          <w:b/>
          <w:lang w:val="en-US"/>
        </w:rPr>
        <w:t>Hydrology (Channel) and Hydr</w:t>
      </w:r>
      <w:r w:rsidR="001522FE">
        <w:rPr>
          <w:b/>
          <w:lang w:val="en-US"/>
        </w:rPr>
        <w:t>aulic</w:t>
      </w:r>
      <w:r w:rsidRPr="00886886">
        <w:rPr>
          <w:b/>
          <w:lang w:val="en-US"/>
        </w:rPr>
        <w:t xml:space="preserve"> Regime (modelling)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06"/>
        <w:gridCol w:w="994"/>
        <w:gridCol w:w="905"/>
        <w:gridCol w:w="722"/>
        <w:gridCol w:w="722"/>
        <w:gridCol w:w="722"/>
        <w:gridCol w:w="1945"/>
      </w:tblGrid>
      <w:tr w:rsidR="00124C16" w:rsidRPr="004E0E6F" w14:paraId="7E124751" w14:textId="77777777" w:rsidTr="008351C5">
        <w:trPr>
          <w:cantSplit/>
          <w:trHeight w:val="20"/>
          <w:tblHeader/>
        </w:trPr>
        <w:tc>
          <w:tcPr>
            <w:tcW w:w="1675" w:type="pct"/>
            <w:vMerge w:val="restart"/>
            <w:tcBorders>
              <w:top w:val="single" w:sz="4" w:space="0" w:color="auto"/>
              <w:left w:val="single" w:sz="4" w:space="0" w:color="auto"/>
              <w:right w:val="single" w:sz="4" w:space="0" w:color="auto"/>
            </w:tcBorders>
          </w:tcPr>
          <w:p w14:paraId="77941C17" w14:textId="77777777" w:rsidR="00124C16" w:rsidRPr="004E0E6F" w:rsidRDefault="00124C16" w:rsidP="008351C5">
            <w:pPr>
              <w:pStyle w:val="TableHeading"/>
              <w:jc w:val="center"/>
              <w:rPr>
                <w:sz w:val="19"/>
                <w:szCs w:val="19"/>
              </w:rPr>
            </w:pPr>
            <w:r w:rsidRPr="004E0E6F">
              <w:rPr>
                <w:sz w:val="19"/>
                <w:szCs w:val="19"/>
              </w:rPr>
              <w:t xml:space="preserve">DEW evaluation questions </w:t>
            </w:r>
          </w:p>
        </w:tc>
        <w:tc>
          <w:tcPr>
            <w:tcW w:w="3325" w:type="pct"/>
            <w:gridSpan w:val="6"/>
            <w:tcBorders>
              <w:top w:val="single" w:sz="4" w:space="0" w:color="auto"/>
              <w:left w:val="single" w:sz="4" w:space="0" w:color="auto"/>
              <w:bottom w:val="single" w:sz="4" w:space="0" w:color="auto"/>
              <w:right w:val="single" w:sz="4" w:space="0" w:color="auto"/>
            </w:tcBorders>
            <w:vAlign w:val="bottom"/>
          </w:tcPr>
          <w:p w14:paraId="08068B15" w14:textId="77777777" w:rsidR="00124C16" w:rsidRPr="004E0E6F" w:rsidRDefault="00124C16" w:rsidP="008351C5">
            <w:pPr>
              <w:pStyle w:val="TableHeading"/>
              <w:jc w:val="center"/>
              <w:rPr>
                <w:sz w:val="19"/>
                <w:szCs w:val="19"/>
              </w:rPr>
            </w:pPr>
            <w:r w:rsidRPr="004E0E6F">
              <w:rPr>
                <w:sz w:val="19"/>
                <w:szCs w:val="19"/>
              </w:rPr>
              <w:t xml:space="preserve">Outcomes </w:t>
            </w:r>
            <w:r>
              <w:rPr>
                <w:sz w:val="19"/>
                <w:szCs w:val="19"/>
              </w:rPr>
              <w:t>of CEW delivery (2014-15–2019-20</w:t>
            </w:r>
            <w:r w:rsidRPr="004E0E6F">
              <w:rPr>
                <w:sz w:val="19"/>
                <w:szCs w:val="19"/>
              </w:rPr>
              <w:t>)</w:t>
            </w:r>
          </w:p>
        </w:tc>
      </w:tr>
      <w:tr w:rsidR="00124C16" w:rsidRPr="004E0E6F" w14:paraId="3D3142DF" w14:textId="77777777" w:rsidTr="00CD2E13">
        <w:trPr>
          <w:cantSplit/>
          <w:trHeight w:val="20"/>
          <w:tblHeader/>
        </w:trPr>
        <w:tc>
          <w:tcPr>
            <w:tcW w:w="1675" w:type="pct"/>
            <w:vMerge/>
            <w:tcBorders>
              <w:left w:val="single" w:sz="4" w:space="0" w:color="auto"/>
              <w:bottom w:val="single" w:sz="4" w:space="0" w:color="auto"/>
              <w:right w:val="single" w:sz="4" w:space="0" w:color="auto"/>
            </w:tcBorders>
          </w:tcPr>
          <w:p w14:paraId="1E46F274" w14:textId="77777777" w:rsidR="00124C16" w:rsidRPr="004E0E6F" w:rsidRDefault="00124C16" w:rsidP="008351C5">
            <w:pPr>
              <w:pStyle w:val="TableHeading"/>
              <w:jc w:val="center"/>
              <w:rPr>
                <w:sz w:val="19"/>
                <w:szCs w:val="19"/>
              </w:rPr>
            </w:pPr>
          </w:p>
        </w:tc>
        <w:tc>
          <w:tcPr>
            <w:tcW w:w="559" w:type="pct"/>
            <w:tcBorders>
              <w:top w:val="single" w:sz="4" w:space="0" w:color="auto"/>
              <w:left w:val="single" w:sz="4" w:space="0" w:color="auto"/>
              <w:bottom w:val="single" w:sz="4" w:space="0" w:color="auto"/>
            </w:tcBorders>
            <w:vAlign w:val="center"/>
          </w:tcPr>
          <w:p w14:paraId="22D001B7" w14:textId="77777777" w:rsidR="00124C16" w:rsidRPr="004E0E6F" w:rsidRDefault="00124C16" w:rsidP="00CD2E13">
            <w:pPr>
              <w:pStyle w:val="TableHeading"/>
              <w:jc w:val="center"/>
              <w:rPr>
                <w:sz w:val="19"/>
                <w:szCs w:val="19"/>
              </w:rPr>
            </w:pPr>
            <w:r w:rsidRPr="004E0E6F">
              <w:rPr>
                <w:sz w:val="19"/>
                <w:szCs w:val="19"/>
              </w:rPr>
              <w:t>2014-15</w:t>
            </w:r>
          </w:p>
        </w:tc>
        <w:tc>
          <w:tcPr>
            <w:tcW w:w="509" w:type="pct"/>
            <w:tcBorders>
              <w:top w:val="single" w:sz="4" w:space="0" w:color="auto"/>
              <w:bottom w:val="single" w:sz="4" w:space="0" w:color="auto"/>
            </w:tcBorders>
            <w:vAlign w:val="center"/>
          </w:tcPr>
          <w:p w14:paraId="20DE9E74" w14:textId="77777777" w:rsidR="00124C16" w:rsidRPr="004E0E6F" w:rsidRDefault="00124C16" w:rsidP="00CD2E13">
            <w:pPr>
              <w:pStyle w:val="TableHeading"/>
              <w:jc w:val="center"/>
              <w:rPr>
                <w:sz w:val="19"/>
                <w:szCs w:val="19"/>
              </w:rPr>
            </w:pPr>
            <w:r w:rsidRPr="004E0E6F">
              <w:rPr>
                <w:sz w:val="19"/>
                <w:szCs w:val="19"/>
              </w:rPr>
              <w:t>2015-16</w:t>
            </w:r>
          </w:p>
        </w:tc>
        <w:tc>
          <w:tcPr>
            <w:tcW w:w="407" w:type="pct"/>
            <w:tcBorders>
              <w:top w:val="single" w:sz="4" w:space="0" w:color="auto"/>
              <w:bottom w:val="single" w:sz="4" w:space="0" w:color="auto"/>
            </w:tcBorders>
            <w:vAlign w:val="center"/>
          </w:tcPr>
          <w:p w14:paraId="17717ADF" w14:textId="77777777" w:rsidR="00124C16" w:rsidRPr="004E0E6F" w:rsidRDefault="00124C16" w:rsidP="00CD2E13">
            <w:pPr>
              <w:pStyle w:val="TableHeading"/>
              <w:jc w:val="center"/>
              <w:rPr>
                <w:sz w:val="19"/>
                <w:szCs w:val="19"/>
              </w:rPr>
            </w:pPr>
            <w:r w:rsidRPr="004E0E6F">
              <w:rPr>
                <w:sz w:val="19"/>
                <w:szCs w:val="19"/>
              </w:rPr>
              <w:t>2016-17</w:t>
            </w:r>
          </w:p>
        </w:tc>
        <w:tc>
          <w:tcPr>
            <w:tcW w:w="406" w:type="pct"/>
            <w:tcBorders>
              <w:top w:val="single" w:sz="4" w:space="0" w:color="auto"/>
              <w:bottom w:val="single" w:sz="4" w:space="0" w:color="auto"/>
            </w:tcBorders>
            <w:vAlign w:val="center"/>
          </w:tcPr>
          <w:p w14:paraId="77836F5C" w14:textId="77777777" w:rsidR="00124C16" w:rsidRPr="004E0E6F" w:rsidRDefault="00124C16" w:rsidP="00CD2E13">
            <w:pPr>
              <w:pStyle w:val="TableHeading"/>
              <w:jc w:val="center"/>
              <w:rPr>
                <w:sz w:val="19"/>
                <w:szCs w:val="19"/>
              </w:rPr>
            </w:pPr>
            <w:r w:rsidRPr="004E0E6F">
              <w:rPr>
                <w:sz w:val="19"/>
                <w:szCs w:val="19"/>
              </w:rPr>
              <w:t>2017-18</w:t>
            </w:r>
          </w:p>
        </w:tc>
        <w:tc>
          <w:tcPr>
            <w:tcW w:w="356" w:type="pct"/>
            <w:tcBorders>
              <w:top w:val="single" w:sz="4" w:space="0" w:color="auto"/>
              <w:bottom w:val="single" w:sz="4" w:space="0" w:color="auto"/>
            </w:tcBorders>
            <w:shd w:val="clear" w:color="auto" w:fill="auto"/>
            <w:vAlign w:val="center"/>
          </w:tcPr>
          <w:p w14:paraId="08541F07" w14:textId="77777777" w:rsidR="00124C16" w:rsidRPr="004E0E6F" w:rsidRDefault="00124C16" w:rsidP="00CD2E13">
            <w:pPr>
              <w:pStyle w:val="TableHeading"/>
              <w:jc w:val="center"/>
              <w:rPr>
                <w:sz w:val="19"/>
                <w:szCs w:val="19"/>
              </w:rPr>
            </w:pPr>
            <w:r w:rsidRPr="004E0E6F">
              <w:rPr>
                <w:sz w:val="19"/>
                <w:szCs w:val="19"/>
              </w:rPr>
              <w:t>2018-19</w:t>
            </w:r>
          </w:p>
        </w:tc>
        <w:tc>
          <w:tcPr>
            <w:tcW w:w="1088" w:type="pct"/>
            <w:tcBorders>
              <w:top w:val="single" w:sz="4" w:space="0" w:color="auto"/>
              <w:bottom w:val="single" w:sz="4" w:space="0" w:color="auto"/>
            </w:tcBorders>
            <w:vAlign w:val="center"/>
          </w:tcPr>
          <w:p w14:paraId="1E36F3BC" w14:textId="77777777" w:rsidR="00124C16" w:rsidRPr="004E0E6F" w:rsidRDefault="00124C16" w:rsidP="00CD2E13">
            <w:pPr>
              <w:pStyle w:val="TableHeading"/>
              <w:jc w:val="center"/>
              <w:rPr>
                <w:sz w:val="19"/>
                <w:szCs w:val="19"/>
              </w:rPr>
            </w:pPr>
            <w:r>
              <w:rPr>
                <w:sz w:val="19"/>
                <w:szCs w:val="19"/>
              </w:rPr>
              <w:t>2019-20</w:t>
            </w:r>
          </w:p>
        </w:tc>
      </w:tr>
      <w:tr w:rsidR="00124C16" w:rsidRPr="004E0E6F" w14:paraId="43061783" w14:textId="77777777" w:rsidTr="008351C5">
        <w:trPr>
          <w:cantSplit/>
          <w:trHeight w:val="20"/>
        </w:trPr>
        <w:tc>
          <w:tcPr>
            <w:tcW w:w="1675" w:type="pct"/>
            <w:vMerge w:val="restart"/>
            <w:tcBorders>
              <w:top w:val="single" w:sz="4" w:space="0" w:color="auto"/>
              <w:left w:val="single" w:sz="4" w:space="0" w:color="auto"/>
              <w:right w:val="single" w:sz="4" w:space="0" w:color="auto"/>
            </w:tcBorders>
          </w:tcPr>
          <w:p w14:paraId="25DF3B1B" w14:textId="77777777" w:rsidR="00124C16" w:rsidRPr="004E0E6F" w:rsidRDefault="00124C16" w:rsidP="008351C5">
            <w:pPr>
              <w:pStyle w:val="TableHeading"/>
              <w:jc w:val="left"/>
              <w:rPr>
                <w:b w:val="0"/>
                <w:sz w:val="19"/>
                <w:szCs w:val="19"/>
              </w:rPr>
            </w:pPr>
            <w:r w:rsidRPr="00A52646">
              <w:rPr>
                <w:b w:val="0"/>
                <w:sz w:val="19"/>
                <w:szCs w:val="19"/>
              </w:rPr>
              <w:t xml:space="preserve">To what extent did </w:t>
            </w:r>
            <w:r w:rsidRPr="004E0E6F">
              <w:rPr>
                <w:b w:val="0"/>
                <w:sz w:val="19"/>
                <w:szCs w:val="19"/>
              </w:rPr>
              <w:t xml:space="preserve">CEW contribute to meeting the EWRs (all metrics) for the </w:t>
            </w:r>
            <w:r>
              <w:rPr>
                <w:b w:val="0"/>
                <w:sz w:val="19"/>
                <w:szCs w:val="19"/>
              </w:rPr>
              <w:t xml:space="preserve">Lower Murray </w:t>
            </w:r>
            <w:r w:rsidRPr="004E0E6F">
              <w:rPr>
                <w:b w:val="0"/>
                <w:sz w:val="19"/>
                <w:szCs w:val="19"/>
              </w:rPr>
              <w:t>Channel?</w:t>
            </w:r>
          </w:p>
        </w:tc>
        <w:tc>
          <w:tcPr>
            <w:tcW w:w="559"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FEB4954" w14:textId="77777777" w:rsidR="00124C16" w:rsidRPr="004E0E6F" w:rsidRDefault="00124C16" w:rsidP="008351C5">
            <w:pPr>
              <w:pStyle w:val="TableHeading"/>
              <w:jc w:val="left"/>
              <w:rPr>
                <w:sz w:val="19"/>
                <w:szCs w:val="19"/>
              </w:rPr>
            </w:pPr>
            <w:r>
              <w:rPr>
                <w:sz w:val="19"/>
                <w:szCs w:val="19"/>
              </w:rPr>
              <w:t>0</w:t>
            </w:r>
            <w:r w:rsidRPr="004E0E6F">
              <w:rPr>
                <w:sz w:val="19"/>
                <w:szCs w:val="19"/>
              </w:rPr>
              <w:t xml:space="preserve">/0 </w:t>
            </w:r>
          </w:p>
        </w:tc>
        <w:tc>
          <w:tcPr>
            <w:tcW w:w="509"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00692982" w14:textId="77777777" w:rsidR="00124C16" w:rsidRPr="004E0E6F" w:rsidRDefault="00124C16" w:rsidP="008351C5">
            <w:pPr>
              <w:pStyle w:val="TableHeading"/>
              <w:jc w:val="left"/>
              <w:rPr>
                <w:sz w:val="19"/>
                <w:szCs w:val="19"/>
              </w:rPr>
            </w:pPr>
            <w:r w:rsidRPr="004E0E6F">
              <w:rPr>
                <w:sz w:val="19"/>
                <w:szCs w:val="19"/>
              </w:rPr>
              <w:t>1/0</w:t>
            </w:r>
          </w:p>
        </w:tc>
        <w:tc>
          <w:tcPr>
            <w:tcW w:w="407"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D6A1BCB" w14:textId="77777777" w:rsidR="00124C16" w:rsidRPr="004E0E6F" w:rsidRDefault="00124C16" w:rsidP="008351C5">
            <w:pPr>
              <w:pStyle w:val="TableHeading"/>
              <w:jc w:val="left"/>
              <w:rPr>
                <w:sz w:val="19"/>
                <w:szCs w:val="19"/>
              </w:rPr>
            </w:pPr>
            <w:r w:rsidRPr="004E0E6F">
              <w:rPr>
                <w:sz w:val="19"/>
                <w:szCs w:val="19"/>
              </w:rPr>
              <w:t>9/9</w:t>
            </w:r>
          </w:p>
        </w:tc>
        <w:tc>
          <w:tcPr>
            <w:tcW w:w="406"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4AB92419" w14:textId="77777777" w:rsidR="00124C16" w:rsidRPr="004E0E6F" w:rsidRDefault="00124C16" w:rsidP="008351C5">
            <w:pPr>
              <w:pStyle w:val="TableHeading"/>
              <w:jc w:val="left"/>
              <w:rPr>
                <w:sz w:val="19"/>
                <w:szCs w:val="19"/>
              </w:rPr>
            </w:pPr>
            <w:r w:rsidRPr="004E0E6F">
              <w:rPr>
                <w:sz w:val="19"/>
                <w:szCs w:val="19"/>
              </w:rPr>
              <w:t>1/0</w:t>
            </w:r>
          </w:p>
        </w:tc>
        <w:tc>
          <w:tcPr>
            <w:tcW w:w="356"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BAAA3C8" w14:textId="77777777" w:rsidR="00124C16" w:rsidRPr="004E0E6F" w:rsidRDefault="00124C16" w:rsidP="008351C5">
            <w:pPr>
              <w:pStyle w:val="TableHeading"/>
              <w:jc w:val="left"/>
              <w:rPr>
                <w:sz w:val="19"/>
                <w:szCs w:val="19"/>
              </w:rPr>
            </w:pPr>
            <w:r>
              <w:rPr>
                <w:sz w:val="19"/>
                <w:szCs w:val="19"/>
              </w:rPr>
              <w:t>0/0</w:t>
            </w:r>
          </w:p>
        </w:tc>
        <w:tc>
          <w:tcPr>
            <w:tcW w:w="1088"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C59FB30" w14:textId="3925ED07" w:rsidR="00124C16" w:rsidRDefault="00124C16" w:rsidP="008351C5">
            <w:pPr>
              <w:pStyle w:val="TableHeading"/>
              <w:jc w:val="left"/>
              <w:rPr>
                <w:sz w:val="19"/>
                <w:szCs w:val="19"/>
              </w:rPr>
            </w:pPr>
            <w:r>
              <w:rPr>
                <w:sz w:val="19"/>
                <w:szCs w:val="19"/>
              </w:rPr>
              <w:t xml:space="preserve">0 EWR </w:t>
            </w:r>
            <w:r w:rsidR="0063074C">
              <w:rPr>
                <w:sz w:val="19"/>
                <w:szCs w:val="19"/>
              </w:rPr>
              <w:t>m</w:t>
            </w:r>
            <w:r>
              <w:rPr>
                <w:sz w:val="19"/>
                <w:szCs w:val="19"/>
              </w:rPr>
              <w:t>et with CEW/0</w:t>
            </w:r>
            <w:r w:rsidRPr="004E0E6F">
              <w:rPr>
                <w:sz w:val="19"/>
                <w:szCs w:val="19"/>
              </w:rPr>
              <w:t xml:space="preserve"> EWR </w:t>
            </w:r>
            <w:r w:rsidR="0063074C">
              <w:rPr>
                <w:sz w:val="19"/>
                <w:szCs w:val="19"/>
              </w:rPr>
              <w:t>m</w:t>
            </w:r>
            <w:r w:rsidRPr="004E0E6F">
              <w:rPr>
                <w:sz w:val="19"/>
                <w:szCs w:val="19"/>
              </w:rPr>
              <w:t>et without CEW</w:t>
            </w:r>
          </w:p>
        </w:tc>
      </w:tr>
      <w:tr w:rsidR="00124C16" w:rsidRPr="004E0E6F" w14:paraId="6AB61872" w14:textId="77777777" w:rsidTr="008351C5">
        <w:trPr>
          <w:cantSplit/>
          <w:trHeight w:val="20"/>
        </w:trPr>
        <w:tc>
          <w:tcPr>
            <w:tcW w:w="1675" w:type="pct"/>
            <w:vMerge/>
            <w:tcBorders>
              <w:left w:val="single" w:sz="4" w:space="0" w:color="auto"/>
              <w:bottom w:val="single" w:sz="4" w:space="0" w:color="auto"/>
              <w:right w:val="single" w:sz="4" w:space="0" w:color="auto"/>
            </w:tcBorders>
          </w:tcPr>
          <w:p w14:paraId="5BC0C378" w14:textId="77777777" w:rsidR="00124C16" w:rsidRPr="004E0E6F" w:rsidRDefault="00124C16" w:rsidP="008351C5">
            <w:pPr>
              <w:pStyle w:val="TableHeading"/>
              <w:jc w:val="left"/>
              <w:rPr>
                <w:b w:val="0"/>
                <w:sz w:val="19"/>
                <w:szCs w:val="19"/>
              </w:rPr>
            </w:pPr>
          </w:p>
        </w:tc>
        <w:tc>
          <w:tcPr>
            <w:tcW w:w="3325" w:type="pct"/>
            <w:gridSpan w:val="6"/>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0D17CC5B" w14:textId="77777777" w:rsidR="00124C16" w:rsidRPr="004E0E6F" w:rsidRDefault="00124C16" w:rsidP="008351C5">
            <w:pPr>
              <w:pStyle w:val="TableHeading"/>
              <w:jc w:val="left"/>
              <w:rPr>
                <w:b w:val="0"/>
                <w:sz w:val="19"/>
                <w:szCs w:val="19"/>
              </w:rPr>
            </w:pPr>
            <w:r>
              <w:rPr>
                <w:b w:val="0"/>
                <w:sz w:val="19"/>
                <w:szCs w:val="19"/>
              </w:rPr>
              <w:t>T</w:t>
            </w:r>
            <w:r w:rsidRPr="004E0E6F">
              <w:rPr>
                <w:b w:val="0"/>
                <w:sz w:val="19"/>
                <w:szCs w:val="19"/>
              </w:rPr>
              <w:t xml:space="preserve">he 10,000 </w:t>
            </w:r>
            <w:r>
              <w:rPr>
                <w:b w:val="0"/>
                <w:sz w:val="19"/>
                <w:szCs w:val="19"/>
              </w:rPr>
              <w:t>ML/d for 60 days Environmental Watering Requirement (EWR) was met in 2</w:t>
            </w:r>
            <w:r w:rsidRPr="004E0E6F">
              <w:rPr>
                <w:b w:val="0"/>
                <w:sz w:val="19"/>
                <w:szCs w:val="19"/>
              </w:rPr>
              <w:t xml:space="preserve"> of the </w:t>
            </w:r>
            <w:r>
              <w:rPr>
                <w:b w:val="0"/>
                <w:sz w:val="19"/>
                <w:szCs w:val="19"/>
              </w:rPr>
              <w:t>6</w:t>
            </w:r>
            <w:r w:rsidRPr="004E0E6F">
              <w:rPr>
                <w:b w:val="0"/>
                <w:sz w:val="19"/>
                <w:szCs w:val="19"/>
              </w:rPr>
              <w:t xml:space="preserve"> years. Without CEW contributions, this EWR would not have been met in these years. In the 2016-17 high flow year</w:t>
            </w:r>
            <w:r>
              <w:rPr>
                <w:b w:val="0"/>
                <w:sz w:val="19"/>
                <w:szCs w:val="19"/>
              </w:rPr>
              <w:t>,</w:t>
            </w:r>
            <w:r w:rsidRPr="004E0E6F">
              <w:rPr>
                <w:b w:val="0"/>
                <w:sz w:val="19"/>
                <w:szCs w:val="19"/>
              </w:rPr>
              <w:t xml:space="preserve"> </w:t>
            </w:r>
            <w:r>
              <w:rPr>
                <w:b w:val="0"/>
                <w:sz w:val="19"/>
                <w:szCs w:val="19"/>
              </w:rPr>
              <w:t xml:space="preserve">9 </w:t>
            </w:r>
            <w:r w:rsidRPr="004E0E6F">
              <w:rPr>
                <w:b w:val="0"/>
                <w:sz w:val="19"/>
                <w:szCs w:val="19"/>
              </w:rPr>
              <w:t>EWRs were met by the unregulated flow.</w:t>
            </w:r>
          </w:p>
          <w:p w14:paraId="650778E7" w14:textId="77777777" w:rsidR="00124C16" w:rsidRDefault="00124C16" w:rsidP="008351C5">
            <w:pPr>
              <w:pStyle w:val="TableHeading"/>
              <w:jc w:val="left"/>
              <w:rPr>
                <w:b w:val="0"/>
                <w:sz w:val="19"/>
                <w:szCs w:val="19"/>
              </w:rPr>
            </w:pPr>
            <w:r w:rsidRPr="004E0E6F">
              <w:rPr>
                <w:b w:val="0"/>
                <w:sz w:val="19"/>
                <w:szCs w:val="19"/>
              </w:rPr>
              <w:t>Total number of EWRs is 7 for the channel + 5 floodplain = 12 (DEWNR 2015).</w:t>
            </w:r>
          </w:p>
        </w:tc>
      </w:tr>
      <w:tr w:rsidR="00124C16" w:rsidRPr="004E0E6F" w14:paraId="52CDDD8D" w14:textId="77777777" w:rsidTr="008351C5">
        <w:trPr>
          <w:cantSplit/>
          <w:trHeight w:val="20"/>
        </w:trPr>
        <w:tc>
          <w:tcPr>
            <w:tcW w:w="1675" w:type="pct"/>
            <w:vMerge w:val="restart"/>
            <w:tcBorders>
              <w:top w:val="single" w:sz="4" w:space="0" w:color="auto"/>
              <w:left w:val="single" w:sz="4" w:space="0" w:color="auto"/>
              <w:right w:val="single" w:sz="4" w:space="0" w:color="auto"/>
            </w:tcBorders>
          </w:tcPr>
          <w:p w14:paraId="66D4C825" w14:textId="184C6427" w:rsidR="00124C16" w:rsidRDefault="00124C16" w:rsidP="008351C5">
            <w:pPr>
              <w:pStyle w:val="TableHeading"/>
              <w:jc w:val="left"/>
              <w:rPr>
                <w:b w:val="0"/>
                <w:sz w:val="19"/>
                <w:szCs w:val="19"/>
              </w:rPr>
            </w:pPr>
            <w:r>
              <w:rPr>
                <w:b w:val="0"/>
                <w:sz w:val="19"/>
                <w:szCs w:val="19"/>
              </w:rPr>
              <w:t>T</w:t>
            </w:r>
            <w:r w:rsidRPr="008B1EA3">
              <w:rPr>
                <w:b w:val="0"/>
                <w:sz w:val="19"/>
                <w:szCs w:val="19"/>
              </w:rPr>
              <w:t xml:space="preserve">o what extent did CEW contribute to </w:t>
            </w:r>
            <w:r>
              <w:rPr>
                <w:b w:val="0"/>
                <w:sz w:val="19"/>
                <w:szCs w:val="19"/>
              </w:rPr>
              <w:t>meeting the</w:t>
            </w:r>
            <w:r w:rsidRPr="008B1EA3">
              <w:rPr>
                <w:b w:val="0"/>
                <w:sz w:val="19"/>
                <w:szCs w:val="19"/>
              </w:rPr>
              <w:t xml:space="preserve"> expected outcome for velocity in the Lower Murray?</w:t>
            </w:r>
          </w:p>
          <w:p w14:paraId="0C0F2184" w14:textId="77777777" w:rsidR="00124C16" w:rsidRPr="004E0E6F" w:rsidRDefault="00124C16" w:rsidP="008351C5">
            <w:pPr>
              <w:pStyle w:val="TableHeading"/>
              <w:jc w:val="left"/>
              <w:rPr>
                <w:b w:val="0"/>
                <w:sz w:val="19"/>
                <w:szCs w:val="19"/>
              </w:rPr>
            </w:pPr>
            <w:r>
              <w:rPr>
                <w:b w:val="0"/>
                <w:i/>
                <w:sz w:val="19"/>
                <w:szCs w:val="19"/>
              </w:rPr>
              <w:t>T</w:t>
            </w:r>
            <w:r w:rsidRPr="001E5FE0">
              <w:rPr>
                <w:b w:val="0"/>
                <w:i/>
                <w:sz w:val="19"/>
                <w:szCs w:val="19"/>
              </w:rPr>
              <w:t>he majority of lower third weir pools will have median cross-sectional velocities of &gt;0.3</w:t>
            </w:r>
            <w:r>
              <w:rPr>
                <w:b w:val="0"/>
                <w:i/>
                <w:sz w:val="19"/>
                <w:szCs w:val="19"/>
              </w:rPr>
              <w:t> </w:t>
            </w:r>
            <w:r w:rsidRPr="001E5FE0">
              <w:rPr>
                <w:b w:val="0"/>
                <w:i/>
                <w:sz w:val="19"/>
                <w:szCs w:val="19"/>
              </w:rPr>
              <w:t>m/s for at least 60 consecutive days between September</w:t>
            </w:r>
            <w:r>
              <w:rPr>
                <w:b w:val="0"/>
                <w:i/>
                <w:sz w:val="19"/>
                <w:szCs w:val="19"/>
              </w:rPr>
              <w:t>–</w:t>
            </w:r>
            <w:r w:rsidRPr="001E5FE0">
              <w:rPr>
                <w:b w:val="0"/>
                <w:i/>
                <w:sz w:val="19"/>
                <w:szCs w:val="19"/>
              </w:rPr>
              <w:t>March</w:t>
            </w:r>
            <w:r>
              <w:rPr>
                <w:b w:val="0"/>
                <w:i/>
                <w:sz w:val="19"/>
                <w:szCs w:val="19"/>
              </w:rPr>
              <w:t>.</w:t>
            </w:r>
          </w:p>
        </w:tc>
        <w:tc>
          <w:tcPr>
            <w:tcW w:w="559"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B8571E9" w14:textId="77777777" w:rsidR="00124C16" w:rsidRPr="004E0E6F" w:rsidRDefault="00124C16" w:rsidP="008351C5">
            <w:pPr>
              <w:pStyle w:val="TableHeading"/>
              <w:jc w:val="left"/>
              <w:rPr>
                <w:sz w:val="19"/>
                <w:szCs w:val="19"/>
              </w:rPr>
            </w:pPr>
            <w:r>
              <w:rPr>
                <w:sz w:val="19"/>
                <w:szCs w:val="19"/>
              </w:rPr>
              <w:t>0/0</w:t>
            </w:r>
          </w:p>
        </w:tc>
        <w:tc>
          <w:tcPr>
            <w:tcW w:w="509"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096FD0E3" w14:textId="77777777" w:rsidR="00124C16" w:rsidRPr="004E0E6F" w:rsidRDefault="00124C16" w:rsidP="008351C5">
            <w:pPr>
              <w:pStyle w:val="TableHeading"/>
              <w:jc w:val="left"/>
              <w:rPr>
                <w:sz w:val="19"/>
                <w:szCs w:val="19"/>
              </w:rPr>
            </w:pPr>
            <w:r>
              <w:rPr>
                <w:sz w:val="19"/>
                <w:szCs w:val="19"/>
              </w:rPr>
              <w:t>0/0</w:t>
            </w:r>
          </w:p>
        </w:tc>
        <w:tc>
          <w:tcPr>
            <w:tcW w:w="407"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1AD54C1" w14:textId="77777777" w:rsidR="00124C16" w:rsidRPr="004E0E6F" w:rsidRDefault="00124C16" w:rsidP="008351C5">
            <w:pPr>
              <w:pStyle w:val="TableHeading"/>
              <w:jc w:val="left"/>
              <w:rPr>
                <w:sz w:val="19"/>
                <w:szCs w:val="19"/>
              </w:rPr>
            </w:pPr>
            <w:r>
              <w:rPr>
                <w:sz w:val="19"/>
                <w:szCs w:val="19"/>
              </w:rPr>
              <w:t>1/1</w:t>
            </w:r>
          </w:p>
        </w:tc>
        <w:tc>
          <w:tcPr>
            <w:tcW w:w="406"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199441C" w14:textId="77777777" w:rsidR="00124C16" w:rsidRPr="004E0E6F" w:rsidRDefault="00124C16" w:rsidP="008351C5">
            <w:pPr>
              <w:pStyle w:val="TableHeading"/>
              <w:jc w:val="left"/>
              <w:rPr>
                <w:sz w:val="19"/>
                <w:szCs w:val="19"/>
              </w:rPr>
            </w:pPr>
            <w:r>
              <w:rPr>
                <w:sz w:val="19"/>
                <w:szCs w:val="19"/>
              </w:rPr>
              <w:t>0/0</w:t>
            </w:r>
          </w:p>
        </w:tc>
        <w:tc>
          <w:tcPr>
            <w:tcW w:w="356"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FD6B166" w14:textId="77777777" w:rsidR="00124C16" w:rsidRPr="004E0E6F" w:rsidRDefault="00124C16" w:rsidP="008351C5">
            <w:pPr>
              <w:pStyle w:val="TableHeading"/>
              <w:jc w:val="left"/>
              <w:rPr>
                <w:sz w:val="19"/>
                <w:szCs w:val="19"/>
              </w:rPr>
            </w:pPr>
            <w:r>
              <w:rPr>
                <w:sz w:val="19"/>
                <w:szCs w:val="19"/>
              </w:rPr>
              <w:t>0/0</w:t>
            </w:r>
          </w:p>
        </w:tc>
        <w:tc>
          <w:tcPr>
            <w:tcW w:w="1088"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A607DFB" w14:textId="655C8A62" w:rsidR="00124C16" w:rsidRPr="004E0E6F" w:rsidRDefault="00124C16" w:rsidP="008351C5">
            <w:pPr>
              <w:pStyle w:val="TableHeading"/>
              <w:jc w:val="left"/>
              <w:rPr>
                <w:sz w:val="19"/>
                <w:szCs w:val="19"/>
              </w:rPr>
            </w:pPr>
            <w:r>
              <w:rPr>
                <w:sz w:val="19"/>
                <w:szCs w:val="19"/>
              </w:rPr>
              <w:t xml:space="preserve">0 </w:t>
            </w:r>
            <w:r w:rsidR="0063074C">
              <w:rPr>
                <w:sz w:val="19"/>
                <w:szCs w:val="19"/>
              </w:rPr>
              <w:t>m</w:t>
            </w:r>
            <w:r>
              <w:rPr>
                <w:sz w:val="19"/>
                <w:szCs w:val="19"/>
              </w:rPr>
              <w:t>et with CEW/0</w:t>
            </w:r>
            <w:r w:rsidRPr="004E0E6F">
              <w:rPr>
                <w:sz w:val="19"/>
                <w:szCs w:val="19"/>
              </w:rPr>
              <w:t xml:space="preserve"> </w:t>
            </w:r>
            <w:r w:rsidR="0063074C">
              <w:rPr>
                <w:sz w:val="19"/>
                <w:szCs w:val="19"/>
              </w:rPr>
              <w:t>m</w:t>
            </w:r>
            <w:r w:rsidRPr="004E0E6F">
              <w:rPr>
                <w:sz w:val="19"/>
                <w:szCs w:val="19"/>
              </w:rPr>
              <w:t>et without CEW</w:t>
            </w:r>
          </w:p>
        </w:tc>
      </w:tr>
      <w:tr w:rsidR="00124C16" w:rsidRPr="004E0E6F" w14:paraId="4B52F507" w14:textId="77777777" w:rsidTr="008351C5">
        <w:trPr>
          <w:cantSplit/>
          <w:trHeight w:val="20"/>
        </w:trPr>
        <w:tc>
          <w:tcPr>
            <w:tcW w:w="1675" w:type="pct"/>
            <w:vMerge/>
            <w:tcBorders>
              <w:left w:val="single" w:sz="4" w:space="0" w:color="auto"/>
              <w:right w:val="single" w:sz="4" w:space="0" w:color="auto"/>
            </w:tcBorders>
          </w:tcPr>
          <w:p w14:paraId="3EB93C1F" w14:textId="77777777" w:rsidR="00124C16" w:rsidRPr="004E0E6F" w:rsidRDefault="00124C16" w:rsidP="008351C5">
            <w:pPr>
              <w:pStyle w:val="TableHeading"/>
              <w:jc w:val="left"/>
              <w:rPr>
                <w:b w:val="0"/>
                <w:sz w:val="19"/>
                <w:szCs w:val="19"/>
              </w:rPr>
            </w:pPr>
          </w:p>
        </w:tc>
        <w:tc>
          <w:tcPr>
            <w:tcW w:w="3325" w:type="pct"/>
            <w:gridSpan w:val="6"/>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3443931" w14:textId="5E2D1154" w:rsidR="00124C16" w:rsidRPr="008B1EA3" w:rsidRDefault="0063074C" w:rsidP="008351C5">
            <w:pPr>
              <w:pStyle w:val="TableHeading"/>
              <w:jc w:val="left"/>
              <w:rPr>
                <w:b w:val="0"/>
                <w:sz w:val="19"/>
                <w:szCs w:val="19"/>
                <w:highlight w:val="yellow"/>
              </w:rPr>
            </w:pPr>
            <w:r w:rsidRPr="0063074C">
              <w:rPr>
                <w:b w:val="0"/>
                <w:sz w:val="19"/>
                <w:szCs w:val="19"/>
              </w:rPr>
              <w:t>Assuming significant weir pool manipulations are not occurring, analysis of velocity results and expert elicitation has identified that this evaluation question is met by the 20,000 ML/d for 60 days EWR. This EWR was only met in 2016-17, and in that high flow year the EWR would have been met without CEW contributions</w:t>
            </w:r>
            <w:r w:rsidR="00124C16" w:rsidRPr="0063074C">
              <w:rPr>
                <w:b w:val="0"/>
                <w:sz w:val="19"/>
                <w:szCs w:val="19"/>
              </w:rPr>
              <w:t>.</w:t>
            </w:r>
          </w:p>
        </w:tc>
      </w:tr>
    </w:tbl>
    <w:p w14:paraId="1B830C1F" w14:textId="77777777" w:rsidR="005D1C37" w:rsidRDefault="005D1C37" w:rsidP="00A350F9"/>
    <w:p w14:paraId="5265FB66" w14:textId="77777777" w:rsidR="005D1C37" w:rsidRDefault="005D1C37">
      <w:pPr>
        <w:spacing w:before="0" w:after="160" w:line="259" w:lineRule="auto"/>
        <w:jc w:val="left"/>
      </w:pPr>
      <w:r>
        <w:br w:type="page"/>
      </w:r>
    </w:p>
    <w:p w14:paraId="794E2257" w14:textId="5BCF3ACB" w:rsidR="00A350F9" w:rsidRPr="00886886" w:rsidRDefault="00A350F9" w:rsidP="00A350F9">
      <w:pPr>
        <w:rPr>
          <w:b/>
        </w:rPr>
      </w:pPr>
      <w:r w:rsidRPr="00886886">
        <w:rPr>
          <w:b/>
        </w:rPr>
        <w:t>Stream Metabolism</w:t>
      </w:r>
      <w:r w:rsidR="001A774C">
        <w:rPr>
          <w:b/>
        </w:rPr>
        <w:t xml:space="preserve"> and Water Quality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88"/>
        <w:gridCol w:w="1134"/>
        <w:gridCol w:w="992"/>
        <w:gridCol w:w="994"/>
        <w:gridCol w:w="992"/>
        <w:gridCol w:w="1078"/>
        <w:gridCol w:w="1138"/>
      </w:tblGrid>
      <w:tr w:rsidR="00124C16" w:rsidRPr="0041543F" w14:paraId="0BD79A3B" w14:textId="77777777" w:rsidTr="0084014F">
        <w:trPr>
          <w:cantSplit/>
          <w:trHeight w:val="20"/>
          <w:tblHeader/>
        </w:trPr>
        <w:tc>
          <w:tcPr>
            <w:tcW w:w="1491" w:type="pct"/>
            <w:vMerge w:val="restart"/>
            <w:tcBorders>
              <w:top w:val="single" w:sz="4" w:space="0" w:color="auto"/>
              <w:left w:val="single" w:sz="4" w:space="0" w:color="auto"/>
              <w:right w:val="single" w:sz="4" w:space="0" w:color="auto"/>
            </w:tcBorders>
          </w:tcPr>
          <w:p w14:paraId="12555FC5" w14:textId="77777777" w:rsidR="00124C16" w:rsidRPr="0041543F" w:rsidRDefault="00124C16" w:rsidP="008351C5">
            <w:pPr>
              <w:pStyle w:val="TableHeading"/>
              <w:jc w:val="center"/>
              <w:rPr>
                <w:sz w:val="19"/>
                <w:szCs w:val="19"/>
              </w:rPr>
            </w:pPr>
            <w:r>
              <w:rPr>
                <w:sz w:val="19"/>
                <w:szCs w:val="19"/>
              </w:rPr>
              <w:t>DEW</w:t>
            </w:r>
            <w:r w:rsidRPr="0041543F">
              <w:rPr>
                <w:sz w:val="19"/>
                <w:szCs w:val="19"/>
              </w:rPr>
              <w:t xml:space="preserve"> evaluation questions </w:t>
            </w:r>
          </w:p>
        </w:tc>
        <w:tc>
          <w:tcPr>
            <w:tcW w:w="3509" w:type="pct"/>
            <w:gridSpan w:val="6"/>
            <w:tcBorders>
              <w:top w:val="single" w:sz="4" w:space="0" w:color="auto"/>
              <w:left w:val="single" w:sz="4" w:space="0" w:color="auto"/>
              <w:bottom w:val="single" w:sz="4" w:space="0" w:color="auto"/>
              <w:right w:val="single" w:sz="4" w:space="0" w:color="auto"/>
            </w:tcBorders>
            <w:vAlign w:val="bottom"/>
          </w:tcPr>
          <w:p w14:paraId="7047C182" w14:textId="77777777" w:rsidR="00124C16" w:rsidRPr="00BF3255" w:rsidRDefault="00124C16" w:rsidP="008351C5">
            <w:pPr>
              <w:pStyle w:val="TableHeading"/>
              <w:jc w:val="center"/>
              <w:rPr>
                <w:sz w:val="19"/>
                <w:szCs w:val="19"/>
              </w:rPr>
            </w:pPr>
            <w:r w:rsidRPr="00BF3255">
              <w:rPr>
                <w:sz w:val="19"/>
                <w:szCs w:val="19"/>
              </w:rPr>
              <w:t xml:space="preserve">Outcomes of </w:t>
            </w:r>
            <w:r>
              <w:rPr>
                <w:sz w:val="19"/>
                <w:szCs w:val="19"/>
              </w:rPr>
              <w:t>CEW</w:t>
            </w:r>
            <w:r w:rsidRPr="00BF3255">
              <w:rPr>
                <w:sz w:val="19"/>
                <w:szCs w:val="19"/>
              </w:rPr>
              <w:t xml:space="preserve"> delivery</w:t>
            </w:r>
            <w:r>
              <w:rPr>
                <w:sz w:val="19"/>
                <w:szCs w:val="19"/>
              </w:rPr>
              <w:t xml:space="preserve"> (2014-15–2019-20)</w:t>
            </w:r>
          </w:p>
        </w:tc>
      </w:tr>
      <w:tr w:rsidR="00124C16" w:rsidRPr="0041543F" w14:paraId="2D41B52E" w14:textId="77777777" w:rsidTr="0084014F">
        <w:trPr>
          <w:cantSplit/>
          <w:trHeight w:val="20"/>
          <w:tblHeader/>
        </w:trPr>
        <w:tc>
          <w:tcPr>
            <w:tcW w:w="1491" w:type="pct"/>
            <w:vMerge/>
            <w:tcBorders>
              <w:left w:val="single" w:sz="4" w:space="0" w:color="auto"/>
              <w:bottom w:val="single" w:sz="4" w:space="0" w:color="auto"/>
              <w:right w:val="single" w:sz="4" w:space="0" w:color="auto"/>
            </w:tcBorders>
          </w:tcPr>
          <w:p w14:paraId="6944829A" w14:textId="77777777" w:rsidR="00124C16" w:rsidRDefault="00124C16" w:rsidP="008351C5">
            <w:pPr>
              <w:pStyle w:val="TableHeading"/>
              <w:jc w:val="center"/>
              <w:rPr>
                <w:sz w:val="19"/>
                <w:szCs w:val="19"/>
              </w:rPr>
            </w:pPr>
          </w:p>
        </w:tc>
        <w:tc>
          <w:tcPr>
            <w:tcW w:w="629" w:type="pct"/>
            <w:tcBorders>
              <w:top w:val="single" w:sz="4" w:space="0" w:color="auto"/>
              <w:left w:val="single" w:sz="4" w:space="0" w:color="auto"/>
              <w:bottom w:val="single" w:sz="4" w:space="0" w:color="auto"/>
            </w:tcBorders>
            <w:vAlign w:val="center"/>
          </w:tcPr>
          <w:p w14:paraId="04533E7E" w14:textId="77777777" w:rsidR="00124C16" w:rsidRPr="0041543F" w:rsidRDefault="00124C16" w:rsidP="00CD2E13">
            <w:pPr>
              <w:pStyle w:val="TableHeading"/>
              <w:jc w:val="center"/>
              <w:rPr>
                <w:sz w:val="19"/>
                <w:szCs w:val="19"/>
              </w:rPr>
            </w:pPr>
            <w:r>
              <w:rPr>
                <w:sz w:val="19"/>
                <w:szCs w:val="19"/>
              </w:rPr>
              <w:t>2014-15</w:t>
            </w:r>
          </w:p>
        </w:tc>
        <w:tc>
          <w:tcPr>
            <w:tcW w:w="550" w:type="pct"/>
            <w:tcBorders>
              <w:top w:val="single" w:sz="4" w:space="0" w:color="auto"/>
              <w:bottom w:val="single" w:sz="4" w:space="0" w:color="auto"/>
            </w:tcBorders>
            <w:vAlign w:val="center"/>
          </w:tcPr>
          <w:p w14:paraId="08911482" w14:textId="77777777" w:rsidR="00124C16" w:rsidRPr="0041543F" w:rsidRDefault="00124C16" w:rsidP="00CD2E13">
            <w:pPr>
              <w:pStyle w:val="TableHeading"/>
              <w:jc w:val="center"/>
              <w:rPr>
                <w:sz w:val="19"/>
                <w:szCs w:val="19"/>
              </w:rPr>
            </w:pPr>
            <w:r>
              <w:rPr>
                <w:sz w:val="19"/>
                <w:szCs w:val="19"/>
              </w:rPr>
              <w:t>2015-16</w:t>
            </w:r>
          </w:p>
        </w:tc>
        <w:tc>
          <w:tcPr>
            <w:tcW w:w="551" w:type="pct"/>
            <w:tcBorders>
              <w:top w:val="single" w:sz="4" w:space="0" w:color="auto"/>
              <w:bottom w:val="single" w:sz="4" w:space="0" w:color="auto"/>
            </w:tcBorders>
            <w:vAlign w:val="center"/>
          </w:tcPr>
          <w:p w14:paraId="40CC8390" w14:textId="77777777" w:rsidR="00124C16" w:rsidRPr="0041543F" w:rsidRDefault="00124C16" w:rsidP="00CD2E13">
            <w:pPr>
              <w:pStyle w:val="TableHeading"/>
              <w:jc w:val="center"/>
              <w:rPr>
                <w:sz w:val="19"/>
                <w:szCs w:val="19"/>
              </w:rPr>
            </w:pPr>
            <w:r>
              <w:rPr>
                <w:sz w:val="19"/>
                <w:szCs w:val="19"/>
              </w:rPr>
              <w:t>2016-17</w:t>
            </w:r>
          </w:p>
        </w:tc>
        <w:tc>
          <w:tcPr>
            <w:tcW w:w="550" w:type="pct"/>
            <w:tcBorders>
              <w:top w:val="single" w:sz="4" w:space="0" w:color="auto"/>
              <w:bottom w:val="single" w:sz="4" w:space="0" w:color="auto"/>
            </w:tcBorders>
            <w:vAlign w:val="center"/>
          </w:tcPr>
          <w:p w14:paraId="00DFF7F8" w14:textId="77777777" w:rsidR="00124C16" w:rsidRPr="0041543F" w:rsidRDefault="00124C16" w:rsidP="00CD2E13">
            <w:pPr>
              <w:pStyle w:val="TableHeading"/>
              <w:jc w:val="center"/>
              <w:rPr>
                <w:sz w:val="19"/>
                <w:szCs w:val="19"/>
              </w:rPr>
            </w:pPr>
            <w:r>
              <w:rPr>
                <w:sz w:val="19"/>
                <w:szCs w:val="19"/>
              </w:rPr>
              <w:t>2017-18</w:t>
            </w:r>
          </w:p>
        </w:tc>
        <w:tc>
          <w:tcPr>
            <w:tcW w:w="598" w:type="pct"/>
            <w:tcBorders>
              <w:top w:val="single" w:sz="4" w:space="0" w:color="auto"/>
              <w:bottom w:val="single" w:sz="4" w:space="0" w:color="auto"/>
            </w:tcBorders>
            <w:shd w:val="clear" w:color="auto" w:fill="auto"/>
            <w:vAlign w:val="center"/>
          </w:tcPr>
          <w:p w14:paraId="2B38919A" w14:textId="77777777" w:rsidR="00124C16" w:rsidRPr="0041543F" w:rsidRDefault="00124C16" w:rsidP="00CD2E13">
            <w:pPr>
              <w:pStyle w:val="TableHeading"/>
              <w:jc w:val="center"/>
              <w:rPr>
                <w:sz w:val="19"/>
                <w:szCs w:val="19"/>
              </w:rPr>
            </w:pPr>
            <w:r>
              <w:rPr>
                <w:sz w:val="19"/>
                <w:szCs w:val="19"/>
              </w:rPr>
              <w:t>2018-19</w:t>
            </w:r>
          </w:p>
        </w:tc>
        <w:tc>
          <w:tcPr>
            <w:tcW w:w="631" w:type="pct"/>
            <w:tcBorders>
              <w:top w:val="single" w:sz="4" w:space="0" w:color="auto"/>
              <w:bottom w:val="single" w:sz="4" w:space="0" w:color="auto"/>
            </w:tcBorders>
            <w:vAlign w:val="center"/>
          </w:tcPr>
          <w:p w14:paraId="343696BE" w14:textId="77777777" w:rsidR="00124C16" w:rsidRDefault="00124C16" w:rsidP="00CD2E13">
            <w:pPr>
              <w:pStyle w:val="TableHeading"/>
              <w:jc w:val="center"/>
              <w:rPr>
                <w:sz w:val="19"/>
                <w:szCs w:val="19"/>
              </w:rPr>
            </w:pPr>
            <w:r>
              <w:rPr>
                <w:sz w:val="19"/>
                <w:szCs w:val="19"/>
              </w:rPr>
              <w:t>2019-20</w:t>
            </w:r>
          </w:p>
        </w:tc>
      </w:tr>
      <w:tr w:rsidR="00124C16" w:rsidRPr="0041543F" w14:paraId="232434F5" w14:textId="77777777" w:rsidTr="0084014F">
        <w:trPr>
          <w:cantSplit/>
          <w:trHeight w:val="1074"/>
        </w:trPr>
        <w:tc>
          <w:tcPr>
            <w:tcW w:w="1491" w:type="pct"/>
            <w:tcBorders>
              <w:top w:val="single" w:sz="4" w:space="0" w:color="auto"/>
              <w:left w:val="single" w:sz="4" w:space="0" w:color="auto"/>
              <w:right w:val="single" w:sz="4" w:space="0" w:color="auto"/>
            </w:tcBorders>
          </w:tcPr>
          <w:p w14:paraId="4CD05FBE" w14:textId="4E94C303" w:rsidR="00124C16" w:rsidRPr="004208DE" w:rsidRDefault="00124C16" w:rsidP="008351C5">
            <w:pPr>
              <w:jc w:val="left"/>
              <w:rPr>
                <w:sz w:val="19"/>
                <w:szCs w:val="19"/>
              </w:rPr>
            </w:pPr>
            <w:bookmarkStart w:id="375" w:name="_Hlk65176090"/>
            <w:r w:rsidRPr="001A774C">
              <w:rPr>
                <w:sz w:val="19"/>
                <w:szCs w:val="19"/>
              </w:rPr>
              <w:t>To what extent did CEW contribute to managing the concentrations of cyanobacteria</w:t>
            </w:r>
            <w:r>
              <w:rPr>
                <w:sz w:val="19"/>
                <w:szCs w:val="19"/>
              </w:rPr>
              <w:t>?</w:t>
            </w:r>
            <w:bookmarkEnd w:id="375"/>
            <w:r w:rsidRPr="001A774C">
              <w:rPr>
                <w:sz w:val="19"/>
                <w:szCs w:val="19"/>
              </w:rPr>
              <w:t xml:space="preserve"> </w:t>
            </w:r>
          </w:p>
        </w:tc>
        <w:tc>
          <w:tcPr>
            <w:tcW w:w="3509" w:type="pct"/>
            <w:gridSpan w:val="6"/>
            <w:tcBorders>
              <w:top w:val="single" w:sz="4" w:space="0" w:color="auto"/>
              <w:left w:val="single" w:sz="4" w:space="0" w:color="auto"/>
              <w:right w:val="single" w:sz="4" w:space="0" w:color="auto"/>
            </w:tcBorders>
            <w:shd w:val="clear" w:color="auto" w:fill="D9D9D9" w:themeFill="background1" w:themeFillShade="D9"/>
          </w:tcPr>
          <w:p w14:paraId="70F5DCCA" w14:textId="43A2721F" w:rsidR="00124C16" w:rsidRDefault="00E66F00" w:rsidP="008351C5">
            <w:pPr>
              <w:jc w:val="left"/>
              <w:rPr>
                <w:color w:val="auto"/>
                <w:sz w:val="19"/>
                <w:szCs w:val="19"/>
              </w:rPr>
            </w:pPr>
            <w:r>
              <w:rPr>
                <w:color w:val="auto"/>
                <w:sz w:val="19"/>
                <w:szCs w:val="19"/>
              </w:rPr>
              <w:t xml:space="preserve">As the concentrations of cyanobacteria were not measured in </w:t>
            </w:r>
            <w:r w:rsidR="00BB7D4F">
              <w:rPr>
                <w:color w:val="auto"/>
                <w:sz w:val="19"/>
                <w:szCs w:val="19"/>
              </w:rPr>
              <w:t xml:space="preserve">the </w:t>
            </w:r>
            <w:r>
              <w:rPr>
                <w:color w:val="auto"/>
                <w:sz w:val="19"/>
                <w:szCs w:val="19"/>
              </w:rPr>
              <w:t xml:space="preserve">MER Project, </w:t>
            </w:r>
            <w:r w:rsidR="00CD2E13">
              <w:rPr>
                <w:color w:val="auto"/>
                <w:sz w:val="19"/>
                <w:szCs w:val="19"/>
              </w:rPr>
              <w:t>the exten</w:t>
            </w:r>
            <w:r w:rsidR="003E5168">
              <w:rPr>
                <w:color w:val="auto"/>
                <w:sz w:val="19"/>
                <w:szCs w:val="19"/>
              </w:rPr>
              <w:t xml:space="preserve">t to which CEW contributed to managing </w:t>
            </w:r>
            <w:r>
              <w:rPr>
                <w:color w:val="auto"/>
                <w:sz w:val="19"/>
                <w:szCs w:val="19"/>
              </w:rPr>
              <w:t xml:space="preserve">them </w:t>
            </w:r>
            <w:r w:rsidR="003E5168">
              <w:rPr>
                <w:color w:val="auto"/>
                <w:sz w:val="19"/>
                <w:szCs w:val="19"/>
              </w:rPr>
              <w:t>is unknown.</w:t>
            </w:r>
          </w:p>
        </w:tc>
      </w:tr>
      <w:tr w:rsidR="00124C16" w:rsidRPr="0041543F" w14:paraId="47C29FE7" w14:textId="77777777" w:rsidTr="0084014F">
        <w:trPr>
          <w:cantSplit/>
          <w:trHeight w:val="20"/>
        </w:trPr>
        <w:tc>
          <w:tcPr>
            <w:tcW w:w="1491" w:type="pct"/>
            <w:vMerge w:val="restart"/>
            <w:tcBorders>
              <w:top w:val="single" w:sz="4" w:space="0" w:color="auto"/>
              <w:left w:val="single" w:sz="4" w:space="0" w:color="auto"/>
              <w:right w:val="single" w:sz="4" w:space="0" w:color="auto"/>
            </w:tcBorders>
          </w:tcPr>
          <w:p w14:paraId="3F107358" w14:textId="77777777" w:rsidR="00124C16" w:rsidRPr="00A2535D" w:rsidRDefault="00124C16" w:rsidP="008351C5">
            <w:pPr>
              <w:jc w:val="left"/>
              <w:rPr>
                <w:sz w:val="19"/>
                <w:szCs w:val="19"/>
              </w:rPr>
            </w:pPr>
            <w:r w:rsidRPr="001A774C">
              <w:rPr>
                <w:sz w:val="19"/>
                <w:szCs w:val="19"/>
              </w:rPr>
              <w:t xml:space="preserve">To what extent did CEW contribute to open-water productivity in the Lower </w:t>
            </w:r>
            <w:proofErr w:type="gramStart"/>
            <w:r w:rsidRPr="001A774C">
              <w:rPr>
                <w:sz w:val="19"/>
                <w:szCs w:val="19"/>
              </w:rPr>
              <w:t>Murray?</w:t>
            </w:r>
            <w:r>
              <w:rPr>
                <w:sz w:val="19"/>
                <w:szCs w:val="19"/>
              </w:rPr>
              <w:t>*</w:t>
            </w:r>
            <w:proofErr w:type="gramEnd"/>
          </w:p>
        </w:tc>
        <w:tc>
          <w:tcPr>
            <w:tcW w:w="629"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525D6B9" w14:textId="77777777" w:rsidR="00124C16" w:rsidRPr="000D1AD0" w:rsidRDefault="00124C16" w:rsidP="008351C5">
            <w:pPr>
              <w:jc w:val="left"/>
              <w:rPr>
                <w:sz w:val="19"/>
                <w:szCs w:val="19"/>
              </w:rPr>
            </w:pPr>
            <w:r>
              <w:rPr>
                <w:sz w:val="19"/>
                <w:szCs w:val="19"/>
              </w:rPr>
              <w:t>1</w:t>
            </w:r>
          </w:p>
        </w:tc>
        <w:tc>
          <w:tcPr>
            <w:tcW w:w="550"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7AB7CA7" w14:textId="77777777" w:rsidR="00124C16" w:rsidRPr="00A4164D" w:rsidRDefault="00124C16" w:rsidP="008351C5">
            <w:pPr>
              <w:jc w:val="left"/>
              <w:rPr>
                <w:sz w:val="19"/>
                <w:szCs w:val="19"/>
              </w:rPr>
            </w:pPr>
            <w:r w:rsidRPr="00A4164D">
              <w:rPr>
                <w:sz w:val="19"/>
                <w:szCs w:val="19"/>
              </w:rPr>
              <w:t>2</w:t>
            </w:r>
          </w:p>
        </w:tc>
        <w:tc>
          <w:tcPr>
            <w:tcW w:w="551"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8D9FFD7" w14:textId="77777777" w:rsidR="00124C16" w:rsidRPr="00A4164D" w:rsidRDefault="00124C16" w:rsidP="008351C5">
            <w:pPr>
              <w:jc w:val="left"/>
              <w:rPr>
                <w:sz w:val="19"/>
                <w:szCs w:val="19"/>
              </w:rPr>
            </w:pPr>
            <w:r w:rsidRPr="00A4164D">
              <w:rPr>
                <w:sz w:val="19"/>
                <w:szCs w:val="19"/>
              </w:rPr>
              <w:t>2</w:t>
            </w:r>
          </w:p>
        </w:tc>
        <w:tc>
          <w:tcPr>
            <w:tcW w:w="550"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E38A787" w14:textId="77777777" w:rsidR="00124C16" w:rsidRPr="00A4164D" w:rsidRDefault="00124C16" w:rsidP="008351C5">
            <w:pPr>
              <w:jc w:val="left"/>
              <w:rPr>
                <w:sz w:val="19"/>
                <w:szCs w:val="19"/>
              </w:rPr>
            </w:pPr>
            <w:r w:rsidRPr="00A4164D">
              <w:rPr>
                <w:sz w:val="19"/>
                <w:szCs w:val="19"/>
              </w:rPr>
              <w:t>2</w:t>
            </w:r>
          </w:p>
        </w:tc>
        <w:tc>
          <w:tcPr>
            <w:tcW w:w="598"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E7FF0BC" w14:textId="77777777" w:rsidR="00124C16" w:rsidRPr="00A4164D" w:rsidRDefault="00124C16" w:rsidP="008351C5">
            <w:pPr>
              <w:jc w:val="left"/>
              <w:rPr>
                <w:sz w:val="19"/>
                <w:szCs w:val="19"/>
              </w:rPr>
            </w:pPr>
            <w:r w:rsidRPr="00A4164D">
              <w:rPr>
                <w:sz w:val="19"/>
                <w:szCs w:val="19"/>
              </w:rPr>
              <w:t>2</w:t>
            </w:r>
          </w:p>
        </w:tc>
        <w:tc>
          <w:tcPr>
            <w:tcW w:w="631"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D433E87" w14:textId="77777777" w:rsidR="00124C16" w:rsidRPr="00A4164D" w:rsidRDefault="00124C16" w:rsidP="008351C5">
            <w:pPr>
              <w:jc w:val="left"/>
              <w:rPr>
                <w:sz w:val="19"/>
                <w:szCs w:val="19"/>
              </w:rPr>
            </w:pPr>
            <w:r w:rsidRPr="00A4164D">
              <w:rPr>
                <w:sz w:val="19"/>
                <w:szCs w:val="19"/>
              </w:rPr>
              <w:t>1</w:t>
            </w:r>
          </w:p>
        </w:tc>
      </w:tr>
      <w:tr w:rsidR="00124C16" w:rsidRPr="0041543F" w14:paraId="3FC6A362" w14:textId="77777777" w:rsidTr="0084014F">
        <w:trPr>
          <w:cantSplit/>
          <w:trHeight w:val="1309"/>
        </w:trPr>
        <w:tc>
          <w:tcPr>
            <w:tcW w:w="1491" w:type="pct"/>
            <w:vMerge/>
            <w:tcBorders>
              <w:left w:val="single" w:sz="4" w:space="0" w:color="auto"/>
              <w:right w:val="single" w:sz="4" w:space="0" w:color="auto"/>
            </w:tcBorders>
          </w:tcPr>
          <w:p w14:paraId="107D3943" w14:textId="77777777" w:rsidR="00124C16" w:rsidRPr="00A2535D" w:rsidRDefault="00124C16" w:rsidP="008351C5">
            <w:pPr>
              <w:jc w:val="left"/>
              <w:rPr>
                <w:sz w:val="19"/>
                <w:szCs w:val="19"/>
              </w:rPr>
            </w:pPr>
          </w:p>
        </w:tc>
        <w:tc>
          <w:tcPr>
            <w:tcW w:w="3509" w:type="pct"/>
            <w:gridSpan w:val="6"/>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F0A78BC" w14:textId="77777777" w:rsidR="00124C16" w:rsidRPr="000D1AD0" w:rsidRDefault="00124C16" w:rsidP="008351C5">
            <w:pPr>
              <w:jc w:val="left"/>
              <w:rPr>
                <w:sz w:val="19"/>
                <w:szCs w:val="19"/>
              </w:rPr>
            </w:pPr>
            <w:r w:rsidRPr="00554FF2">
              <w:rPr>
                <w:sz w:val="19"/>
                <w:szCs w:val="19"/>
              </w:rPr>
              <w:t>Increased flows generally reduced the volumetric rate of primary production but increased the cross-sectional rate. This increased the overall “carrying capacity” of the river, although the implications of changes in the ratios of these two measures are unknown. At the LMR sites, the percentage increases in cross-sectional GPP due to eWater were negligible due to the largely stable water levels</w:t>
            </w:r>
            <w:r>
              <w:rPr>
                <w:sz w:val="19"/>
                <w:szCs w:val="19"/>
              </w:rPr>
              <w:t xml:space="preserve"> set </w:t>
            </w:r>
            <w:r w:rsidRPr="00554FF2">
              <w:rPr>
                <w:sz w:val="19"/>
                <w:szCs w:val="19"/>
              </w:rPr>
              <w:t>by weirs. A substantial contribution was considered an increase in cross-sectional GPP of 20% or greater, moderate 11–19%, minor 5–10%, negligible &lt;5%.</w:t>
            </w:r>
          </w:p>
        </w:tc>
      </w:tr>
      <w:tr w:rsidR="00124C16" w:rsidRPr="0041543F" w14:paraId="7FF6763A" w14:textId="77777777" w:rsidTr="0084014F">
        <w:trPr>
          <w:cantSplit/>
          <w:trHeight w:val="20"/>
        </w:trPr>
        <w:tc>
          <w:tcPr>
            <w:tcW w:w="1491" w:type="pct"/>
            <w:vMerge w:val="restart"/>
            <w:tcBorders>
              <w:top w:val="single" w:sz="4" w:space="0" w:color="auto"/>
              <w:left w:val="single" w:sz="4" w:space="0" w:color="auto"/>
              <w:right w:val="single" w:sz="4" w:space="0" w:color="auto"/>
            </w:tcBorders>
          </w:tcPr>
          <w:p w14:paraId="4276AD56" w14:textId="77777777" w:rsidR="00124C16" w:rsidRPr="0041543F" w:rsidRDefault="00124C16" w:rsidP="008351C5">
            <w:pPr>
              <w:tabs>
                <w:tab w:val="left" w:pos="2525"/>
              </w:tabs>
              <w:jc w:val="left"/>
              <w:rPr>
                <w:sz w:val="19"/>
                <w:szCs w:val="19"/>
              </w:rPr>
            </w:pPr>
            <w:r w:rsidRPr="001A774C">
              <w:rPr>
                <w:sz w:val="19"/>
                <w:szCs w:val="19"/>
              </w:rPr>
              <w:t xml:space="preserve">To what extent </w:t>
            </w:r>
            <w:r w:rsidRPr="006E36B3">
              <w:rPr>
                <w:sz w:val="19"/>
                <w:szCs w:val="19"/>
              </w:rPr>
              <w:t>did CEW contribute to maintaining dissolved oxygen levels above 50% saturation throughout the water column at all times</w:t>
            </w:r>
            <w:r>
              <w:rPr>
                <w:sz w:val="19"/>
                <w:szCs w:val="19"/>
              </w:rPr>
              <w:t xml:space="preserve"> </w:t>
            </w:r>
            <w:r w:rsidRPr="001A774C">
              <w:rPr>
                <w:sz w:val="19"/>
                <w:szCs w:val="19"/>
              </w:rPr>
              <w:t xml:space="preserve">in the Lower </w:t>
            </w:r>
            <w:proofErr w:type="gramStart"/>
            <w:r w:rsidRPr="001A774C">
              <w:rPr>
                <w:sz w:val="19"/>
                <w:szCs w:val="19"/>
              </w:rPr>
              <w:t>Murray</w:t>
            </w:r>
            <w:r w:rsidRPr="006E36B3">
              <w:rPr>
                <w:sz w:val="19"/>
                <w:szCs w:val="19"/>
              </w:rPr>
              <w:t>?</w:t>
            </w:r>
            <w:r>
              <w:rPr>
                <w:sz w:val="19"/>
                <w:szCs w:val="19"/>
              </w:rPr>
              <w:t>*</w:t>
            </w:r>
            <w:proofErr w:type="gramEnd"/>
            <w:r>
              <w:rPr>
                <w:sz w:val="19"/>
                <w:szCs w:val="19"/>
              </w:rPr>
              <w:tab/>
            </w:r>
          </w:p>
        </w:tc>
        <w:tc>
          <w:tcPr>
            <w:tcW w:w="629"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DE481B3" w14:textId="77777777" w:rsidR="00124C16" w:rsidRPr="0041543F" w:rsidRDefault="00124C16" w:rsidP="008351C5">
            <w:pPr>
              <w:jc w:val="left"/>
              <w:rPr>
                <w:color w:val="auto"/>
                <w:sz w:val="19"/>
                <w:szCs w:val="19"/>
              </w:rPr>
            </w:pPr>
            <w:r>
              <w:rPr>
                <w:color w:val="auto"/>
                <w:sz w:val="19"/>
                <w:szCs w:val="19"/>
              </w:rPr>
              <w:t>0</w:t>
            </w:r>
          </w:p>
        </w:tc>
        <w:tc>
          <w:tcPr>
            <w:tcW w:w="550" w:type="pct"/>
            <w:tcBorders>
              <w:top w:val="single" w:sz="4" w:space="0" w:color="auto"/>
              <w:left w:val="single" w:sz="4" w:space="0" w:color="auto"/>
              <w:bottom w:val="single" w:sz="4" w:space="0" w:color="auto"/>
              <w:right w:val="single" w:sz="4" w:space="0" w:color="auto"/>
            </w:tcBorders>
            <w:shd w:val="clear" w:color="auto" w:fill="4472C4" w:themeFill="accent5"/>
          </w:tcPr>
          <w:p w14:paraId="2250987B" w14:textId="77777777" w:rsidR="00124C16" w:rsidRPr="0041543F" w:rsidRDefault="00124C16" w:rsidP="008351C5">
            <w:pPr>
              <w:jc w:val="left"/>
              <w:rPr>
                <w:color w:val="auto"/>
                <w:sz w:val="19"/>
                <w:szCs w:val="19"/>
              </w:rPr>
            </w:pPr>
            <w:r>
              <w:rPr>
                <w:color w:val="auto"/>
                <w:sz w:val="19"/>
                <w:szCs w:val="19"/>
              </w:rPr>
              <w:t>53</w:t>
            </w:r>
          </w:p>
        </w:tc>
        <w:tc>
          <w:tcPr>
            <w:tcW w:w="551" w:type="pct"/>
            <w:tcBorders>
              <w:top w:val="single" w:sz="4" w:space="0" w:color="auto"/>
              <w:left w:val="single" w:sz="4" w:space="0" w:color="auto"/>
              <w:bottom w:val="single" w:sz="4" w:space="0" w:color="auto"/>
              <w:right w:val="single" w:sz="4" w:space="0" w:color="auto"/>
            </w:tcBorders>
            <w:shd w:val="clear" w:color="auto" w:fill="70AD47" w:themeFill="accent6"/>
          </w:tcPr>
          <w:p w14:paraId="08F6621B" w14:textId="77777777" w:rsidR="00124C16" w:rsidRPr="0041543F" w:rsidRDefault="00124C16" w:rsidP="008351C5">
            <w:pPr>
              <w:jc w:val="left"/>
              <w:rPr>
                <w:color w:val="auto"/>
                <w:sz w:val="19"/>
                <w:szCs w:val="19"/>
              </w:rPr>
            </w:pPr>
            <w:r>
              <w:rPr>
                <w:color w:val="auto"/>
                <w:sz w:val="19"/>
                <w:szCs w:val="19"/>
              </w:rPr>
              <w:t>21</w:t>
            </w:r>
          </w:p>
        </w:tc>
        <w:tc>
          <w:tcPr>
            <w:tcW w:w="550" w:type="pct"/>
            <w:tcBorders>
              <w:top w:val="single" w:sz="4" w:space="0" w:color="auto"/>
              <w:left w:val="single" w:sz="4" w:space="0" w:color="auto"/>
              <w:bottom w:val="single" w:sz="4" w:space="0" w:color="auto"/>
              <w:right w:val="single" w:sz="4" w:space="0" w:color="auto"/>
            </w:tcBorders>
            <w:shd w:val="clear" w:color="auto" w:fill="4472C4" w:themeFill="accent5"/>
          </w:tcPr>
          <w:p w14:paraId="6F1E5ADB" w14:textId="77777777" w:rsidR="00124C16" w:rsidRPr="0041543F" w:rsidRDefault="00124C16" w:rsidP="008351C5">
            <w:pPr>
              <w:jc w:val="left"/>
              <w:rPr>
                <w:color w:val="auto"/>
                <w:sz w:val="19"/>
                <w:szCs w:val="19"/>
              </w:rPr>
            </w:pPr>
            <w:r>
              <w:rPr>
                <w:color w:val="auto"/>
                <w:sz w:val="19"/>
                <w:szCs w:val="19"/>
              </w:rPr>
              <w:t>50</w:t>
            </w:r>
          </w:p>
        </w:tc>
        <w:tc>
          <w:tcPr>
            <w:tcW w:w="598" w:type="pct"/>
            <w:tcBorders>
              <w:top w:val="single" w:sz="4" w:space="0" w:color="auto"/>
              <w:left w:val="single" w:sz="4" w:space="0" w:color="auto"/>
              <w:bottom w:val="single" w:sz="4" w:space="0" w:color="auto"/>
              <w:right w:val="single" w:sz="4" w:space="0" w:color="auto"/>
            </w:tcBorders>
            <w:shd w:val="clear" w:color="auto" w:fill="70AD47" w:themeFill="accent6"/>
          </w:tcPr>
          <w:p w14:paraId="7A907479" w14:textId="77777777" w:rsidR="00124C16" w:rsidRPr="0041543F" w:rsidRDefault="00124C16" w:rsidP="008351C5">
            <w:pPr>
              <w:jc w:val="left"/>
              <w:rPr>
                <w:color w:val="auto"/>
                <w:sz w:val="19"/>
                <w:szCs w:val="19"/>
              </w:rPr>
            </w:pPr>
            <w:r>
              <w:rPr>
                <w:color w:val="auto"/>
                <w:sz w:val="19"/>
                <w:szCs w:val="19"/>
              </w:rPr>
              <w:t>25</w:t>
            </w:r>
          </w:p>
        </w:tc>
        <w:tc>
          <w:tcPr>
            <w:tcW w:w="631" w:type="pct"/>
            <w:tcBorders>
              <w:top w:val="single" w:sz="4" w:space="0" w:color="auto"/>
              <w:left w:val="single" w:sz="4" w:space="0" w:color="auto"/>
              <w:bottom w:val="single" w:sz="4" w:space="0" w:color="auto"/>
              <w:right w:val="single" w:sz="4" w:space="0" w:color="auto"/>
            </w:tcBorders>
            <w:shd w:val="clear" w:color="auto" w:fill="70AD47" w:themeFill="accent6"/>
          </w:tcPr>
          <w:p w14:paraId="12D13BF9" w14:textId="77777777" w:rsidR="00124C16" w:rsidRDefault="00124C16" w:rsidP="008351C5">
            <w:pPr>
              <w:jc w:val="left"/>
              <w:rPr>
                <w:color w:val="auto"/>
                <w:sz w:val="19"/>
                <w:szCs w:val="19"/>
              </w:rPr>
            </w:pPr>
            <w:r>
              <w:rPr>
                <w:color w:val="auto"/>
                <w:sz w:val="19"/>
                <w:szCs w:val="19"/>
              </w:rPr>
              <w:t>30</w:t>
            </w:r>
          </w:p>
        </w:tc>
      </w:tr>
      <w:tr w:rsidR="00124C16" w:rsidRPr="0041543F" w14:paraId="5FE8BAEE" w14:textId="77777777" w:rsidTr="0084014F">
        <w:trPr>
          <w:cantSplit/>
          <w:trHeight w:val="20"/>
        </w:trPr>
        <w:tc>
          <w:tcPr>
            <w:tcW w:w="1491" w:type="pct"/>
            <w:vMerge/>
            <w:tcBorders>
              <w:left w:val="single" w:sz="4" w:space="0" w:color="auto"/>
              <w:right w:val="single" w:sz="4" w:space="0" w:color="auto"/>
            </w:tcBorders>
          </w:tcPr>
          <w:p w14:paraId="2D2286CF" w14:textId="77777777" w:rsidR="00124C16" w:rsidRPr="006E36B3" w:rsidRDefault="00124C16" w:rsidP="008351C5">
            <w:pPr>
              <w:tabs>
                <w:tab w:val="left" w:pos="2525"/>
              </w:tabs>
              <w:jc w:val="left"/>
              <w:rPr>
                <w:sz w:val="19"/>
                <w:szCs w:val="19"/>
              </w:rPr>
            </w:pPr>
          </w:p>
        </w:tc>
        <w:tc>
          <w:tcPr>
            <w:tcW w:w="3509" w:type="pct"/>
            <w:gridSpan w:val="6"/>
            <w:tcBorders>
              <w:top w:val="single" w:sz="4" w:space="0" w:color="auto"/>
              <w:left w:val="single" w:sz="4" w:space="0" w:color="auto"/>
              <w:bottom w:val="single" w:sz="4" w:space="0" w:color="auto"/>
              <w:right w:val="single" w:sz="4" w:space="0" w:color="auto"/>
            </w:tcBorders>
            <w:shd w:val="clear" w:color="auto" w:fill="70AD47" w:themeFill="accent6"/>
          </w:tcPr>
          <w:p w14:paraId="209A70DE" w14:textId="77777777" w:rsidR="00124C16" w:rsidRDefault="00124C16" w:rsidP="008351C5">
            <w:pPr>
              <w:jc w:val="left"/>
              <w:rPr>
                <w:sz w:val="19"/>
                <w:szCs w:val="19"/>
              </w:rPr>
            </w:pPr>
            <w:r>
              <w:rPr>
                <w:sz w:val="19"/>
                <w:szCs w:val="19"/>
              </w:rPr>
              <w:t>CEW</w:t>
            </w:r>
            <w:r w:rsidRPr="000D1AD0">
              <w:rPr>
                <w:sz w:val="19"/>
                <w:szCs w:val="19"/>
              </w:rPr>
              <w:t xml:space="preserve"> decreased the likelihood of low DO by increasing water mixing and oxygen exchange at the surface. This was assessed as the extra days per year with water velocities &gt; 0.18 m/s due to </w:t>
            </w:r>
            <w:r>
              <w:rPr>
                <w:sz w:val="19"/>
                <w:szCs w:val="19"/>
              </w:rPr>
              <w:t>CEW</w:t>
            </w:r>
            <w:r w:rsidRPr="000D1AD0">
              <w:rPr>
                <w:sz w:val="19"/>
                <w:szCs w:val="19"/>
              </w:rPr>
              <w:t>. A substantial contribution was considered greater than 30 days, moderate 15–30 days, minor 7–14 days and negligible &lt; 7days.</w:t>
            </w:r>
          </w:p>
        </w:tc>
      </w:tr>
    </w:tbl>
    <w:p w14:paraId="6F5E1EE2" w14:textId="72BBB76B" w:rsidR="00124C16" w:rsidRPr="004208DE" w:rsidRDefault="00124C16" w:rsidP="00124C16">
      <w:pPr>
        <w:spacing w:before="60"/>
        <w:rPr>
          <w:sz w:val="18"/>
          <w:szCs w:val="16"/>
          <w:lang w:val="en-US"/>
        </w:rPr>
      </w:pPr>
      <w:r w:rsidRPr="004208DE">
        <w:rPr>
          <w:sz w:val="18"/>
          <w:szCs w:val="16"/>
          <w:lang w:val="en-US"/>
        </w:rPr>
        <w:t>*Refer to the evaluation in Section 2.</w:t>
      </w:r>
      <w:r w:rsidR="000715EC">
        <w:rPr>
          <w:sz w:val="18"/>
          <w:szCs w:val="16"/>
          <w:lang w:val="en-US"/>
        </w:rPr>
        <w:t>2</w:t>
      </w:r>
      <w:r w:rsidRPr="004208DE">
        <w:rPr>
          <w:sz w:val="18"/>
          <w:szCs w:val="16"/>
          <w:lang w:val="en-US"/>
        </w:rPr>
        <w:t xml:space="preserve"> for details.</w:t>
      </w:r>
    </w:p>
    <w:p w14:paraId="66DDBD7E" w14:textId="77777777" w:rsidR="00A350F9" w:rsidRDefault="00A350F9" w:rsidP="00A350F9">
      <w:pPr>
        <w:rPr>
          <w:lang w:val="en-US"/>
        </w:rPr>
      </w:pPr>
    </w:p>
    <w:p w14:paraId="28D30855" w14:textId="77777777" w:rsidR="00195089" w:rsidRDefault="00195089" w:rsidP="00040E19">
      <w:pPr>
        <w:rPr>
          <w:b/>
        </w:rPr>
      </w:pPr>
    </w:p>
    <w:p w14:paraId="1273A8F7" w14:textId="77777777" w:rsidR="00195089" w:rsidRDefault="00195089">
      <w:pPr>
        <w:spacing w:before="0" w:after="160" w:line="259" w:lineRule="auto"/>
        <w:jc w:val="left"/>
        <w:rPr>
          <w:b/>
        </w:rPr>
      </w:pPr>
      <w:r>
        <w:rPr>
          <w:b/>
        </w:rPr>
        <w:br w:type="page"/>
      </w:r>
    </w:p>
    <w:p w14:paraId="3CEF2C18" w14:textId="03A4E359" w:rsidR="00040E19" w:rsidRPr="00886886" w:rsidRDefault="00040E19" w:rsidP="00040E19">
      <w:pPr>
        <w:rPr>
          <w:b/>
        </w:rPr>
      </w:pPr>
      <w:r>
        <w:rPr>
          <w:b/>
        </w:rPr>
        <w:t>Littoral Vegetation Diversity and Productivity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38"/>
        <w:gridCol w:w="6178"/>
      </w:tblGrid>
      <w:tr w:rsidR="00124C16" w:rsidRPr="004E0E6F" w14:paraId="4833FB4C" w14:textId="77777777" w:rsidTr="008351C5">
        <w:trPr>
          <w:cantSplit/>
          <w:trHeight w:val="139"/>
          <w:tblHeader/>
        </w:trPr>
        <w:tc>
          <w:tcPr>
            <w:tcW w:w="1574" w:type="pct"/>
            <w:tcBorders>
              <w:top w:val="single" w:sz="4" w:space="0" w:color="auto"/>
              <w:left w:val="single" w:sz="4" w:space="0" w:color="auto"/>
              <w:right w:val="single" w:sz="4" w:space="0" w:color="auto"/>
            </w:tcBorders>
          </w:tcPr>
          <w:p w14:paraId="48B3224E" w14:textId="77777777" w:rsidR="00124C16" w:rsidRPr="004E0E6F" w:rsidRDefault="00124C16" w:rsidP="008351C5">
            <w:pPr>
              <w:pStyle w:val="TableHeading"/>
              <w:jc w:val="center"/>
              <w:rPr>
                <w:sz w:val="19"/>
                <w:szCs w:val="19"/>
              </w:rPr>
            </w:pPr>
            <w:r w:rsidRPr="004E0E6F">
              <w:rPr>
                <w:sz w:val="19"/>
                <w:szCs w:val="19"/>
              </w:rPr>
              <w:t xml:space="preserve">DEW evaluation questions </w:t>
            </w:r>
          </w:p>
        </w:tc>
        <w:tc>
          <w:tcPr>
            <w:tcW w:w="3426" w:type="pct"/>
            <w:tcBorders>
              <w:top w:val="single" w:sz="4" w:space="0" w:color="auto"/>
              <w:left w:val="single" w:sz="4" w:space="0" w:color="auto"/>
              <w:bottom w:val="single" w:sz="4" w:space="0" w:color="auto"/>
              <w:right w:val="single" w:sz="4" w:space="0" w:color="auto"/>
            </w:tcBorders>
            <w:vAlign w:val="bottom"/>
          </w:tcPr>
          <w:p w14:paraId="1B37D6B1" w14:textId="77777777" w:rsidR="00124C16" w:rsidRPr="004E0E6F" w:rsidRDefault="00124C16" w:rsidP="008351C5">
            <w:pPr>
              <w:pStyle w:val="TableHeading"/>
              <w:jc w:val="center"/>
              <w:rPr>
                <w:sz w:val="19"/>
                <w:szCs w:val="19"/>
              </w:rPr>
            </w:pPr>
            <w:r w:rsidRPr="004E0E6F">
              <w:rPr>
                <w:sz w:val="19"/>
                <w:szCs w:val="19"/>
              </w:rPr>
              <w:t xml:space="preserve">Outcomes </w:t>
            </w:r>
            <w:r>
              <w:rPr>
                <w:sz w:val="19"/>
                <w:szCs w:val="19"/>
              </w:rPr>
              <w:t>of CEW delivery (2019-20</w:t>
            </w:r>
            <w:r w:rsidRPr="004E0E6F">
              <w:rPr>
                <w:sz w:val="19"/>
                <w:szCs w:val="19"/>
              </w:rPr>
              <w:t>)</w:t>
            </w:r>
          </w:p>
        </w:tc>
      </w:tr>
      <w:tr w:rsidR="00124C16" w:rsidRPr="004E0E6F" w14:paraId="375A3382" w14:textId="77777777" w:rsidTr="008351C5">
        <w:trPr>
          <w:cantSplit/>
          <w:trHeight w:val="1263"/>
        </w:trPr>
        <w:tc>
          <w:tcPr>
            <w:tcW w:w="1574" w:type="pct"/>
            <w:tcBorders>
              <w:top w:val="single" w:sz="4" w:space="0" w:color="auto"/>
              <w:left w:val="single" w:sz="4" w:space="0" w:color="auto"/>
              <w:right w:val="single" w:sz="4" w:space="0" w:color="auto"/>
            </w:tcBorders>
          </w:tcPr>
          <w:p w14:paraId="0D3C78E4" w14:textId="77777777" w:rsidR="00124C16" w:rsidRPr="004E0E6F" w:rsidRDefault="00124C16" w:rsidP="008351C5">
            <w:pPr>
              <w:jc w:val="left"/>
              <w:rPr>
                <w:color w:val="auto"/>
                <w:sz w:val="19"/>
                <w:szCs w:val="19"/>
              </w:rPr>
            </w:pPr>
            <w:r w:rsidRPr="00040E19">
              <w:rPr>
                <w:color w:val="auto"/>
                <w:sz w:val="19"/>
                <w:szCs w:val="19"/>
              </w:rPr>
              <w:t>To what extent did CEW (and other environmental water) contribute to littoral understorey vegetation diversity and productivity?</w:t>
            </w:r>
          </w:p>
        </w:tc>
        <w:tc>
          <w:tcPr>
            <w:tcW w:w="3426" w:type="pct"/>
            <w:tcBorders>
              <w:top w:val="single" w:sz="4" w:space="0" w:color="auto"/>
              <w:left w:val="single" w:sz="4" w:space="0" w:color="auto"/>
              <w:right w:val="single" w:sz="4" w:space="0" w:color="auto"/>
            </w:tcBorders>
            <w:shd w:val="clear" w:color="auto" w:fill="70AD47" w:themeFill="accent6"/>
          </w:tcPr>
          <w:p w14:paraId="63F673FB" w14:textId="77777777" w:rsidR="00124C16" w:rsidRPr="00103EF7" w:rsidRDefault="00124C16" w:rsidP="008351C5">
            <w:pPr>
              <w:pStyle w:val="TableHeading"/>
              <w:jc w:val="left"/>
              <w:rPr>
                <w:b w:val="0"/>
                <w:sz w:val="19"/>
                <w:szCs w:val="19"/>
              </w:rPr>
            </w:pPr>
            <w:r w:rsidRPr="00103EF7">
              <w:rPr>
                <w:b w:val="0"/>
                <w:sz w:val="19"/>
                <w:szCs w:val="19"/>
              </w:rPr>
              <w:t>Environmental water delivery increased plant species diversity at multiple spatial scales in the LMR. This was evidenced by consistently higher native species richness in inundated zones in each reach compared to non-inundated areas</w:t>
            </w:r>
            <w:r>
              <w:rPr>
                <w:b w:val="0"/>
                <w:sz w:val="19"/>
                <w:szCs w:val="19"/>
              </w:rPr>
              <w:t>; h</w:t>
            </w:r>
            <w:r w:rsidRPr="00103EF7">
              <w:rPr>
                <w:b w:val="0"/>
                <w:sz w:val="19"/>
                <w:szCs w:val="19"/>
              </w:rPr>
              <w:t xml:space="preserve">igher native species richness (albeit lower than inundated zones) on the edge of the inundation footprint, where there was increased soil moisture due to capillary action, compared to non-inundated zones (where soil moisture was not increased) was also observed. Environmental water delivery in the form of a spring pulse produced conditions suitable for the recruitment of specialised riparian species that are adapted to fluctuating water levels and do not inhabit terrestrial or truly aquatic habitats, increasing plant functional diversity. </w:t>
            </w:r>
          </w:p>
          <w:p w14:paraId="00CC4405" w14:textId="77777777" w:rsidR="00124C16" w:rsidRPr="005D7F83" w:rsidRDefault="00124C16" w:rsidP="008351C5">
            <w:pPr>
              <w:jc w:val="left"/>
              <w:rPr>
                <w:color w:val="auto"/>
                <w:sz w:val="19"/>
                <w:szCs w:val="19"/>
              </w:rPr>
            </w:pPr>
            <w:r w:rsidRPr="00103EF7">
              <w:rPr>
                <w:sz w:val="19"/>
                <w:szCs w:val="19"/>
              </w:rPr>
              <w:t>There were no clear patterns of above ground biomass with regards to environmental water delivery; therefore, the influence of environmental water delivery on understorey productivity is inconclusive.</w:t>
            </w:r>
          </w:p>
        </w:tc>
      </w:tr>
    </w:tbl>
    <w:p w14:paraId="27716850" w14:textId="3CF7FA6B" w:rsidR="00A350F9" w:rsidRDefault="00A350F9" w:rsidP="00A350F9">
      <w:pPr>
        <w:spacing w:before="0" w:after="160" w:line="259" w:lineRule="auto"/>
        <w:jc w:val="left"/>
      </w:pPr>
    </w:p>
    <w:p w14:paraId="17880A73" w14:textId="5A99492A" w:rsidR="00A350F9" w:rsidRPr="00886886" w:rsidRDefault="00040E19" w:rsidP="00A350F9">
      <w:pPr>
        <w:rPr>
          <w:b/>
        </w:rPr>
      </w:pPr>
      <w:r>
        <w:rPr>
          <w:b/>
        </w:rPr>
        <w:t>Micro-invertebrate Assemblage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04"/>
        <w:gridCol w:w="1100"/>
        <w:gridCol w:w="1100"/>
        <w:gridCol w:w="1190"/>
        <w:gridCol w:w="1100"/>
        <w:gridCol w:w="1190"/>
        <w:gridCol w:w="1232"/>
      </w:tblGrid>
      <w:tr w:rsidR="00124C16" w:rsidRPr="004E0E6F" w14:paraId="41004FA3" w14:textId="77777777" w:rsidTr="008351C5">
        <w:trPr>
          <w:cantSplit/>
          <w:trHeight w:val="20"/>
          <w:tblHeader/>
        </w:trPr>
        <w:tc>
          <w:tcPr>
            <w:tcW w:w="1167" w:type="pct"/>
            <w:vMerge w:val="restart"/>
            <w:tcBorders>
              <w:top w:val="single" w:sz="4" w:space="0" w:color="auto"/>
              <w:left w:val="single" w:sz="4" w:space="0" w:color="auto"/>
              <w:right w:val="single" w:sz="4" w:space="0" w:color="auto"/>
            </w:tcBorders>
          </w:tcPr>
          <w:p w14:paraId="50EBF8FB" w14:textId="77777777" w:rsidR="00124C16" w:rsidRPr="004E0E6F" w:rsidRDefault="00124C16" w:rsidP="008351C5">
            <w:pPr>
              <w:pStyle w:val="TableHeading"/>
              <w:jc w:val="center"/>
              <w:rPr>
                <w:sz w:val="19"/>
                <w:szCs w:val="19"/>
              </w:rPr>
            </w:pPr>
            <w:r w:rsidRPr="004E0E6F">
              <w:rPr>
                <w:sz w:val="19"/>
                <w:szCs w:val="19"/>
              </w:rPr>
              <w:t xml:space="preserve">DEW evaluation questions </w:t>
            </w:r>
          </w:p>
        </w:tc>
        <w:tc>
          <w:tcPr>
            <w:tcW w:w="3833" w:type="pct"/>
            <w:gridSpan w:val="6"/>
            <w:tcBorders>
              <w:top w:val="single" w:sz="4" w:space="0" w:color="auto"/>
              <w:left w:val="single" w:sz="4" w:space="0" w:color="auto"/>
              <w:bottom w:val="single" w:sz="4" w:space="0" w:color="auto"/>
              <w:right w:val="single" w:sz="4" w:space="0" w:color="auto"/>
            </w:tcBorders>
            <w:vAlign w:val="bottom"/>
          </w:tcPr>
          <w:p w14:paraId="07BB8C41" w14:textId="77777777" w:rsidR="00124C16" w:rsidRPr="004E0E6F" w:rsidRDefault="00124C16" w:rsidP="008351C5">
            <w:pPr>
              <w:pStyle w:val="TableHeading"/>
              <w:jc w:val="center"/>
              <w:rPr>
                <w:sz w:val="19"/>
                <w:szCs w:val="19"/>
              </w:rPr>
            </w:pPr>
            <w:r w:rsidRPr="004E0E6F">
              <w:rPr>
                <w:sz w:val="19"/>
                <w:szCs w:val="19"/>
              </w:rPr>
              <w:t xml:space="preserve">Outcomes </w:t>
            </w:r>
            <w:r>
              <w:rPr>
                <w:sz w:val="19"/>
                <w:szCs w:val="19"/>
              </w:rPr>
              <w:t>of CEW delivery (2014-15–2019-20</w:t>
            </w:r>
            <w:r w:rsidRPr="004E0E6F">
              <w:rPr>
                <w:sz w:val="19"/>
                <w:szCs w:val="19"/>
              </w:rPr>
              <w:t>)</w:t>
            </w:r>
          </w:p>
        </w:tc>
      </w:tr>
      <w:tr w:rsidR="00124C16" w:rsidRPr="004E0E6F" w14:paraId="629C2D2A" w14:textId="77777777" w:rsidTr="008351C5">
        <w:trPr>
          <w:cantSplit/>
          <w:trHeight w:val="20"/>
          <w:tblHeader/>
        </w:trPr>
        <w:tc>
          <w:tcPr>
            <w:tcW w:w="1167" w:type="pct"/>
            <w:vMerge/>
            <w:tcBorders>
              <w:left w:val="single" w:sz="4" w:space="0" w:color="auto"/>
              <w:bottom w:val="single" w:sz="4" w:space="0" w:color="auto"/>
              <w:right w:val="single" w:sz="4" w:space="0" w:color="auto"/>
            </w:tcBorders>
          </w:tcPr>
          <w:p w14:paraId="43FBF8A1" w14:textId="77777777" w:rsidR="00124C16" w:rsidRPr="004E0E6F" w:rsidRDefault="00124C16" w:rsidP="008351C5">
            <w:pPr>
              <w:pStyle w:val="TableHeading"/>
              <w:jc w:val="center"/>
              <w:rPr>
                <w:sz w:val="19"/>
                <w:szCs w:val="19"/>
              </w:rPr>
            </w:pPr>
          </w:p>
        </w:tc>
        <w:tc>
          <w:tcPr>
            <w:tcW w:w="610" w:type="pct"/>
            <w:tcBorders>
              <w:top w:val="single" w:sz="4" w:space="0" w:color="auto"/>
              <w:left w:val="single" w:sz="4" w:space="0" w:color="auto"/>
              <w:bottom w:val="single" w:sz="4" w:space="0" w:color="auto"/>
            </w:tcBorders>
            <w:vAlign w:val="bottom"/>
          </w:tcPr>
          <w:p w14:paraId="347E1F37" w14:textId="77777777" w:rsidR="00124C16" w:rsidRPr="004E0E6F" w:rsidRDefault="00124C16" w:rsidP="008351C5">
            <w:pPr>
              <w:pStyle w:val="TableHeading"/>
              <w:jc w:val="center"/>
              <w:rPr>
                <w:sz w:val="19"/>
                <w:szCs w:val="19"/>
              </w:rPr>
            </w:pPr>
            <w:r>
              <w:rPr>
                <w:sz w:val="19"/>
                <w:szCs w:val="19"/>
              </w:rPr>
              <w:t>2014-15</w:t>
            </w:r>
          </w:p>
        </w:tc>
        <w:tc>
          <w:tcPr>
            <w:tcW w:w="610" w:type="pct"/>
            <w:tcBorders>
              <w:top w:val="single" w:sz="4" w:space="0" w:color="auto"/>
              <w:bottom w:val="single" w:sz="4" w:space="0" w:color="auto"/>
            </w:tcBorders>
          </w:tcPr>
          <w:p w14:paraId="65805BF1" w14:textId="77777777" w:rsidR="00124C16" w:rsidRPr="004E0E6F" w:rsidRDefault="00124C16" w:rsidP="008351C5">
            <w:pPr>
              <w:pStyle w:val="TableHeading"/>
              <w:jc w:val="center"/>
              <w:rPr>
                <w:sz w:val="19"/>
                <w:szCs w:val="19"/>
              </w:rPr>
            </w:pPr>
            <w:r w:rsidRPr="004E0E6F">
              <w:rPr>
                <w:sz w:val="19"/>
                <w:szCs w:val="19"/>
              </w:rPr>
              <w:t>2015-16</w:t>
            </w:r>
          </w:p>
        </w:tc>
        <w:tc>
          <w:tcPr>
            <w:tcW w:w="660" w:type="pct"/>
            <w:tcBorders>
              <w:top w:val="single" w:sz="4" w:space="0" w:color="auto"/>
              <w:bottom w:val="single" w:sz="4" w:space="0" w:color="auto"/>
            </w:tcBorders>
            <w:vAlign w:val="bottom"/>
          </w:tcPr>
          <w:p w14:paraId="08541A06" w14:textId="77777777" w:rsidR="00124C16" w:rsidRPr="004E0E6F" w:rsidRDefault="00124C16" w:rsidP="008351C5">
            <w:pPr>
              <w:pStyle w:val="TableHeading"/>
              <w:jc w:val="center"/>
              <w:rPr>
                <w:sz w:val="19"/>
                <w:szCs w:val="19"/>
              </w:rPr>
            </w:pPr>
            <w:r w:rsidRPr="004E0E6F">
              <w:rPr>
                <w:sz w:val="19"/>
                <w:szCs w:val="19"/>
              </w:rPr>
              <w:t>2016-17</w:t>
            </w:r>
          </w:p>
        </w:tc>
        <w:tc>
          <w:tcPr>
            <w:tcW w:w="610" w:type="pct"/>
            <w:tcBorders>
              <w:top w:val="single" w:sz="4" w:space="0" w:color="auto"/>
              <w:bottom w:val="single" w:sz="4" w:space="0" w:color="auto"/>
            </w:tcBorders>
          </w:tcPr>
          <w:p w14:paraId="1D771A1E" w14:textId="77777777" w:rsidR="00124C16" w:rsidRPr="004E0E6F" w:rsidRDefault="00124C16" w:rsidP="008351C5">
            <w:pPr>
              <w:pStyle w:val="TableHeading"/>
              <w:jc w:val="center"/>
              <w:rPr>
                <w:sz w:val="19"/>
                <w:szCs w:val="19"/>
              </w:rPr>
            </w:pPr>
            <w:r w:rsidRPr="004E0E6F">
              <w:rPr>
                <w:sz w:val="19"/>
                <w:szCs w:val="19"/>
              </w:rPr>
              <w:t>2017-18</w:t>
            </w:r>
          </w:p>
        </w:tc>
        <w:tc>
          <w:tcPr>
            <w:tcW w:w="660" w:type="pct"/>
            <w:tcBorders>
              <w:top w:val="single" w:sz="4" w:space="0" w:color="auto"/>
              <w:bottom w:val="single" w:sz="4" w:space="0" w:color="auto"/>
            </w:tcBorders>
          </w:tcPr>
          <w:p w14:paraId="7D31C4BD" w14:textId="77777777" w:rsidR="00124C16" w:rsidRPr="004E0E6F" w:rsidRDefault="00124C16" w:rsidP="008351C5">
            <w:pPr>
              <w:pStyle w:val="TableHeading"/>
              <w:jc w:val="center"/>
              <w:rPr>
                <w:sz w:val="19"/>
                <w:szCs w:val="19"/>
              </w:rPr>
            </w:pPr>
            <w:r>
              <w:rPr>
                <w:sz w:val="19"/>
                <w:szCs w:val="19"/>
              </w:rPr>
              <w:t>2018-19</w:t>
            </w:r>
          </w:p>
        </w:tc>
        <w:tc>
          <w:tcPr>
            <w:tcW w:w="683" w:type="pct"/>
            <w:tcBorders>
              <w:top w:val="single" w:sz="4" w:space="0" w:color="auto"/>
              <w:bottom w:val="single" w:sz="4" w:space="0" w:color="auto"/>
            </w:tcBorders>
          </w:tcPr>
          <w:p w14:paraId="795590AD" w14:textId="77777777" w:rsidR="00124C16" w:rsidRPr="004E0E6F" w:rsidRDefault="00124C16" w:rsidP="008351C5">
            <w:pPr>
              <w:pStyle w:val="TableHeading"/>
              <w:jc w:val="center"/>
              <w:rPr>
                <w:sz w:val="19"/>
                <w:szCs w:val="19"/>
              </w:rPr>
            </w:pPr>
            <w:r>
              <w:rPr>
                <w:sz w:val="19"/>
                <w:szCs w:val="19"/>
              </w:rPr>
              <w:t>2019-20</w:t>
            </w:r>
          </w:p>
        </w:tc>
      </w:tr>
      <w:tr w:rsidR="00124C16" w:rsidRPr="004E0E6F" w14:paraId="30768163" w14:textId="77777777" w:rsidTr="008351C5">
        <w:trPr>
          <w:cantSplit/>
          <w:trHeight w:val="20"/>
        </w:trPr>
        <w:tc>
          <w:tcPr>
            <w:tcW w:w="1167" w:type="pct"/>
            <w:vMerge w:val="restart"/>
            <w:tcBorders>
              <w:top w:val="single" w:sz="4" w:space="0" w:color="auto"/>
              <w:left w:val="single" w:sz="4" w:space="0" w:color="auto"/>
              <w:right w:val="single" w:sz="4" w:space="0" w:color="auto"/>
            </w:tcBorders>
          </w:tcPr>
          <w:p w14:paraId="1C7D88E4" w14:textId="77777777" w:rsidR="00124C16" w:rsidRPr="004E0E6F" w:rsidRDefault="00124C16" w:rsidP="008351C5">
            <w:pPr>
              <w:jc w:val="left"/>
              <w:rPr>
                <w:sz w:val="19"/>
                <w:szCs w:val="19"/>
              </w:rPr>
            </w:pPr>
            <w:r w:rsidRPr="001A774C">
              <w:rPr>
                <w:sz w:val="19"/>
                <w:szCs w:val="19"/>
              </w:rPr>
              <w:t>To what extent</w:t>
            </w:r>
            <w:r w:rsidRPr="004E0E6F">
              <w:rPr>
                <w:sz w:val="19"/>
                <w:szCs w:val="19"/>
              </w:rPr>
              <w:t xml:space="preserve"> did CEW contribute to increased dispersal of organisms between river and wetlands</w:t>
            </w:r>
            <w:r>
              <w:t xml:space="preserve"> </w:t>
            </w:r>
            <w:r w:rsidRPr="001A774C">
              <w:rPr>
                <w:sz w:val="19"/>
                <w:szCs w:val="19"/>
              </w:rPr>
              <w:t>in the Lower Murray</w:t>
            </w:r>
            <w:r w:rsidRPr="004E0E6F">
              <w:rPr>
                <w:sz w:val="19"/>
                <w:szCs w:val="19"/>
              </w:rPr>
              <w:t>?</w:t>
            </w:r>
          </w:p>
        </w:tc>
        <w:tc>
          <w:tcPr>
            <w:tcW w:w="610"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6F94422" w14:textId="77777777" w:rsidR="00124C16" w:rsidRPr="0084014F" w:rsidRDefault="00124C16" w:rsidP="008351C5">
            <w:pPr>
              <w:jc w:val="center"/>
              <w:rPr>
                <w:color w:val="auto"/>
                <w:sz w:val="19"/>
                <w:szCs w:val="19"/>
              </w:rPr>
            </w:pPr>
            <w:r w:rsidRPr="0084014F">
              <w:rPr>
                <w:color w:val="auto"/>
                <w:sz w:val="19"/>
                <w:szCs w:val="19"/>
              </w:rPr>
              <w:t>3</w:t>
            </w:r>
          </w:p>
        </w:tc>
        <w:tc>
          <w:tcPr>
            <w:tcW w:w="610" w:type="pct"/>
            <w:tcBorders>
              <w:top w:val="single" w:sz="4" w:space="0" w:color="auto"/>
              <w:left w:val="single" w:sz="4" w:space="0" w:color="auto"/>
              <w:bottom w:val="single" w:sz="4" w:space="0" w:color="auto"/>
              <w:right w:val="single" w:sz="4" w:space="0" w:color="auto"/>
            </w:tcBorders>
            <w:shd w:val="clear" w:color="auto" w:fill="70AD47" w:themeFill="accent6"/>
          </w:tcPr>
          <w:p w14:paraId="73B793C1" w14:textId="77777777" w:rsidR="00124C16" w:rsidRPr="0084014F" w:rsidRDefault="00124C16" w:rsidP="008351C5">
            <w:pPr>
              <w:jc w:val="center"/>
              <w:rPr>
                <w:color w:val="auto"/>
                <w:sz w:val="19"/>
                <w:szCs w:val="19"/>
              </w:rPr>
            </w:pPr>
            <w:r w:rsidRPr="0084014F">
              <w:rPr>
                <w:color w:val="auto"/>
                <w:sz w:val="19"/>
                <w:szCs w:val="19"/>
              </w:rPr>
              <w:t>22</w:t>
            </w:r>
          </w:p>
        </w:tc>
        <w:tc>
          <w:tcPr>
            <w:tcW w:w="660"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4AC5749" w14:textId="77777777" w:rsidR="00124C16" w:rsidRPr="0084014F" w:rsidRDefault="00124C16" w:rsidP="008351C5">
            <w:pPr>
              <w:jc w:val="center"/>
              <w:rPr>
                <w:color w:val="auto"/>
                <w:sz w:val="19"/>
                <w:szCs w:val="19"/>
              </w:rPr>
            </w:pPr>
            <w:r w:rsidRPr="0084014F">
              <w:rPr>
                <w:color w:val="auto"/>
                <w:sz w:val="19"/>
                <w:szCs w:val="19"/>
              </w:rPr>
              <w:t>-3</w:t>
            </w:r>
          </w:p>
        </w:tc>
        <w:tc>
          <w:tcPr>
            <w:tcW w:w="610" w:type="pct"/>
            <w:tcBorders>
              <w:top w:val="single" w:sz="4" w:space="0" w:color="auto"/>
              <w:left w:val="single" w:sz="4" w:space="0" w:color="auto"/>
              <w:bottom w:val="single" w:sz="4" w:space="0" w:color="auto"/>
              <w:right w:val="single" w:sz="4" w:space="0" w:color="auto"/>
            </w:tcBorders>
            <w:shd w:val="clear" w:color="auto" w:fill="70AD47" w:themeFill="accent6"/>
          </w:tcPr>
          <w:p w14:paraId="429D753E" w14:textId="77777777" w:rsidR="00124C16" w:rsidRPr="0084014F" w:rsidRDefault="00124C16" w:rsidP="008351C5">
            <w:pPr>
              <w:jc w:val="center"/>
              <w:rPr>
                <w:color w:val="auto"/>
                <w:sz w:val="19"/>
                <w:szCs w:val="19"/>
              </w:rPr>
            </w:pPr>
            <w:r w:rsidRPr="0084014F">
              <w:rPr>
                <w:color w:val="auto"/>
                <w:sz w:val="19"/>
                <w:szCs w:val="19"/>
              </w:rPr>
              <w:t>24</w:t>
            </w:r>
          </w:p>
        </w:tc>
        <w:tc>
          <w:tcPr>
            <w:tcW w:w="660"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DA7B0AE" w14:textId="77777777" w:rsidR="00124C16" w:rsidRPr="0084014F" w:rsidRDefault="00124C16" w:rsidP="008351C5">
            <w:pPr>
              <w:jc w:val="center"/>
              <w:rPr>
                <w:sz w:val="19"/>
                <w:szCs w:val="19"/>
              </w:rPr>
            </w:pPr>
            <w:r w:rsidRPr="0084014F">
              <w:rPr>
                <w:sz w:val="19"/>
                <w:szCs w:val="19"/>
              </w:rPr>
              <w:t>N/A</w:t>
            </w:r>
          </w:p>
        </w:tc>
        <w:tc>
          <w:tcPr>
            <w:tcW w:w="683" w:type="pct"/>
            <w:tcBorders>
              <w:top w:val="single" w:sz="4" w:space="0" w:color="auto"/>
              <w:left w:val="single" w:sz="4" w:space="0" w:color="auto"/>
              <w:bottom w:val="single" w:sz="4" w:space="0" w:color="auto"/>
              <w:right w:val="single" w:sz="4" w:space="0" w:color="auto"/>
            </w:tcBorders>
            <w:shd w:val="clear" w:color="auto" w:fill="8EAADB" w:themeFill="accent5" w:themeFillTint="99"/>
          </w:tcPr>
          <w:p w14:paraId="1531BEEF" w14:textId="77777777" w:rsidR="00124C16" w:rsidRPr="0084014F" w:rsidRDefault="00124C16" w:rsidP="008351C5">
            <w:pPr>
              <w:jc w:val="center"/>
              <w:rPr>
                <w:sz w:val="19"/>
                <w:szCs w:val="19"/>
              </w:rPr>
            </w:pPr>
            <w:r w:rsidRPr="0084014F">
              <w:rPr>
                <w:sz w:val="19"/>
                <w:szCs w:val="19"/>
              </w:rPr>
              <w:t>30</w:t>
            </w:r>
          </w:p>
        </w:tc>
      </w:tr>
      <w:tr w:rsidR="00124C16" w:rsidRPr="004E0E6F" w14:paraId="7587CEF9" w14:textId="77777777" w:rsidTr="008351C5">
        <w:trPr>
          <w:cantSplit/>
          <w:trHeight w:val="20"/>
        </w:trPr>
        <w:tc>
          <w:tcPr>
            <w:tcW w:w="1167" w:type="pct"/>
            <w:vMerge/>
            <w:tcBorders>
              <w:left w:val="single" w:sz="4" w:space="0" w:color="auto"/>
              <w:right w:val="single" w:sz="4" w:space="0" w:color="auto"/>
            </w:tcBorders>
          </w:tcPr>
          <w:p w14:paraId="4D4E6D09" w14:textId="77777777" w:rsidR="00124C16" w:rsidRPr="004E0E6F" w:rsidRDefault="00124C16" w:rsidP="008351C5">
            <w:pPr>
              <w:jc w:val="left"/>
              <w:rPr>
                <w:sz w:val="19"/>
                <w:szCs w:val="19"/>
              </w:rPr>
            </w:pPr>
          </w:p>
        </w:tc>
        <w:tc>
          <w:tcPr>
            <w:tcW w:w="3833" w:type="pct"/>
            <w:gridSpan w:val="6"/>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4B9C357" w14:textId="77777777" w:rsidR="00124C16" w:rsidRPr="006D772F" w:rsidRDefault="00124C16" w:rsidP="008351C5">
            <w:pPr>
              <w:jc w:val="left"/>
              <w:rPr>
                <w:sz w:val="19"/>
                <w:szCs w:val="19"/>
              </w:rPr>
            </w:pPr>
            <w:r w:rsidRPr="001144F5">
              <w:rPr>
                <w:sz w:val="19"/>
                <w:szCs w:val="19"/>
              </w:rPr>
              <w:t xml:space="preserve">eWater increased the density of taxa dependent upon lateral connectivity by an average of 18% across all years </w:t>
            </w:r>
            <w:r>
              <w:rPr>
                <w:sz w:val="19"/>
                <w:szCs w:val="19"/>
              </w:rPr>
              <w:t>(</w:t>
            </w:r>
            <w:r w:rsidRPr="001144F5">
              <w:rPr>
                <w:sz w:val="19"/>
                <w:szCs w:val="19"/>
              </w:rPr>
              <w:t>with CEW accounting for 86% of this</w:t>
            </w:r>
            <w:r>
              <w:rPr>
                <w:sz w:val="19"/>
                <w:szCs w:val="19"/>
              </w:rPr>
              <w:t>)</w:t>
            </w:r>
            <w:r w:rsidRPr="001144F5">
              <w:rPr>
                <w:sz w:val="19"/>
                <w:szCs w:val="19"/>
              </w:rPr>
              <w:t>.</w:t>
            </w:r>
            <w:r>
              <w:rPr>
                <w:sz w:val="19"/>
                <w:szCs w:val="19"/>
              </w:rPr>
              <w:t xml:space="preserve"> </w:t>
            </w:r>
            <w:r w:rsidRPr="00360E92">
              <w:rPr>
                <w:sz w:val="19"/>
                <w:szCs w:val="19"/>
              </w:rPr>
              <w:t>The significance of the contribution was classified as none-negligible if the contribution was 0–9%, minor = 10–19%, moderate =20–29% and substantial = ≥30%.</w:t>
            </w:r>
            <w:r>
              <w:rPr>
                <w:sz w:val="19"/>
                <w:szCs w:val="19"/>
              </w:rPr>
              <w:t xml:space="preserve"> </w:t>
            </w:r>
            <w:r w:rsidRPr="008B4F05">
              <w:rPr>
                <w:sz w:val="19"/>
                <w:szCs w:val="19"/>
              </w:rPr>
              <w:t>Refer to the evaluation in Section 2.5 for</w:t>
            </w:r>
            <w:r>
              <w:rPr>
                <w:sz w:val="19"/>
                <w:szCs w:val="19"/>
              </w:rPr>
              <w:t xml:space="preserve"> details.</w:t>
            </w:r>
          </w:p>
        </w:tc>
      </w:tr>
    </w:tbl>
    <w:p w14:paraId="27C953DB" w14:textId="77777777" w:rsidR="00867D02" w:rsidRDefault="00867D02" w:rsidP="00A350F9">
      <w:pPr>
        <w:rPr>
          <w:b/>
          <w:lang w:val="en-US"/>
        </w:rPr>
      </w:pPr>
    </w:p>
    <w:p w14:paraId="766B7BB7" w14:textId="77777777" w:rsidR="00195089" w:rsidRDefault="00195089" w:rsidP="00A350F9">
      <w:pPr>
        <w:rPr>
          <w:b/>
          <w:lang w:val="en-US"/>
        </w:rPr>
      </w:pPr>
    </w:p>
    <w:p w14:paraId="0F731888" w14:textId="77777777" w:rsidR="00195089" w:rsidRDefault="00195089">
      <w:pPr>
        <w:spacing w:before="0" w:after="160" w:line="259" w:lineRule="auto"/>
        <w:jc w:val="left"/>
        <w:rPr>
          <w:b/>
          <w:lang w:val="en-US"/>
        </w:rPr>
      </w:pPr>
      <w:r>
        <w:rPr>
          <w:b/>
          <w:lang w:val="en-US"/>
        </w:rPr>
        <w:br w:type="page"/>
      </w:r>
    </w:p>
    <w:p w14:paraId="717C7F35" w14:textId="0D78ED00" w:rsidR="00A350F9" w:rsidRDefault="00A350F9" w:rsidP="00A350F9">
      <w:pPr>
        <w:rPr>
          <w:b/>
          <w:lang w:val="en-US"/>
        </w:rPr>
      </w:pPr>
      <w:r w:rsidRPr="00886886">
        <w:rPr>
          <w:b/>
          <w:lang w:val="en-US"/>
        </w:rPr>
        <w:t xml:space="preserve">Fish </w:t>
      </w:r>
      <w:r w:rsidR="00867D02">
        <w:rPr>
          <w:b/>
          <w:lang w:val="en-US"/>
        </w:rPr>
        <w:t>(all indicators)</w:t>
      </w:r>
    </w:p>
    <w:p w14:paraId="35873688" w14:textId="2CA51932" w:rsidR="008E2DA7" w:rsidRDefault="008E2DA7" w:rsidP="008E2DA7">
      <w:pPr>
        <w:rPr>
          <w:lang w:val="en-US"/>
        </w:rPr>
      </w:pPr>
      <w:r w:rsidRPr="008E2DA7">
        <w:rPr>
          <w:lang w:val="en-US"/>
        </w:rPr>
        <w:t xml:space="preserve">Fish data have been consolidated to evaluate </w:t>
      </w:r>
      <w:proofErr w:type="gramStart"/>
      <w:r w:rsidRPr="008E2DA7">
        <w:rPr>
          <w:lang w:val="en-US"/>
        </w:rPr>
        <w:t>a number of</w:t>
      </w:r>
      <w:proofErr w:type="gramEnd"/>
      <w:r w:rsidRPr="008E2DA7">
        <w:rPr>
          <w:lang w:val="en-US"/>
        </w:rPr>
        <w:t xml:space="preserve"> fish targets of DEW’s LTWP. These questions and answers do not relate to evaluation of flow or </w:t>
      </w:r>
      <w:r w:rsidR="00DC2661">
        <w:rPr>
          <w:lang w:val="en-US"/>
        </w:rPr>
        <w:t>Commonwealth environmental water</w:t>
      </w:r>
      <w:r w:rsidRPr="008E2DA7">
        <w:rPr>
          <w:lang w:val="en-US"/>
        </w:rPr>
        <w:t xml:space="preserve">. Furthermore, the LTIM Fish monitoring program is not designed to determine what is facilitating changes in population dynamics of fish species for DEW’s LTWP evaluation questions, e.g. spawning and recruitment of </w:t>
      </w:r>
      <w:r>
        <w:rPr>
          <w:lang w:val="en-US"/>
        </w:rPr>
        <w:t>freshwater catfish</w:t>
      </w:r>
      <w:r w:rsidRPr="008E2DA7">
        <w:rPr>
          <w:lang w:val="en-US"/>
        </w:rPr>
        <w:t xml:space="preserve"> or common carp.</w:t>
      </w:r>
      <w:r w:rsidR="00DC2661">
        <w:rPr>
          <w:lang w:val="en-US"/>
        </w:rPr>
        <w:t xml:space="preserve"> NA = not applicable.</w:t>
      </w:r>
    </w:p>
    <w:p w14:paraId="23F9E6B4" w14:textId="23976BB7" w:rsidR="0088325F" w:rsidRPr="00AF70C9" w:rsidRDefault="0088325F" w:rsidP="0088325F">
      <w:pPr>
        <w:spacing w:before="0" w:after="160" w:line="259" w:lineRule="auto"/>
        <w:jc w:val="left"/>
        <w:rPr>
          <w:sz w:val="18"/>
        </w:rPr>
      </w:pPr>
      <w:r w:rsidRPr="00AF70C9">
        <w:rPr>
          <w:sz w:val="18"/>
        </w:rPr>
        <w:t xml:space="preserve">Outcome:  </w:t>
      </w:r>
      <w:r w:rsidRPr="00AF70C9">
        <w:rPr>
          <w:noProof/>
          <w:sz w:val="18"/>
          <w:lang w:eastAsia="en-AU"/>
        </w:rPr>
        <mc:AlternateContent>
          <mc:Choice Requires="wps">
            <w:drawing>
              <wp:inline distT="0" distB="0" distL="0" distR="0" wp14:anchorId="45145671" wp14:editId="3844F8BB">
                <wp:extent cx="285750" cy="152400"/>
                <wp:effectExtent l="0" t="0" r="19050" b="19050"/>
                <wp:docPr id="26" name="Rectangle 26"/>
                <wp:cNvGraphicFramePr/>
                <a:graphic xmlns:a="http://schemas.openxmlformats.org/drawingml/2006/main">
                  <a:graphicData uri="http://schemas.microsoft.com/office/word/2010/wordprocessingShape">
                    <wps:wsp>
                      <wps:cNvSpPr/>
                      <wps:spPr>
                        <a:xfrm>
                          <a:off x="0" y="0"/>
                          <a:ext cx="285750" cy="152400"/>
                        </a:xfrm>
                        <a:prstGeom prst="rect">
                          <a:avLst/>
                        </a:prstGeom>
                        <a:solidFill>
                          <a:srgbClr val="FFCCCC"/>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6BCF63F" id="Rectangle 26" o:spid="_x0000_s1026" style="width:22.5pt;height:1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myZnAIAAK4FAAAOAAAAZHJzL2Uyb0RvYy54bWysVE1v2zAMvQ/YfxB0X20HSdsFdYogRYYB&#10;RVu0HXpWZCkWIEsapcTJfv0o+SNdW+wwLAdFFMlH8pnk1fWh0WQvwCtrSlqc5ZQIw22lzLakP57X&#10;Xy4p8YGZimlrREmPwtPrxedPV62bi4mtra4EEAQxft66ktYhuHmWeV6Lhvkz64RBpbTQsIAibLMK&#10;WIvojc4meX6etRYqB5YL7/H1plPSRcKXUvBwL6UXgeiSYm4hnZDOTTyzxRWbb4G5WvE+DfYPWTRM&#10;GQw6Qt2wwMgO1DuoRnGw3spwxm2TWSkVF6kGrKbI31TzVDMnUi1IjncjTf7/wfK7/QMQVZV0ck6J&#10;YQ1+o0dkjZmtFgTfkKDW+TnaPbkH6CWP11jtQUIT/7EOckikHkdSxSEQjo+Ty9nFDKnnqCpmk2me&#10;SM9Ozg58+CZsQ+KlpIDRE5Vsf+sDBkTTwSTG8laraq20TgJsNysNZM/w+67XK/zFjNHlDzNt3nvG&#10;DhOjbzgU7x0RJnpmkYCu5HQLRy0injaPQiJ3sciUceraEybjXJhQdKqaVaJLc5bjbwg2ZJFyToAR&#10;WWJ5I3YPMFh2IAN2V2xvH11FavrROf9bYp3z6JEiWxNG50YZCx8BaKyqj9zZDyR11ESWNrY6YmeB&#10;7UbOO75W+H1vmQ8PDHDGsCVwb4R7PKS2bUltf6OktvDro/doj62PWkpanNmS+p87BoIS/d3gUHwt&#10;ptM45EmYzi4mKMBrzea1xuyalcW2KXBDOZ6u0T7o4SrBNi+4XpYxKqqY4Ri7pDzAIKxCt0twQXGx&#10;XCYzHGzHwq15cjyCR1Zj/z4fXhi4vskDTsedHeabzd/0emcbPY1d7oKVKg3Cideeb1wKqXH6BRa3&#10;zms5WZ3W7OI3AAAA//8DAFBLAwQUAAYACAAAACEA5KSjL9gAAAADAQAADwAAAGRycy9kb3ducmV2&#10;LnhtbEyPwU7DMBBE70j9B2sr9UadVgWhEKdCBc4VaRFXJ94mUex1iN0k/D0LF7iMNJrVzNtsPzsr&#10;RhxC60nBZp2AQKq8aalWcD693j6ACFGT0dYTKvjCAPt8cZPp1PiJ3nAsYi24hEKqFTQx9qmUoWrQ&#10;6bD2PRJnFz84HdkOtTSDnrjcWblNknvpdEu80OgeDw1WXXF1Ci6nqayeX+jzaLvzu/wYi9B3rVKr&#10;5fz0CCLiHP+O4Qef0SFnptJfyQRhFfAj8Vc5292xKxVsdwnIPJP/2fNvAAAA//8DAFBLAQItABQA&#10;BgAIAAAAIQC2gziS/gAAAOEBAAATAAAAAAAAAAAAAAAAAAAAAABbQ29udGVudF9UeXBlc10ueG1s&#10;UEsBAi0AFAAGAAgAAAAhADj9If/WAAAAlAEAAAsAAAAAAAAAAAAAAAAALwEAAF9yZWxzLy5yZWxz&#10;UEsBAi0AFAAGAAgAAAAhADIebJmcAgAArgUAAA4AAAAAAAAAAAAAAAAALgIAAGRycy9lMm9Eb2Mu&#10;eG1sUEsBAi0AFAAGAAgAAAAhAOSkoy/YAAAAAwEAAA8AAAAAAAAAAAAAAAAA9gQAAGRycy9kb3du&#10;cmV2LnhtbFBLBQYAAAAABAAEAPMAAAD7BQAAAAA=&#10;" fillcolor="#fcc" strokecolor="black [3213]" strokeweight="1pt">
                <w10:anchorlock/>
              </v:rect>
            </w:pict>
          </mc:Fallback>
        </mc:AlternateContent>
      </w:r>
      <w:r w:rsidRPr="00AF70C9">
        <w:rPr>
          <w:sz w:val="18"/>
        </w:rPr>
        <w:t xml:space="preserve"> = negative; </w:t>
      </w:r>
      <w:r w:rsidRPr="00AF70C9">
        <w:rPr>
          <w:noProof/>
          <w:sz w:val="18"/>
          <w:lang w:eastAsia="en-AU"/>
        </w:rPr>
        <mc:AlternateContent>
          <mc:Choice Requires="wps">
            <w:drawing>
              <wp:inline distT="0" distB="0" distL="0" distR="0" wp14:anchorId="4906E2F1" wp14:editId="283D1C8E">
                <wp:extent cx="285750" cy="152400"/>
                <wp:effectExtent l="0" t="0" r="19050" b="19050"/>
                <wp:docPr id="29" name="Rectangle 29"/>
                <wp:cNvGraphicFramePr/>
                <a:graphic xmlns:a="http://schemas.openxmlformats.org/drawingml/2006/main">
                  <a:graphicData uri="http://schemas.microsoft.com/office/word/2010/wordprocessingShape">
                    <wps:wsp>
                      <wps:cNvSpPr/>
                      <wps:spPr>
                        <a:xfrm>
                          <a:off x="0" y="0"/>
                          <a:ext cx="285750" cy="152400"/>
                        </a:xfrm>
                        <a:prstGeom prst="rect">
                          <a:avLst/>
                        </a:prstGeom>
                        <a:solidFill>
                          <a:schemeClr val="accent6">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F6C0350" id="Rectangle 29" o:spid="_x0000_s1026" style="width:22.5pt;height:1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uJhqAIAAOwFAAAOAAAAZHJzL2Uyb0RvYy54bWysVNtu2zAMfR+wfxD0vjoOkl6MOkXQosOA&#10;ri3aDn1WZSk2IImapMTJvn6UfEnadRsw7MURb4fkCcnzi61WZCOcb8CUND+aUCIMh6oxq5J+e7r+&#10;dEqJD8xUTIERJd0JTy8WHz+ct7YQU6hBVcIRBDG+aG1J6xBskWWe10IzfwRWGDRKcJoFFN0qqxxr&#10;EV2rbDqZHGctuMo64MJ71F51RrpI+FIKHu6k9CIQVVKsLaSvS9+X+M0W56xYOWbrhvdlsH+oQrPG&#10;YNIR6ooFRtau+QVKN9yBBxmOOOgMpGy4SD1gN/nkTTePNbMi9YLkeDvS5P8fLL/d3DvSVCWdnlFi&#10;mMb/6AFZY2alBEEdEtRaX6Dfo713veTxGbvdSqfjL/ZBtonU3Uiq2AbCUTk9nZ/MkXqOpnw+nU0S&#10;6dk+2DofPgvQJD5K6jB7opJtbnzAhOg6uMRcHlRTXTdKJSHOibhUjmwY/sOMc2HCcQpXa/0Vqk6P&#10;k9KlZQWqcSI69emgxhRp4iJSSvgqiTJ/yxu2eSQqwuyrQylGZpG+jrD0CjslIp4yD0Ii85GiVPBY&#10;wWEveWeqWSU69fy3NSfAiCyRnBG7B3iPp6Hm3j+GirQyY/DkT4V1DY8RKTOYMAbrxoB7D0CFMXPn&#10;P5DUURNZeoFqh3PpoFtYb/l1g9Nxw3y4Zw43FAcKr064w49U0JYU+hclNbgf7+mjPy4OWilpceNL&#10;6r+vmROUqC8GV+osn83iiUjCbH4yRcEdWl4OLWatLwFHLsf7Znl6Rv+ghqd0oJ/xOC1jVjQxwzF3&#10;SXlwg3AZukuE542L5TK54VmwLNyYR8sjeGQ1Tv/T9pk5269IwN26heE6sOLNpnS+MdLAch1ANmmN&#10;9rz2fONJSTPbn794sw7l5LU/0oufAAAA//8DAFBLAwQUAAYACAAAACEAdgwPZtsAAAADAQAADwAA&#10;AGRycy9kb3ducmV2LnhtbEyPzU7DMBCE70h9B2srcaN2o/AX4lQtEuqhp5YienTjJYmI12nspuHt&#10;WbjAZaTRrGa+zReja8WAfWg8aZjPFAik0tuGKg3715ebBxAhGrKm9YQavjDAophc5Saz/kJbHHax&#10;ElxCITMa6hi7TMpQ1uhMmPkOibMP3zsT2faVtL25cLlrZaLUnXSmIV6oTYfPNZafu7PT4NLH+ze1&#10;sctkvtkfhtNqvX0/rLW+no7LJxARx/h3DD/4jA4FMx39mWwQrQZ+JP4qZ+ktu6OGJFUgi1z+Zy++&#10;AQAA//8DAFBLAQItABQABgAIAAAAIQC2gziS/gAAAOEBAAATAAAAAAAAAAAAAAAAAAAAAABbQ29u&#10;dGVudF9UeXBlc10ueG1sUEsBAi0AFAAGAAgAAAAhADj9If/WAAAAlAEAAAsAAAAAAAAAAAAAAAAA&#10;LwEAAF9yZWxzLy5yZWxzUEsBAi0AFAAGAAgAAAAhAKy64mGoAgAA7AUAAA4AAAAAAAAAAAAAAAAA&#10;LgIAAGRycy9lMm9Eb2MueG1sUEsBAi0AFAAGAAgAAAAhAHYMD2bbAAAAAwEAAA8AAAAAAAAAAAAA&#10;AAAAAgUAAGRycy9kb3ducmV2LnhtbFBLBQYAAAAABAAEAPMAAAAKBgAAAAA=&#10;" fillcolor="#e2efd9 [665]" strokecolor="black [3213]" strokeweight="1pt">
                <w10:anchorlock/>
              </v:rect>
            </w:pict>
          </mc:Fallback>
        </mc:AlternateContent>
      </w:r>
      <w:r w:rsidRPr="00AF70C9">
        <w:rPr>
          <w:sz w:val="18"/>
        </w:rPr>
        <w:t xml:space="preserve"> = positive; </w:t>
      </w:r>
      <w:r w:rsidRPr="00AF70C9">
        <w:rPr>
          <w:noProof/>
          <w:sz w:val="18"/>
          <w:lang w:eastAsia="en-AU"/>
        </w:rPr>
        <mc:AlternateContent>
          <mc:Choice Requires="wps">
            <w:drawing>
              <wp:inline distT="0" distB="0" distL="0" distR="0" wp14:anchorId="4B7D47BB" wp14:editId="2035AA1A">
                <wp:extent cx="285750" cy="152400"/>
                <wp:effectExtent l="0" t="0" r="19050" b="19050"/>
                <wp:docPr id="30" name="Rectangle 30"/>
                <wp:cNvGraphicFramePr/>
                <a:graphic xmlns:a="http://schemas.openxmlformats.org/drawingml/2006/main">
                  <a:graphicData uri="http://schemas.microsoft.com/office/word/2010/wordprocessingShape">
                    <wps:wsp>
                      <wps:cNvSpPr/>
                      <wps:spPr>
                        <a:xfrm>
                          <a:off x="0" y="0"/>
                          <a:ext cx="285750" cy="152400"/>
                        </a:xfrm>
                        <a:prstGeom prst="rect">
                          <a:avLst/>
                        </a:prstGeom>
                        <a:solidFill>
                          <a:schemeClr val="bg2">
                            <a:lumMod val="9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09A789A" id="Rectangle 30" o:spid="_x0000_s1026" style="width:22.5pt;height:1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RsdogIAANEFAAAOAAAAZHJzL2Uyb0RvYy54bWysVMFu2zAMvQ/YPwi6r7azZG2DOkXQosOA&#10;bi3aDj0rshQbkEVNUuJkXz9Ksp2s6zZgWA6KKJKP5DPJi8tdq8hWWNeALmlxklMiNIeq0euSfn26&#10;eXdGifNMV0yBFiXdC0cvF2/fXHRmLiZQg6qEJQii3bwzJa29N/Msc7wWLXMnYIRGpQTbMo+iXWeV&#10;ZR2ityqb5PmHrANbGQtcOIev10lJFxFfSsH9nZROeKJKirn5eNp4rsKZLS7YfG2ZqRvep8H+IYuW&#10;NRqDjlDXzDOysc0vUG3DLTiQ/oRDm4GUDRexBqymyF9U81gzI2ItSI4zI03u/8HyL9t7S5qqpO+R&#10;Hs1a/EYPyBrTayUIviFBnXFztHs097aXHF5DtTtp2/CPdZBdJHU/kip2nnB8nJzNTmeIzVFVzCbT&#10;PGJmB2djnf8ooCXhUlKL0SOVbHvrPAZE08EkxHKgmuqmUSoKoU/ElbJky/ALr9aT6Ko27Weo0tt5&#10;jr9QBuLEtgrmSTpGUvpv4H5XDDAHRwQNnlngKLESb36vRMBT+kFIpDfwEDMbM0jJMc6F9kVS1awS&#10;6Xn225wjYECWyMCI3QP8TMaAnUrv7YOriHMxOud/Siw5jx4xMmg/OreNBvsagMKq+sjJfiApURNY&#10;WkG1x+azkKbSGX7TYAvcMufvmcUxxK7B1eLv8JAKupJCf6OkBvv9tfdgj9OBWko6HOuSum8bZgUl&#10;6pPGuTkvptOwB6IwnZ1OULDHmtWxRm/aK8C+KnCJGR6vwd6r4SottM+4gZYhKqqY5hi7pNzbQbjy&#10;ad3gDuNiuYxmOPuG+Vv9aHgAD6yGFn/aPTNr+jnwOEBfYFgBbP5iHJJt8NSw3HiQTZyVA68937g3&#10;YrP3Oy4spmM5Wh028eIHAAAA//8DAFBLAwQUAAYACAAAACEAsqyrUdkAAAADAQAADwAAAGRycy9k&#10;b3ducmV2LnhtbEyPQUvDQBCF74L/YRnBm91YaikxmyKCJyliKnidZsckdnc2Zjdt2l/v6EUvDx5v&#10;eO+bYj15pw40xC6wgdtZBoq4DrbjxsDb9ulmBSomZIsuMBk4UYR1eXlRYG7DkV/pUKVGSQnHHA20&#10;KfW51rFuyWOchZ5Yso8weExih0bbAY9S7p2eZ9lSe+xYFlrs6bGlel+N3sBGf369TNs9b/Sqfnbv&#10;VXdejpUx11fTwz2oRFP6O4YffEGHUph2YWQblTMgj6RflWxxJ25nYL7IQJeF/s9efgMAAP//AwBQ&#10;SwECLQAUAAYACAAAACEAtoM4kv4AAADhAQAAEwAAAAAAAAAAAAAAAAAAAAAAW0NvbnRlbnRfVHlw&#10;ZXNdLnhtbFBLAQItABQABgAIAAAAIQA4/SH/1gAAAJQBAAALAAAAAAAAAAAAAAAAAC8BAABfcmVs&#10;cy8ucmVsc1BLAQItABQABgAIAAAAIQCxqRsdogIAANEFAAAOAAAAAAAAAAAAAAAAAC4CAABkcnMv&#10;ZTJvRG9jLnhtbFBLAQItABQABgAIAAAAIQCyrKtR2QAAAAMBAAAPAAAAAAAAAAAAAAAAAPwEAABk&#10;cnMvZG93bnJldi54bWxQSwUGAAAAAAQABADzAAAAAgYAAAAA&#10;" fillcolor="#cfcdcd [2894]" strokecolor="black [3213]" strokeweight="1pt">
                <w10:anchorlock/>
              </v:rect>
            </w:pict>
          </mc:Fallback>
        </mc:AlternateContent>
      </w:r>
      <w:r w:rsidRPr="00AF70C9">
        <w:rPr>
          <w:sz w:val="18"/>
        </w:rPr>
        <w:t xml:space="preserve"> = unable to be detected.</w:t>
      </w:r>
    </w:p>
    <w:tbl>
      <w:tblPr>
        <w:tblW w:w="49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48"/>
        <w:gridCol w:w="566"/>
        <w:gridCol w:w="568"/>
        <w:gridCol w:w="568"/>
        <w:gridCol w:w="568"/>
        <w:gridCol w:w="566"/>
        <w:gridCol w:w="1842"/>
      </w:tblGrid>
      <w:tr w:rsidR="00124C16" w:rsidRPr="00B510A2" w14:paraId="5BDA23D1" w14:textId="77777777" w:rsidTr="00B0788C">
        <w:trPr>
          <w:cantSplit/>
          <w:tblHeader/>
        </w:trPr>
        <w:tc>
          <w:tcPr>
            <w:tcW w:w="2380" w:type="pct"/>
            <w:vMerge w:val="restart"/>
            <w:shd w:val="clear" w:color="auto" w:fill="auto"/>
          </w:tcPr>
          <w:p w14:paraId="0AC2FDD9" w14:textId="77777777" w:rsidR="00124C16" w:rsidRPr="00B510A2" w:rsidRDefault="00124C16" w:rsidP="008351C5">
            <w:pPr>
              <w:pStyle w:val="TableHeading"/>
              <w:jc w:val="left"/>
              <w:rPr>
                <w:sz w:val="19"/>
                <w:szCs w:val="19"/>
              </w:rPr>
            </w:pPr>
            <w:r w:rsidRPr="00B510A2">
              <w:rPr>
                <w:sz w:val="19"/>
                <w:szCs w:val="19"/>
              </w:rPr>
              <w:t>DEW evaluation questions</w:t>
            </w:r>
          </w:p>
        </w:tc>
        <w:tc>
          <w:tcPr>
            <w:tcW w:w="2620" w:type="pct"/>
            <w:gridSpan w:val="6"/>
          </w:tcPr>
          <w:p w14:paraId="75912234" w14:textId="26B1C38A" w:rsidR="00124C16" w:rsidRPr="00B510A2" w:rsidRDefault="00124C16" w:rsidP="008351C5">
            <w:pPr>
              <w:pStyle w:val="TableHeading"/>
              <w:jc w:val="left"/>
              <w:rPr>
                <w:sz w:val="19"/>
                <w:szCs w:val="19"/>
              </w:rPr>
            </w:pPr>
            <w:r w:rsidRPr="00B510A2">
              <w:rPr>
                <w:sz w:val="19"/>
                <w:szCs w:val="19"/>
              </w:rPr>
              <w:t xml:space="preserve">Answers to </w:t>
            </w:r>
            <w:r>
              <w:rPr>
                <w:sz w:val="19"/>
                <w:szCs w:val="19"/>
              </w:rPr>
              <w:t>evaluation questions (201</w:t>
            </w:r>
            <w:r w:rsidR="000D6A33">
              <w:rPr>
                <w:sz w:val="19"/>
                <w:szCs w:val="19"/>
              </w:rPr>
              <w:t>5</w:t>
            </w:r>
            <w:r>
              <w:rPr>
                <w:sz w:val="19"/>
                <w:szCs w:val="19"/>
              </w:rPr>
              <w:t xml:space="preserve"> to 2020)</w:t>
            </w:r>
          </w:p>
        </w:tc>
      </w:tr>
      <w:tr w:rsidR="00B0788C" w:rsidRPr="00B510A2" w14:paraId="75E0F986" w14:textId="77777777" w:rsidTr="00B0788C">
        <w:trPr>
          <w:cantSplit/>
          <w:trHeight w:val="397"/>
          <w:tblHeader/>
        </w:trPr>
        <w:tc>
          <w:tcPr>
            <w:tcW w:w="2380" w:type="pct"/>
            <w:vMerge/>
            <w:shd w:val="clear" w:color="auto" w:fill="auto"/>
          </w:tcPr>
          <w:p w14:paraId="5A9CFDBD" w14:textId="77777777" w:rsidR="000D6A33" w:rsidRPr="00B510A2" w:rsidRDefault="000D6A33" w:rsidP="008351C5">
            <w:pPr>
              <w:pStyle w:val="TableHeading"/>
              <w:jc w:val="left"/>
              <w:rPr>
                <w:sz w:val="19"/>
                <w:szCs w:val="19"/>
              </w:rPr>
            </w:pPr>
          </w:p>
        </w:tc>
        <w:tc>
          <w:tcPr>
            <w:tcW w:w="317" w:type="pct"/>
            <w:shd w:val="clear" w:color="auto" w:fill="auto"/>
            <w:vAlign w:val="center"/>
          </w:tcPr>
          <w:p w14:paraId="6743926C" w14:textId="23B61598" w:rsidR="000D6A33" w:rsidRPr="00B510A2" w:rsidRDefault="000D6A33" w:rsidP="008351C5">
            <w:pPr>
              <w:pStyle w:val="TableHeading"/>
              <w:jc w:val="center"/>
              <w:rPr>
                <w:sz w:val="19"/>
                <w:szCs w:val="19"/>
              </w:rPr>
            </w:pPr>
            <w:r w:rsidRPr="00B510A2">
              <w:rPr>
                <w:sz w:val="19"/>
                <w:szCs w:val="19"/>
              </w:rPr>
              <w:t>15</w:t>
            </w:r>
          </w:p>
        </w:tc>
        <w:tc>
          <w:tcPr>
            <w:tcW w:w="318" w:type="pct"/>
            <w:shd w:val="clear" w:color="auto" w:fill="auto"/>
            <w:vAlign w:val="center"/>
          </w:tcPr>
          <w:p w14:paraId="2655298E" w14:textId="5E114829" w:rsidR="000D6A33" w:rsidRPr="00B510A2" w:rsidRDefault="000D6A33" w:rsidP="008351C5">
            <w:pPr>
              <w:pStyle w:val="TableHeading"/>
              <w:jc w:val="center"/>
              <w:rPr>
                <w:sz w:val="19"/>
                <w:szCs w:val="19"/>
              </w:rPr>
            </w:pPr>
            <w:r w:rsidRPr="00B510A2">
              <w:rPr>
                <w:sz w:val="19"/>
                <w:szCs w:val="19"/>
              </w:rPr>
              <w:t>16</w:t>
            </w:r>
          </w:p>
        </w:tc>
        <w:tc>
          <w:tcPr>
            <w:tcW w:w="318" w:type="pct"/>
            <w:shd w:val="clear" w:color="auto" w:fill="auto"/>
            <w:vAlign w:val="center"/>
          </w:tcPr>
          <w:p w14:paraId="2C27EAC7" w14:textId="1C765E31" w:rsidR="000D6A33" w:rsidRPr="00B510A2" w:rsidRDefault="000D6A33" w:rsidP="008351C5">
            <w:pPr>
              <w:pStyle w:val="TableHeading"/>
              <w:jc w:val="center"/>
              <w:rPr>
                <w:sz w:val="19"/>
                <w:szCs w:val="19"/>
              </w:rPr>
            </w:pPr>
            <w:r w:rsidRPr="00B510A2">
              <w:rPr>
                <w:sz w:val="19"/>
                <w:szCs w:val="19"/>
              </w:rPr>
              <w:t>17</w:t>
            </w:r>
          </w:p>
        </w:tc>
        <w:tc>
          <w:tcPr>
            <w:tcW w:w="318" w:type="pct"/>
            <w:shd w:val="clear" w:color="auto" w:fill="auto"/>
            <w:vAlign w:val="center"/>
          </w:tcPr>
          <w:p w14:paraId="1266A4FE" w14:textId="491DC50D" w:rsidR="000D6A33" w:rsidRPr="00B510A2" w:rsidRDefault="000D6A33" w:rsidP="008351C5">
            <w:pPr>
              <w:pStyle w:val="TableHeading"/>
              <w:jc w:val="center"/>
              <w:rPr>
                <w:sz w:val="19"/>
                <w:szCs w:val="19"/>
              </w:rPr>
            </w:pPr>
            <w:r w:rsidRPr="00B510A2">
              <w:rPr>
                <w:sz w:val="19"/>
                <w:szCs w:val="19"/>
              </w:rPr>
              <w:t>18</w:t>
            </w:r>
          </w:p>
        </w:tc>
        <w:tc>
          <w:tcPr>
            <w:tcW w:w="317" w:type="pct"/>
            <w:shd w:val="clear" w:color="auto" w:fill="auto"/>
          </w:tcPr>
          <w:p w14:paraId="06D46FCE" w14:textId="006465F0" w:rsidR="000D6A33" w:rsidRPr="00B510A2" w:rsidRDefault="000D6A33" w:rsidP="008351C5">
            <w:pPr>
              <w:pStyle w:val="TableHeading"/>
              <w:jc w:val="center"/>
              <w:rPr>
                <w:sz w:val="19"/>
                <w:szCs w:val="19"/>
              </w:rPr>
            </w:pPr>
            <w:r w:rsidRPr="00B510A2">
              <w:rPr>
                <w:sz w:val="19"/>
                <w:szCs w:val="19"/>
              </w:rPr>
              <w:t>19</w:t>
            </w:r>
          </w:p>
        </w:tc>
        <w:tc>
          <w:tcPr>
            <w:tcW w:w="1032" w:type="pct"/>
            <w:shd w:val="clear" w:color="auto" w:fill="auto"/>
          </w:tcPr>
          <w:p w14:paraId="1ED1E8E9" w14:textId="7A667D9B" w:rsidR="000D6A33" w:rsidRPr="00B510A2" w:rsidRDefault="000D6A33" w:rsidP="008351C5">
            <w:pPr>
              <w:pStyle w:val="TableHeading"/>
              <w:jc w:val="center"/>
              <w:rPr>
                <w:sz w:val="19"/>
                <w:szCs w:val="19"/>
              </w:rPr>
            </w:pPr>
            <w:r>
              <w:rPr>
                <w:sz w:val="19"/>
                <w:szCs w:val="19"/>
              </w:rPr>
              <w:t>20</w:t>
            </w:r>
          </w:p>
        </w:tc>
      </w:tr>
      <w:tr w:rsidR="00B0788C" w:rsidRPr="00B510A2" w14:paraId="3D090CF1" w14:textId="77777777" w:rsidTr="00B0788C">
        <w:trPr>
          <w:cantSplit/>
        </w:trPr>
        <w:tc>
          <w:tcPr>
            <w:tcW w:w="2380" w:type="pct"/>
            <w:vAlign w:val="center"/>
          </w:tcPr>
          <w:p w14:paraId="52D18370" w14:textId="77777777" w:rsidR="000D6A33" w:rsidRPr="00BB7D4F" w:rsidRDefault="000D6A33" w:rsidP="008351C5">
            <w:pPr>
              <w:jc w:val="left"/>
              <w:rPr>
                <w:color w:val="auto"/>
                <w:sz w:val="19"/>
                <w:szCs w:val="19"/>
              </w:rPr>
            </w:pPr>
            <w:r w:rsidRPr="00BB7D4F">
              <w:rPr>
                <w:color w:val="auto"/>
                <w:sz w:val="19"/>
                <w:szCs w:val="19"/>
              </w:rPr>
              <w:t>Did the population age structure of Murray cod include recent recruits (i.e. &lt;300 mm TL), sub-adults (300–600 mm) and adults (&gt;600 mm) in the Lower Murray?</w:t>
            </w:r>
          </w:p>
        </w:tc>
        <w:tc>
          <w:tcPr>
            <w:tcW w:w="317" w:type="pct"/>
            <w:shd w:val="clear" w:color="auto" w:fill="FDCBCB"/>
            <w:vAlign w:val="center"/>
          </w:tcPr>
          <w:p w14:paraId="37E6F578" w14:textId="77777777" w:rsidR="000D6A33" w:rsidRPr="00B510A2" w:rsidRDefault="000D6A33" w:rsidP="009852FD">
            <w:pPr>
              <w:jc w:val="center"/>
              <w:rPr>
                <w:sz w:val="19"/>
                <w:szCs w:val="19"/>
              </w:rPr>
            </w:pPr>
            <w:r w:rsidRPr="00B510A2">
              <w:rPr>
                <w:sz w:val="19"/>
                <w:szCs w:val="19"/>
              </w:rPr>
              <w:t>X</w:t>
            </w:r>
          </w:p>
        </w:tc>
        <w:tc>
          <w:tcPr>
            <w:tcW w:w="318" w:type="pct"/>
            <w:shd w:val="clear" w:color="auto" w:fill="E2EFD9" w:themeFill="accent6" w:themeFillTint="33"/>
            <w:vAlign w:val="center"/>
          </w:tcPr>
          <w:p w14:paraId="3263C4AD" w14:textId="77777777" w:rsidR="000D6A33" w:rsidRPr="00B510A2" w:rsidRDefault="000D6A33" w:rsidP="009852FD">
            <w:pPr>
              <w:jc w:val="center"/>
              <w:rPr>
                <w:sz w:val="19"/>
                <w:szCs w:val="19"/>
              </w:rPr>
            </w:pPr>
            <w:r w:rsidRPr="00B510A2">
              <w:rPr>
                <w:sz w:val="19"/>
                <w:szCs w:val="19"/>
              </w:rPr>
              <w:t>√</w:t>
            </w:r>
          </w:p>
        </w:tc>
        <w:tc>
          <w:tcPr>
            <w:tcW w:w="318" w:type="pct"/>
            <w:shd w:val="clear" w:color="auto" w:fill="E2EFD9" w:themeFill="accent6" w:themeFillTint="33"/>
            <w:vAlign w:val="center"/>
          </w:tcPr>
          <w:p w14:paraId="387CF0A6" w14:textId="77777777" w:rsidR="000D6A33" w:rsidRPr="00B510A2" w:rsidRDefault="000D6A33" w:rsidP="009852FD">
            <w:pPr>
              <w:jc w:val="center"/>
              <w:rPr>
                <w:sz w:val="19"/>
                <w:szCs w:val="19"/>
              </w:rPr>
            </w:pPr>
            <w:r w:rsidRPr="00B510A2">
              <w:rPr>
                <w:sz w:val="19"/>
                <w:szCs w:val="19"/>
              </w:rPr>
              <w:t>√</w:t>
            </w:r>
          </w:p>
        </w:tc>
        <w:tc>
          <w:tcPr>
            <w:tcW w:w="318" w:type="pct"/>
            <w:shd w:val="clear" w:color="auto" w:fill="E2EFD9" w:themeFill="accent6" w:themeFillTint="33"/>
            <w:vAlign w:val="center"/>
          </w:tcPr>
          <w:p w14:paraId="2C28D4F1" w14:textId="77777777" w:rsidR="000D6A33" w:rsidRPr="00B510A2" w:rsidRDefault="000D6A33" w:rsidP="009852FD">
            <w:pPr>
              <w:jc w:val="center"/>
              <w:rPr>
                <w:sz w:val="19"/>
                <w:szCs w:val="19"/>
              </w:rPr>
            </w:pPr>
            <w:r w:rsidRPr="00B510A2">
              <w:rPr>
                <w:sz w:val="19"/>
                <w:szCs w:val="19"/>
              </w:rPr>
              <w:t>√</w:t>
            </w:r>
          </w:p>
        </w:tc>
        <w:tc>
          <w:tcPr>
            <w:tcW w:w="317" w:type="pct"/>
            <w:shd w:val="clear" w:color="auto" w:fill="E2EFD9" w:themeFill="accent6" w:themeFillTint="33"/>
            <w:vAlign w:val="center"/>
          </w:tcPr>
          <w:p w14:paraId="357DE3B7" w14:textId="77777777" w:rsidR="000D6A33" w:rsidRPr="00B510A2" w:rsidRDefault="000D6A33" w:rsidP="009852FD">
            <w:pPr>
              <w:jc w:val="center"/>
              <w:rPr>
                <w:sz w:val="19"/>
                <w:szCs w:val="19"/>
              </w:rPr>
            </w:pPr>
            <w:r w:rsidRPr="00B510A2">
              <w:rPr>
                <w:sz w:val="19"/>
                <w:szCs w:val="19"/>
              </w:rPr>
              <w:t>√</w:t>
            </w:r>
          </w:p>
        </w:tc>
        <w:tc>
          <w:tcPr>
            <w:tcW w:w="1032" w:type="pct"/>
            <w:shd w:val="clear" w:color="auto" w:fill="E2EFD9" w:themeFill="accent6" w:themeFillTint="33"/>
            <w:vAlign w:val="center"/>
          </w:tcPr>
          <w:p w14:paraId="189EC78C" w14:textId="77777777" w:rsidR="000D6A33" w:rsidRDefault="000D6A33" w:rsidP="009852FD">
            <w:pPr>
              <w:jc w:val="center"/>
              <w:rPr>
                <w:sz w:val="19"/>
                <w:szCs w:val="19"/>
              </w:rPr>
            </w:pPr>
            <w:r w:rsidRPr="00B510A2">
              <w:rPr>
                <w:sz w:val="19"/>
                <w:szCs w:val="19"/>
              </w:rPr>
              <w:t>√</w:t>
            </w:r>
          </w:p>
          <w:p w14:paraId="3995A5DE" w14:textId="1C7390ED" w:rsidR="00AF698F" w:rsidRPr="00AF698F" w:rsidRDefault="00AF698F" w:rsidP="009852FD">
            <w:pPr>
              <w:jc w:val="center"/>
              <w:rPr>
                <w:sz w:val="19"/>
                <w:szCs w:val="19"/>
              </w:rPr>
            </w:pPr>
            <w:r w:rsidRPr="00AF698F">
              <w:rPr>
                <w:sz w:val="19"/>
                <w:szCs w:val="19"/>
              </w:rPr>
              <w:t>(</w:t>
            </w:r>
            <w:r w:rsidRPr="00AF698F">
              <w:rPr>
                <w:sz w:val="19"/>
                <w:szCs w:val="19"/>
              </w:rPr>
              <w:fldChar w:fldCharType="begin"/>
            </w:r>
            <w:r w:rsidRPr="00AF698F">
              <w:rPr>
                <w:sz w:val="19"/>
                <w:szCs w:val="19"/>
              </w:rPr>
              <w:instrText xml:space="preserve"> REF _Ref57899437 \h </w:instrText>
            </w:r>
            <w:r>
              <w:rPr>
                <w:sz w:val="19"/>
                <w:szCs w:val="19"/>
              </w:rPr>
              <w:instrText xml:space="preserve"> \* MERGEFORMAT </w:instrText>
            </w:r>
            <w:r w:rsidRPr="00AF698F">
              <w:rPr>
                <w:sz w:val="19"/>
                <w:szCs w:val="19"/>
              </w:rPr>
            </w:r>
            <w:r w:rsidRPr="00AF698F">
              <w:rPr>
                <w:sz w:val="19"/>
                <w:szCs w:val="19"/>
              </w:rPr>
              <w:fldChar w:fldCharType="separate"/>
            </w:r>
            <w:r w:rsidR="006045CA" w:rsidRPr="006045CA">
              <w:rPr>
                <w:sz w:val="19"/>
                <w:szCs w:val="19"/>
              </w:rPr>
              <w:t xml:space="preserve">Figure </w:t>
            </w:r>
            <w:r w:rsidR="006045CA" w:rsidRPr="006045CA">
              <w:rPr>
                <w:noProof/>
                <w:sz w:val="19"/>
                <w:szCs w:val="19"/>
              </w:rPr>
              <w:t>55</w:t>
            </w:r>
            <w:r w:rsidRPr="00AF698F">
              <w:rPr>
                <w:sz w:val="19"/>
                <w:szCs w:val="19"/>
              </w:rPr>
              <w:fldChar w:fldCharType="end"/>
            </w:r>
            <w:r w:rsidRPr="00AF698F">
              <w:rPr>
                <w:sz w:val="19"/>
                <w:szCs w:val="19"/>
              </w:rPr>
              <w:t>)</w:t>
            </w:r>
          </w:p>
        </w:tc>
      </w:tr>
      <w:tr w:rsidR="00B0788C" w:rsidRPr="00B510A2" w14:paraId="577759C4" w14:textId="77777777" w:rsidTr="00B0788C">
        <w:trPr>
          <w:cantSplit/>
        </w:trPr>
        <w:tc>
          <w:tcPr>
            <w:tcW w:w="2380" w:type="pct"/>
            <w:vAlign w:val="center"/>
          </w:tcPr>
          <w:p w14:paraId="1F42447B" w14:textId="1B04FB32" w:rsidR="000D6A33" w:rsidRPr="00BB7D4F" w:rsidRDefault="000D6A33" w:rsidP="008351C5">
            <w:pPr>
              <w:jc w:val="left"/>
              <w:rPr>
                <w:color w:val="auto"/>
                <w:sz w:val="19"/>
                <w:szCs w:val="19"/>
              </w:rPr>
            </w:pPr>
            <w:r w:rsidRPr="00BB7D4F">
              <w:rPr>
                <w:sz w:val="19"/>
                <w:szCs w:val="19"/>
              </w:rPr>
              <w:t>Did the length-frequency distribution for Murray cod indicate a large recruitment event, demonstrated by a YOY cohort representing &gt;50% of the population from the Lower Murray?</w:t>
            </w:r>
          </w:p>
        </w:tc>
        <w:tc>
          <w:tcPr>
            <w:tcW w:w="317" w:type="pct"/>
            <w:shd w:val="clear" w:color="auto" w:fill="FDCBCB"/>
            <w:vAlign w:val="center"/>
          </w:tcPr>
          <w:p w14:paraId="1EB8A435" w14:textId="77777777" w:rsidR="000D6A33" w:rsidRPr="00B510A2" w:rsidRDefault="000D6A33" w:rsidP="009852FD">
            <w:pPr>
              <w:jc w:val="center"/>
              <w:rPr>
                <w:sz w:val="19"/>
                <w:szCs w:val="19"/>
              </w:rPr>
            </w:pPr>
            <w:r w:rsidRPr="00B510A2">
              <w:rPr>
                <w:sz w:val="19"/>
                <w:szCs w:val="19"/>
              </w:rPr>
              <w:t>X</w:t>
            </w:r>
          </w:p>
        </w:tc>
        <w:tc>
          <w:tcPr>
            <w:tcW w:w="318" w:type="pct"/>
            <w:tcBorders>
              <w:bottom w:val="single" w:sz="4" w:space="0" w:color="auto"/>
            </w:tcBorders>
            <w:shd w:val="clear" w:color="auto" w:fill="FDCBCB"/>
            <w:vAlign w:val="center"/>
          </w:tcPr>
          <w:p w14:paraId="2C8034E9" w14:textId="77777777" w:rsidR="000D6A33" w:rsidRPr="00B510A2" w:rsidDel="00770E07" w:rsidRDefault="000D6A33" w:rsidP="009852FD">
            <w:pPr>
              <w:jc w:val="center"/>
              <w:rPr>
                <w:sz w:val="19"/>
                <w:szCs w:val="19"/>
              </w:rPr>
            </w:pPr>
            <w:r w:rsidRPr="00B510A2">
              <w:rPr>
                <w:sz w:val="19"/>
                <w:szCs w:val="19"/>
              </w:rPr>
              <w:t>X</w:t>
            </w:r>
          </w:p>
        </w:tc>
        <w:tc>
          <w:tcPr>
            <w:tcW w:w="318" w:type="pct"/>
            <w:tcBorders>
              <w:bottom w:val="single" w:sz="4" w:space="0" w:color="auto"/>
            </w:tcBorders>
            <w:shd w:val="clear" w:color="auto" w:fill="FDCBCB"/>
            <w:vAlign w:val="center"/>
          </w:tcPr>
          <w:p w14:paraId="4D7A9633" w14:textId="77777777" w:rsidR="000D6A33" w:rsidRPr="00B510A2" w:rsidRDefault="000D6A33" w:rsidP="009852FD">
            <w:pPr>
              <w:jc w:val="center"/>
              <w:rPr>
                <w:sz w:val="19"/>
                <w:szCs w:val="19"/>
              </w:rPr>
            </w:pPr>
            <w:r w:rsidRPr="00B510A2">
              <w:rPr>
                <w:sz w:val="19"/>
                <w:szCs w:val="19"/>
              </w:rPr>
              <w:t>X</w:t>
            </w:r>
          </w:p>
        </w:tc>
        <w:tc>
          <w:tcPr>
            <w:tcW w:w="318" w:type="pct"/>
            <w:tcBorders>
              <w:bottom w:val="single" w:sz="4" w:space="0" w:color="auto"/>
            </w:tcBorders>
            <w:shd w:val="clear" w:color="auto" w:fill="FDCBCB"/>
            <w:vAlign w:val="center"/>
          </w:tcPr>
          <w:p w14:paraId="72E10E45" w14:textId="77777777" w:rsidR="000D6A33" w:rsidRPr="00B510A2" w:rsidRDefault="000D6A33" w:rsidP="009852FD">
            <w:pPr>
              <w:jc w:val="center"/>
              <w:rPr>
                <w:sz w:val="19"/>
                <w:szCs w:val="19"/>
              </w:rPr>
            </w:pPr>
            <w:r w:rsidRPr="00B510A2">
              <w:rPr>
                <w:sz w:val="19"/>
                <w:szCs w:val="19"/>
              </w:rPr>
              <w:t>X</w:t>
            </w:r>
          </w:p>
        </w:tc>
        <w:tc>
          <w:tcPr>
            <w:tcW w:w="317" w:type="pct"/>
            <w:tcBorders>
              <w:bottom w:val="single" w:sz="4" w:space="0" w:color="auto"/>
            </w:tcBorders>
            <w:shd w:val="clear" w:color="auto" w:fill="E2EFD9" w:themeFill="accent6" w:themeFillTint="33"/>
            <w:vAlign w:val="center"/>
          </w:tcPr>
          <w:p w14:paraId="3EED74E9" w14:textId="77777777" w:rsidR="000D6A33" w:rsidRPr="00B510A2" w:rsidRDefault="000D6A33" w:rsidP="009852FD">
            <w:pPr>
              <w:jc w:val="center"/>
              <w:rPr>
                <w:sz w:val="19"/>
                <w:szCs w:val="19"/>
              </w:rPr>
            </w:pPr>
            <w:r w:rsidRPr="00B510A2">
              <w:rPr>
                <w:sz w:val="19"/>
                <w:szCs w:val="19"/>
              </w:rPr>
              <w:t>√</w:t>
            </w:r>
          </w:p>
        </w:tc>
        <w:tc>
          <w:tcPr>
            <w:tcW w:w="1032" w:type="pct"/>
            <w:tcBorders>
              <w:bottom w:val="single" w:sz="4" w:space="0" w:color="auto"/>
            </w:tcBorders>
            <w:shd w:val="clear" w:color="auto" w:fill="E2EFD9" w:themeFill="accent6" w:themeFillTint="33"/>
            <w:vAlign w:val="center"/>
          </w:tcPr>
          <w:p w14:paraId="052C581F" w14:textId="77777777" w:rsidR="00D81449" w:rsidRDefault="000D6A33" w:rsidP="009852FD">
            <w:pPr>
              <w:jc w:val="center"/>
              <w:rPr>
                <w:sz w:val="19"/>
                <w:szCs w:val="19"/>
              </w:rPr>
            </w:pPr>
            <w:r w:rsidRPr="00B510A2">
              <w:rPr>
                <w:sz w:val="19"/>
                <w:szCs w:val="19"/>
              </w:rPr>
              <w:t>√</w:t>
            </w:r>
            <w:r w:rsidR="00D81449">
              <w:rPr>
                <w:sz w:val="19"/>
                <w:szCs w:val="19"/>
              </w:rPr>
              <w:t xml:space="preserve"> </w:t>
            </w:r>
          </w:p>
          <w:p w14:paraId="36AAF49F" w14:textId="315FABEC" w:rsidR="000D6A33" w:rsidRPr="00E00ED4" w:rsidRDefault="00D81449" w:rsidP="009852FD">
            <w:pPr>
              <w:jc w:val="center"/>
              <w:rPr>
                <w:sz w:val="19"/>
                <w:szCs w:val="19"/>
              </w:rPr>
            </w:pPr>
            <w:r>
              <w:rPr>
                <w:sz w:val="19"/>
                <w:szCs w:val="19"/>
              </w:rPr>
              <w:t>(</w:t>
            </w:r>
            <w:r w:rsidRPr="00D81449">
              <w:rPr>
                <w:sz w:val="19"/>
                <w:szCs w:val="19"/>
              </w:rPr>
              <w:t>67%</w:t>
            </w:r>
            <w:r>
              <w:rPr>
                <w:sz w:val="19"/>
                <w:szCs w:val="19"/>
              </w:rPr>
              <w:t>,</w:t>
            </w:r>
            <w:r w:rsidRPr="00D81449">
              <w:rPr>
                <w:sz w:val="19"/>
                <w:szCs w:val="19"/>
              </w:rPr>
              <w:t xml:space="preserve"> </w:t>
            </w:r>
            <w:r w:rsidRPr="00D81449">
              <w:rPr>
                <w:sz w:val="19"/>
                <w:szCs w:val="19"/>
              </w:rPr>
              <w:fldChar w:fldCharType="begin"/>
            </w:r>
            <w:r w:rsidRPr="00D81449">
              <w:rPr>
                <w:sz w:val="19"/>
                <w:szCs w:val="19"/>
              </w:rPr>
              <w:instrText xml:space="preserve"> REF _Ref57899437 \h </w:instrText>
            </w:r>
            <w:r>
              <w:rPr>
                <w:sz w:val="19"/>
                <w:szCs w:val="19"/>
              </w:rPr>
              <w:instrText xml:space="preserve"> \* MERGEFORMAT </w:instrText>
            </w:r>
            <w:r w:rsidRPr="00D81449">
              <w:rPr>
                <w:sz w:val="19"/>
                <w:szCs w:val="19"/>
              </w:rPr>
            </w:r>
            <w:r w:rsidRPr="00D81449">
              <w:rPr>
                <w:sz w:val="19"/>
                <w:szCs w:val="19"/>
              </w:rPr>
              <w:fldChar w:fldCharType="separate"/>
            </w:r>
            <w:r w:rsidR="006045CA" w:rsidRPr="006045CA">
              <w:rPr>
                <w:sz w:val="19"/>
                <w:szCs w:val="19"/>
              </w:rPr>
              <w:t xml:space="preserve">Figure </w:t>
            </w:r>
            <w:r w:rsidR="006045CA" w:rsidRPr="006045CA">
              <w:rPr>
                <w:noProof/>
                <w:sz w:val="19"/>
                <w:szCs w:val="19"/>
              </w:rPr>
              <w:t>55</w:t>
            </w:r>
            <w:r w:rsidRPr="00D81449">
              <w:rPr>
                <w:sz w:val="19"/>
                <w:szCs w:val="19"/>
              </w:rPr>
              <w:fldChar w:fldCharType="end"/>
            </w:r>
            <w:r w:rsidRPr="00D81449">
              <w:rPr>
                <w:sz w:val="19"/>
                <w:szCs w:val="19"/>
              </w:rPr>
              <w:t>)</w:t>
            </w:r>
          </w:p>
        </w:tc>
      </w:tr>
      <w:tr w:rsidR="00B0788C" w:rsidRPr="00B510A2" w14:paraId="346A96D3" w14:textId="77777777" w:rsidTr="00B0788C">
        <w:trPr>
          <w:cantSplit/>
        </w:trPr>
        <w:tc>
          <w:tcPr>
            <w:tcW w:w="2380" w:type="pct"/>
            <w:vAlign w:val="center"/>
          </w:tcPr>
          <w:p w14:paraId="18BBA486" w14:textId="4451F410" w:rsidR="000D6A33" w:rsidRPr="00BB7D4F" w:rsidRDefault="000D6A33" w:rsidP="008351C5">
            <w:pPr>
              <w:jc w:val="left"/>
              <w:rPr>
                <w:sz w:val="19"/>
                <w:szCs w:val="19"/>
              </w:rPr>
            </w:pPr>
            <w:r w:rsidRPr="00BB7D4F">
              <w:rPr>
                <w:color w:val="auto"/>
                <w:sz w:val="19"/>
                <w:szCs w:val="19"/>
              </w:rPr>
              <w:t xml:space="preserve">Did the abundance of Murray cod in the </w:t>
            </w:r>
            <w:r w:rsidR="00D81449" w:rsidRPr="00BB7D4F">
              <w:rPr>
                <w:color w:val="auto"/>
                <w:sz w:val="19"/>
                <w:szCs w:val="19"/>
              </w:rPr>
              <w:t xml:space="preserve">Gorge zone </w:t>
            </w:r>
            <w:r w:rsidRPr="00BB7D4F">
              <w:rPr>
                <w:color w:val="auto"/>
                <w:sz w:val="19"/>
                <w:szCs w:val="19"/>
              </w:rPr>
              <w:t>increase by ≥20% over a 5-year period?</w:t>
            </w:r>
          </w:p>
        </w:tc>
        <w:tc>
          <w:tcPr>
            <w:tcW w:w="317" w:type="pct"/>
            <w:shd w:val="clear" w:color="auto" w:fill="D9D9D9" w:themeFill="background1" w:themeFillShade="D9"/>
            <w:vAlign w:val="center"/>
          </w:tcPr>
          <w:p w14:paraId="4D4E96B8" w14:textId="1763D770" w:rsidR="000D6A33" w:rsidRPr="00EE532F" w:rsidRDefault="000D6A33" w:rsidP="009852FD">
            <w:pPr>
              <w:jc w:val="center"/>
              <w:rPr>
                <w:sz w:val="19"/>
                <w:szCs w:val="19"/>
              </w:rPr>
            </w:pPr>
            <w:r w:rsidRPr="00EE532F">
              <w:rPr>
                <w:sz w:val="19"/>
                <w:szCs w:val="19"/>
              </w:rPr>
              <w:t>NA</w:t>
            </w:r>
          </w:p>
        </w:tc>
        <w:tc>
          <w:tcPr>
            <w:tcW w:w="318" w:type="pct"/>
            <w:shd w:val="clear" w:color="auto" w:fill="D9D9D9" w:themeFill="background1" w:themeFillShade="D9"/>
            <w:vAlign w:val="center"/>
          </w:tcPr>
          <w:p w14:paraId="5AF8F53F" w14:textId="3A6D6CFE" w:rsidR="000D6A33" w:rsidRPr="00EE532F" w:rsidRDefault="000D6A33" w:rsidP="009852FD">
            <w:pPr>
              <w:jc w:val="center"/>
              <w:rPr>
                <w:sz w:val="19"/>
                <w:szCs w:val="19"/>
              </w:rPr>
            </w:pPr>
            <w:r w:rsidRPr="00EE532F">
              <w:rPr>
                <w:sz w:val="19"/>
                <w:szCs w:val="19"/>
              </w:rPr>
              <w:t>NA</w:t>
            </w:r>
          </w:p>
        </w:tc>
        <w:tc>
          <w:tcPr>
            <w:tcW w:w="318" w:type="pct"/>
            <w:shd w:val="clear" w:color="auto" w:fill="D9D9D9" w:themeFill="background1" w:themeFillShade="D9"/>
            <w:vAlign w:val="center"/>
          </w:tcPr>
          <w:p w14:paraId="1BE55B03" w14:textId="12FB152F" w:rsidR="000D6A33" w:rsidRPr="00EE532F" w:rsidRDefault="000D6A33" w:rsidP="009852FD">
            <w:pPr>
              <w:jc w:val="center"/>
              <w:rPr>
                <w:sz w:val="19"/>
                <w:szCs w:val="19"/>
              </w:rPr>
            </w:pPr>
            <w:r w:rsidRPr="00EE532F">
              <w:rPr>
                <w:sz w:val="19"/>
                <w:szCs w:val="19"/>
              </w:rPr>
              <w:t>NA</w:t>
            </w:r>
          </w:p>
        </w:tc>
        <w:tc>
          <w:tcPr>
            <w:tcW w:w="318" w:type="pct"/>
            <w:shd w:val="clear" w:color="auto" w:fill="D9D9D9" w:themeFill="background1" w:themeFillShade="D9"/>
            <w:vAlign w:val="center"/>
          </w:tcPr>
          <w:p w14:paraId="48E155DC" w14:textId="4568556F" w:rsidR="000D6A33" w:rsidRPr="00EE532F" w:rsidRDefault="000D6A33" w:rsidP="009852FD">
            <w:pPr>
              <w:jc w:val="center"/>
              <w:rPr>
                <w:sz w:val="19"/>
                <w:szCs w:val="19"/>
              </w:rPr>
            </w:pPr>
            <w:r w:rsidRPr="00EE532F">
              <w:rPr>
                <w:sz w:val="19"/>
                <w:szCs w:val="19"/>
              </w:rPr>
              <w:t>NA</w:t>
            </w:r>
          </w:p>
        </w:tc>
        <w:tc>
          <w:tcPr>
            <w:tcW w:w="317" w:type="pct"/>
            <w:shd w:val="clear" w:color="auto" w:fill="E2EFD9" w:themeFill="accent6" w:themeFillTint="33"/>
            <w:vAlign w:val="center"/>
          </w:tcPr>
          <w:p w14:paraId="07A7B59D" w14:textId="77777777" w:rsidR="000D6A33" w:rsidRPr="00EE532F" w:rsidRDefault="000D6A33" w:rsidP="009852FD">
            <w:pPr>
              <w:jc w:val="center"/>
              <w:rPr>
                <w:sz w:val="19"/>
                <w:szCs w:val="19"/>
              </w:rPr>
            </w:pPr>
            <w:r w:rsidRPr="00EE532F">
              <w:rPr>
                <w:sz w:val="19"/>
                <w:szCs w:val="19"/>
              </w:rPr>
              <w:t>√</w:t>
            </w:r>
          </w:p>
        </w:tc>
        <w:tc>
          <w:tcPr>
            <w:tcW w:w="1032" w:type="pct"/>
            <w:shd w:val="clear" w:color="auto" w:fill="E2EFD9" w:themeFill="accent6" w:themeFillTint="33"/>
            <w:vAlign w:val="center"/>
          </w:tcPr>
          <w:p w14:paraId="16A72D6B" w14:textId="77777777" w:rsidR="00D81449" w:rsidRDefault="00D81449" w:rsidP="009852FD">
            <w:pPr>
              <w:jc w:val="center"/>
              <w:rPr>
                <w:sz w:val="19"/>
                <w:szCs w:val="19"/>
              </w:rPr>
            </w:pPr>
            <w:r w:rsidRPr="00B510A2">
              <w:rPr>
                <w:sz w:val="19"/>
                <w:szCs w:val="19"/>
              </w:rPr>
              <w:t>√</w:t>
            </w:r>
            <w:r>
              <w:rPr>
                <w:sz w:val="19"/>
                <w:szCs w:val="19"/>
              </w:rPr>
              <w:t xml:space="preserve"> </w:t>
            </w:r>
            <w:r w:rsidR="000D6A33" w:rsidRPr="007E7388">
              <w:rPr>
                <w:sz w:val="19"/>
                <w:szCs w:val="19"/>
              </w:rPr>
              <w:t xml:space="preserve"> </w:t>
            </w:r>
          </w:p>
          <w:p w14:paraId="47EEEF99" w14:textId="75919B9C" w:rsidR="000D6A33" w:rsidRPr="00D81449" w:rsidRDefault="000D6A33" w:rsidP="009852FD">
            <w:pPr>
              <w:jc w:val="center"/>
              <w:rPr>
                <w:sz w:val="19"/>
                <w:szCs w:val="19"/>
              </w:rPr>
            </w:pPr>
            <w:r w:rsidRPr="00D81449">
              <w:rPr>
                <w:sz w:val="19"/>
                <w:szCs w:val="19"/>
              </w:rPr>
              <w:t>(</w:t>
            </w:r>
            <w:r w:rsidR="00D81449" w:rsidRPr="00D81449">
              <w:rPr>
                <w:sz w:val="19"/>
                <w:szCs w:val="19"/>
              </w:rPr>
              <w:t xml:space="preserve">269%, </w:t>
            </w:r>
            <w:r w:rsidRPr="00D81449">
              <w:rPr>
                <w:sz w:val="19"/>
                <w:szCs w:val="19"/>
              </w:rPr>
              <w:fldChar w:fldCharType="begin"/>
            </w:r>
            <w:r w:rsidRPr="00D81449">
              <w:rPr>
                <w:sz w:val="19"/>
                <w:szCs w:val="19"/>
              </w:rPr>
              <w:instrText xml:space="preserve"> REF _Ref876802 \h  \* MERGEFORMAT </w:instrText>
            </w:r>
            <w:r w:rsidRPr="00D81449">
              <w:rPr>
                <w:sz w:val="19"/>
                <w:szCs w:val="19"/>
              </w:rPr>
            </w:r>
            <w:r w:rsidRPr="00D81449">
              <w:rPr>
                <w:sz w:val="19"/>
                <w:szCs w:val="19"/>
              </w:rPr>
              <w:fldChar w:fldCharType="separate"/>
            </w:r>
            <w:r w:rsidR="006045CA" w:rsidRPr="006045CA">
              <w:rPr>
                <w:sz w:val="19"/>
                <w:szCs w:val="19"/>
              </w:rPr>
              <w:t xml:space="preserve">Figure </w:t>
            </w:r>
            <w:r w:rsidR="006045CA" w:rsidRPr="006045CA">
              <w:rPr>
                <w:noProof/>
                <w:sz w:val="19"/>
                <w:szCs w:val="19"/>
              </w:rPr>
              <w:t>58</w:t>
            </w:r>
            <w:r w:rsidRPr="00D81449">
              <w:rPr>
                <w:sz w:val="19"/>
                <w:szCs w:val="19"/>
              </w:rPr>
              <w:fldChar w:fldCharType="end"/>
            </w:r>
            <w:r w:rsidRPr="00D81449">
              <w:rPr>
                <w:sz w:val="19"/>
                <w:szCs w:val="19"/>
              </w:rPr>
              <w:t>)</w:t>
            </w:r>
          </w:p>
        </w:tc>
      </w:tr>
      <w:tr w:rsidR="00B0788C" w:rsidRPr="00B510A2" w14:paraId="60B9AD08" w14:textId="77777777" w:rsidTr="00B0788C">
        <w:trPr>
          <w:cantSplit/>
        </w:trPr>
        <w:tc>
          <w:tcPr>
            <w:tcW w:w="2380" w:type="pct"/>
          </w:tcPr>
          <w:p w14:paraId="56E9ACEB" w14:textId="187ABFBB" w:rsidR="000D6A33" w:rsidRPr="00BB7D4F" w:rsidRDefault="000D6A33" w:rsidP="008351C5">
            <w:pPr>
              <w:jc w:val="left"/>
              <w:rPr>
                <w:iCs/>
                <w:color w:val="FF0000"/>
                <w:sz w:val="19"/>
                <w:szCs w:val="19"/>
              </w:rPr>
            </w:pPr>
            <w:r w:rsidRPr="00BB7D4F">
              <w:rPr>
                <w:iCs/>
                <w:sz w:val="19"/>
                <w:szCs w:val="19"/>
              </w:rPr>
              <w:t xml:space="preserve">Did the population age structure of golden perch include adults (age </w:t>
            </w:r>
            <w:r w:rsidRPr="00BB7D4F">
              <w:rPr>
                <w:sz w:val="19"/>
                <w:szCs w:val="19"/>
              </w:rPr>
              <w:t>≥</w:t>
            </w:r>
            <w:r w:rsidRPr="00BB7D4F">
              <w:rPr>
                <w:iCs/>
                <w:sz w:val="19"/>
                <w:szCs w:val="19"/>
              </w:rPr>
              <w:t>4+) and sub-adults (age 1+–3+)?</w:t>
            </w:r>
          </w:p>
        </w:tc>
        <w:tc>
          <w:tcPr>
            <w:tcW w:w="317" w:type="pct"/>
            <w:shd w:val="clear" w:color="auto" w:fill="E2EFD9" w:themeFill="accent6" w:themeFillTint="33"/>
            <w:vAlign w:val="center"/>
          </w:tcPr>
          <w:p w14:paraId="02069754" w14:textId="77777777" w:rsidR="000D6A33" w:rsidRPr="0043233D" w:rsidRDefault="000D6A33" w:rsidP="009852FD">
            <w:pPr>
              <w:jc w:val="center"/>
              <w:rPr>
                <w:sz w:val="19"/>
                <w:szCs w:val="19"/>
              </w:rPr>
            </w:pPr>
            <w:r w:rsidRPr="00B510A2">
              <w:rPr>
                <w:sz w:val="19"/>
                <w:szCs w:val="19"/>
              </w:rPr>
              <w:t>√</w:t>
            </w:r>
          </w:p>
        </w:tc>
        <w:tc>
          <w:tcPr>
            <w:tcW w:w="318" w:type="pct"/>
            <w:shd w:val="clear" w:color="auto" w:fill="E2EFD9" w:themeFill="accent6" w:themeFillTint="33"/>
            <w:vAlign w:val="center"/>
          </w:tcPr>
          <w:p w14:paraId="51E82EF5" w14:textId="77777777" w:rsidR="000D6A33" w:rsidRPr="0043233D" w:rsidRDefault="000D6A33" w:rsidP="009852FD">
            <w:pPr>
              <w:jc w:val="center"/>
              <w:rPr>
                <w:sz w:val="19"/>
                <w:szCs w:val="19"/>
              </w:rPr>
            </w:pPr>
            <w:r w:rsidRPr="00B510A2">
              <w:rPr>
                <w:sz w:val="19"/>
                <w:szCs w:val="19"/>
              </w:rPr>
              <w:t>√</w:t>
            </w:r>
          </w:p>
        </w:tc>
        <w:tc>
          <w:tcPr>
            <w:tcW w:w="318" w:type="pct"/>
            <w:shd w:val="clear" w:color="auto" w:fill="E2EFD9" w:themeFill="accent6" w:themeFillTint="33"/>
            <w:vAlign w:val="center"/>
          </w:tcPr>
          <w:p w14:paraId="535E44BF" w14:textId="77777777" w:rsidR="000D6A33" w:rsidRPr="0043233D" w:rsidRDefault="000D6A33" w:rsidP="009852FD">
            <w:pPr>
              <w:jc w:val="center"/>
              <w:rPr>
                <w:sz w:val="19"/>
                <w:szCs w:val="19"/>
              </w:rPr>
            </w:pPr>
            <w:r w:rsidRPr="00B510A2">
              <w:rPr>
                <w:sz w:val="19"/>
                <w:szCs w:val="19"/>
              </w:rPr>
              <w:t>√</w:t>
            </w:r>
          </w:p>
        </w:tc>
        <w:tc>
          <w:tcPr>
            <w:tcW w:w="318" w:type="pct"/>
            <w:shd w:val="clear" w:color="auto" w:fill="E2EFD9" w:themeFill="accent6" w:themeFillTint="33"/>
            <w:vAlign w:val="center"/>
          </w:tcPr>
          <w:p w14:paraId="628038C3" w14:textId="77777777" w:rsidR="000D6A33" w:rsidRPr="0043233D" w:rsidRDefault="000D6A33" w:rsidP="009852FD">
            <w:pPr>
              <w:jc w:val="center"/>
              <w:rPr>
                <w:sz w:val="19"/>
                <w:szCs w:val="19"/>
              </w:rPr>
            </w:pPr>
            <w:r w:rsidRPr="00B510A2">
              <w:rPr>
                <w:sz w:val="19"/>
                <w:szCs w:val="19"/>
              </w:rPr>
              <w:t>√</w:t>
            </w:r>
          </w:p>
        </w:tc>
        <w:tc>
          <w:tcPr>
            <w:tcW w:w="317" w:type="pct"/>
            <w:shd w:val="clear" w:color="auto" w:fill="E2EFD9" w:themeFill="accent6" w:themeFillTint="33"/>
            <w:vAlign w:val="center"/>
          </w:tcPr>
          <w:p w14:paraId="6C0E87D3" w14:textId="77777777" w:rsidR="000D6A33" w:rsidRPr="0043233D" w:rsidRDefault="000D6A33" w:rsidP="009852FD">
            <w:pPr>
              <w:jc w:val="center"/>
              <w:rPr>
                <w:sz w:val="19"/>
                <w:szCs w:val="19"/>
              </w:rPr>
            </w:pPr>
            <w:r w:rsidRPr="00B510A2">
              <w:rPr>
                <w:sz w:val="19"/>
                <w:szCs w:val="19"/>
              </w:rPr>
              <w:t>√</w:t>
            </w:r>
          </w:p>
        </w:tc>
        <w:tc>
          <w:tcPr>
            <w:tcW w:w="1032" w:type="pct"/>
            <w:shd w:val="clear" w:color="auto" w:fill="E2EFD9" w:themeFill="accent6" w:themeFillTint="33"/>
            <w:vAlign w:val="center"/>
          </w:tcPr>
          <w:p w14:paraId="4275C7F6" w14:textId="77777777" w:rsidR="000D6A33" w:rsidRPr="00AF698F" w:rsidRDefault="000D6A33" w:rsidP="009852FD">
            <w:pPr>
              <w:jc w:val="center"/>
              <w:rPr>
                <w:sz w:val="19"/>
                <w:szCs w:val="19"/>
              </w:rPr>
            </w:pPr>
            <w:r w:rsidRPr="00AF698F">
              <w:rPr>
                <w:sz w:val="19"/>
                <w:szCs w:val="19"/>
              </w:rPr>
              <w:t>√</w:t>
            </w:r>
          </w:p>
          <w:p w14:paraId="047D9494" w14:textId="044BFDFD" w:rsidR="00AF698F" w:rsidRPr="0043233D" w:rsidRDefault="00AF698F" w:rsidP="009852FD">
            <w:pPr>
              <w:jc w:val="center"/>
              <w:rPr>
                <w:sz w:val="19"/>
                <w:szCs w:val="19"/>
              </w:rPr>
            </w:pPr>
            <w:r w:rsidRPr="00AF698F">
              <w:rPr>
                <w:sz w:val="19"/>
                <w:szCs w:val="19"/>
              </w:rPr>
              <w:t>(</w:t>
            </w:r>
            <w:r w:rsidRPr="00AF698F">
              <w:rPr>
                <w:sz w:val="19"/>
                <w:szCs w:val="19"/>
              </w:rPr>
              <w:fldChar w:fldCharType="begin"/>
            </w:r>
            <w:r w:rsidRPr="00AF698F">
              <w:rPr>
                <w:sz w:val="19"/>
                <w:szCs w:val="19"/>
              </w:rPr>
              <w:instrText xml:space="preserve"> REF _Ref531251781 \h </w:instrText>
            </w:r>
            <w:r>
              <w:rPr>
                <w:sz w:val="19"/>
                <w:szCs w:val="19"/>
              </w:rPr>
              <w:instrText xml:space="preserve"> \* MERGEFORMAT </w:instrText>
            </w:r>
            <w:r w:rsidRPr="00AF698F">
              <w:rPr>
                <w:sz w:val="19"/>
                <w:szCs w:val="19"/>
              </w:rPr>
            </w:r>
            <w:r w:rsidRPr="00AF698F">
              <w:rPr>
                <w:sz w:val="19"/>
                <w:szCs w:val="19"/>
              </w:rPr>
              <w:fldChar w:fldCharType="separate"/>
            </w:r>
            <w:r w:rsidR="006045CA" w:rsidRPr="006045CA">
              <w:rPr>
                <w:sz w:val="19"/>
                <w:szCs w:val="19"/>
              </w:rPr>
              <w:t xml:space="preserve">Figure </w:t>
            </w:r>
            <w:r w:rsidR="006045CA" w:rsidRPr="006045CA">
              <w:rPr>
                <w:noProof/>
                <w:sz w:val="19"/>
                <w:szCs w:val="19"/>
              </w:rPr>
              <w:t>48</w:t>
            </w:r>
            <w:r w:rsidRPr="00AF698F">
              <w:rPr>
                <w:sz w:val="19"/>
                <w:szCs w:val="19"/>
              </w:rPr>
              <w:fldChar w:fldCharType="end"/>
            </w:r>
            <w:r w:rsidRPr="00AF698F">
              <w:rPr>
                <w:sz w:val="19"/>
                <w:szCs w:val="19"/>
              </w:rPr>
              <w:t>)</w:t>
            </w:r>
          </w:p>
        </w:tc>
      </w:tr>
      <w:tr w:rsidR="00B0788C" w:rsidRPr="00B510A2" w14:paraId="6EDE9462" w14:textId="77777777" w:rsidTr="00B0788C">
        <w:trPr>
          <w:cantSplit/>
        </w:trPr>
        <w:tc>
          <w:tcPr>
            <w:tcW w:w="2380" w:type="pct"/>
          </w:tcPr>
          <w:p w14:paraId="1C4E13E8" w14:textId="66F1618B" w:rsidR="000D6A33" w:rsidRPr="00BB7D4F" w:rsidRDefault="000D6A33" w:rsidP="001D0410">
            <w:pPr>
              <w:pStyle w:val="TableHeading"/>
              <w:jc w:val="left"/>
              <w:rPr>
                <w:color w:val="FF0000"/>
                <w:sz w:val="19"/>
                <w:szCs w:val="19"/>
              </w:rPr>
            </w:pPr>
            <w:r w:rsidRPr="00BB7D4F">
              <w:rPr>
                <w:b w:val="0"/>
                <w:sz w:val="19"/>
                <w:szCs w:val="19"/>
              </w:rPr>
              <w:t xml:space="preserve">Was there a </w:t>
            </w:r>
            <w:r w:rsidRPr="00BB7D4F">
              <w:rPr>
                <w:b w:val="0"/>
                <w:bCs/>
                <w:iCs/>
                <w:sz w:val="19"/>
                <w:szCs w:val="19"/>
              </w:rPr>
              <w:t>large recruitment event of golden perch, demonstrated by a YOY cohort representing &gt;30% of the population</w:t>
            </w:r>
            <w:r w:rsidRPr="00BB7D4F">
              <w:rPr>
                <w:b w:val="0"/>
                <w:bCs/>
                <w:sz w:val="19"/>
                <w:szCs w:val="19"/>
              </w:rPr>
              <w:t xml:space="preserve"> from the Lower Murray</w:t>
            </w:r>
            <w:r w:rsidRPr="00BB7D4F">
              <w:rPr>
                <w:b w:val="0"/>
                <w:bCs/>
                <w:iCs/>
                <w:sz w:val="19"/>
                <w:szCs w:val="19"/>
              </w:rPr>
              <w:t>.</w:t>
            </w:r>
          </w:p>
        </w:tc>
        <w:tc>
          <w:tcPr>
            <w:tcW w:w="317" w:type="pct"/>
            <w:shd w:val="clear" w:color="auto" w:fill="FDCBCB"/>
            <w:vAlign w:val="center"/>
          </w:tcPr>
          <w:p w14:paraId="766B39FB" w14:textId="77777777" w:rsidR="000D6A33" w:rsidRPr="0043233D" w:rsidRDefault="000D6A33" w:rsidP="009852FD">
            <w:pPr>
              <w:jc w:val="center"/>
              <w:rPr>
                <w:sz w:val="19"/>
                <w:szCs w:val="19"/>
              </w:rPr>
            </w:pPr>
            <w:r w:rsidRPr="00B510A2">
              <w:rPr>
                <w:sz w:val="19"/>
                <w:szCs w:val="19"/>
              </w:rPr>
              <w:t>X</w:t>
            </w:r>
          </w:p>
        </w:tc>
        <w:tc>
          <w:tcPr>
            <w:tcW w:w="318" w:type="pct"/>
            <w:shd w:val="clear" w:color="auto" w:fill="FDCBCB"/>
            <w:vAlign w:val="center"/>
          </w:tcPr>
          <w:p w14:paraId="0A9C5A68" w14:textId="77777777" w:rsidR="000D6A33" w:rsidRPr="0043233D" w:rsidRDefault="000D6A33" w:rsidP="009852FD">
            <w:pPr>
              <w:jc w:val="center"/>
              <w:rPr>
                <w:sz w:val="19"/>
                <w:szCs w:val="19"/>
              </w:rPr>
            </w:pPr>
            <w:r w:rsidRPr="00B510A2">
              <w:rPr>
                <w:sz w:val="19"/>
                <w:szCs w:val="19"/>
              </w:rPr>
              <w:t>X</w:t>
            </w:r>
          </w:p>
        </w:tc>
        <w:tc>
          <w:tcPr>
            <w:tcW w:w="318" w:type="pct"/>
            <w:shd w:val="clear" w:color="auto" w:fill="FDCBCB"/>
            <w:vAlign w:val="center"/>
          </w:tcPr>
          <w:p w14:paraId="2B4503F3" w14:textId="77777777" w:rsidR="000D6A33" w:rsidRPr="0043233D" w:rsidRDefault="000D6A33" w:rsidP="009852FD">
            <w:pPr>
              <w:jc w:val="center"/>
              <w:rPr>
                <w:sz w:val="19"/>
                <w:szCs w:val="19"/>
              </w:rPr>
            </w:pPr>
            <w:r w:rsidRPr="00B510A2">
              <w:rPr>
                <w:sz w:val="19"/>
                <w:szCs w:val="19"/>
              </w:rPr>
              <w:t>X</w:t>
            </w:r>
          </w:p>
        </w:tc>
        <w:tc>
          <w:tcPr>
            <w:tcW w:w="318" w:type="pct"/>
            <w:shd w:val="clear" w:color="auto" w:fill="FDCBCB"/>
            <w:vAlign w:val="center"/>
          </w:tcPr>
          <w:p w14:paraId="11B555A6" w14:textId="77777777" w:rsidR="000D6A33" w:rsidRPr="0043233D" w:rsidRDefault="000D6A33" w:rsidP="009852FD">
            <w:pPr>
              <w:jc w:val="center"/>
              <w:rPr>
                <w:sz w:val="19"/>
                <w:szCs w:val="19"/>
              </w:rPr>
            </w:pPr>
            <w:r w:rsidRPr="00B510A2">
              <w:rPr>
                <w:sz w:val="19"/>
                <w:szCs w:val="19"/>
              </w:rPr>
              <w:t>X</w:t>
            </w:r>
          </w:p>
        </w:tc>
        <w:tc>
          <w:tcPr>
            <w:tcW w:w="317" w:type="pct"/>
            <w:shd w:val="clear" w:color="auto" w:fill="FDCBCB"/>
            <w:vAlign w:val="center"/>
          </w:tcPr>
          <w:p w14:paraId="74A38902" w14:textId="77777777" w:rsidR="000D6A33" w:rsidRPr="0043233D" w:rsidRDefault="000D6A33" w:rsidP="009852FD">
            <w:pPr>
              <w:jc w:val="center"/>
              <w:rPr>
                <w:sz w:val="19"/>
                <w:szCs w:val="19"/>
              </w:rPr>
            </w:pPr>
            <w:r w:rsidRPr="00B510A2">
              <w:rPr>
                <w:sz w:val="19"/>
                <w:szCs w:val="19"/>
              </w:rPr>
              <w:t>X</w:t>
            </w:r>
          </w:p>
        </w:tc>
        <w:tc>
          <w:tcPr>
            <w:tcW w:w="1032" w:type="pct"/>
            <w:shd w:val="clear" w:color="auto" w:fill="FDCBCB"/>
            <w:vAlign w:val="center"/>
          </w:tcPr>
          <w:p w14:paraId="0CD5DB52" w14:textId="77777777" w:rsidR="000D6A33" w:rsidRPr="00AF698F" w:rsidRDefault="000D6A33" w:rsidP="009852FD">
            <w:pPr>
              <w:jc w:val="center"/>
              <w:rPr>
                <w:sz w:val="19"/>
                <w:szCs w:val="19"/>
              </w:rPr>
            </w:pPr>
            <w:r w:rsidRPr="00AF698F">
              <w:rPr>
                <w:sz w:val="19"/>
                <w:szCs w:val="19"/>
              </w:rPr>
              <w:t>X</w:t>
            </w:r>
          </w:p>
          <w:p w14:paraId="40CC0B69" w14:textId="3C50A468" w:rsidR="00AF698F" w:rsidRPr="007E7388" w:rsidRDefault="00AF698F" w:rsidP="009852FD">
            <w:pPr>
              <w:jc w:val="center"/>
              <w:rPr>
                <w:sz w:val="19"/>
                <w:szCs w:val="19"/>
                <w:highlight w:val="yellow"/>
              </w:rPr>
            </w:pPr>
            <w:r w:rsidRPr="00AF698F">
              <w:rPr>
                <w:sz w:val="19"/>
                <w:szCs w:val="19"/>
              </w:rPr>
              <w:t>(</w:t>
            </w:r>
            <w:r w:rsidRPr="00AF698F">
              <w:rPr>
                <w:sz w:val="19"/>
                <w:szCs w:val="19"/>
              </w:rPr>
              <w:fldChar w:fldCharType="begin"/>
            </w:r>
            <w:r w:rsidRPr="00AF698F">
              <w:rPr>
                <w:sz w:val="19"/>
                <w:szCs w:val="19"/>
              </w:rPr>
              <w:instrText xml:space="preserve"> REF _Ref531251781 \h  \* MERGEFORMAT </w:instrText>
            </w:r>
            <w:r w:rsidRPr="00AF698F">
              <w:rPr>
                <w:sz w:val="19"/>
                <w:szCs w:val="19"/>
              </w:rPr>
            </w:r>
            <w:r w:rsidRPr="00AF698F">
              <w:rPr>
                <w:sz w:val="19"/>
                <w:szCs w:val="19"/>
              </w:rPr>
              <w:fldChar w:fldCharType="separate"/>
            </w:r>
            <w:r w:rsidR="006045CA" w:rsidRPr="006045CA">
              <w:rPr>
                <w:sz w:val="19"/>
                <w:szCs w:val="19"/>
              </w:rPr>
              <w:t xml:space="preserve">Figure </w:t>
            </w:r>
            <w:r w:rsidR="006045CA" w:rsidRPr="006045CA">
              <w:rPr>
                <w:noProof/>
                <w:sz w:val="19"/>
                <w:szCs w:val="19"/>
              </w:rPr>
              <w:t>48</w:t>
            </w:r>
            <w:r w:rsidRPr="00AF698F">
              <w:rPr>
                <w:sz w:val="19"/>
                <w:szCs w:val="19"/>
              </w:rPr>
              <w:fldChar w:fldCharType="end"/>
            </w:r>
            <w:r w:rsidRPr="00AF698F">
              <w:rPr>
                <w:sz w:val="19"/>
                <w:szCs w:val="19"/>
              </w:rPr>
              <w:t>)</w:t>
            </w:r>
          </w:p>
        </w:tc>
      </w:tr>
      <w:tr w:rsidR="00B0788C" w:rsidRPr="00036649" w14:paraId="66FE3B58" w14:textId="77777777" w:rsidTr="00B0788C">
        <w:trPr>
          <w:cantSplit/>
        </w:trPr>
        <w:tc>
          <w:tcPr>
            <w:tcW w:w="2380" w:type="pct"/>
            <w:vAlign w:val="center"/>
          </w:tcPr>
          <w:p w14:paraId="2B6C69EC" w14:textId="77777777" w:rsidR="000D6A33" w:rsidRPr="00BB7D4F" w:rsidRDefault="000D6A33" w:rsidP="008351C5">
            <w:pPr>
              <w:jc w:val="left"/>
              <w:rPr>
                <w:sz w:val="19"/>
                <w:szCs w:val="19"/>
              </w:rPr>
            </w:pPr>
            <w:r w:rsidRPr="00BB7D4F">
              <w:rPr>
                <w:sz w:val="19"/>
                <w:szCs w:val="19"/>
              </w:rPr>
              <w:t>Did the abundance of golden perch in the Gorge zone increase by &gt;30% over a 5-year period?</w:t>
            </w:r>
          </w:p>
        </w:tc>
        <w:tc>
          <w:tcPr>
            <w:tcW w:w="317" w:type="pct"/>
            <w:shd w:val="clear" w:color="auto" w:fill="D9D9D9" w:themeFill="background1" w:themeFillShade="D9"/>
            <w:vAlign w:val="center"/>
          </w:tcPr>
          <w:p w14:paraId="3FCDE780" w14:textId="649869B1" w:rsidR="000D6A33" w:rsidRPr="00D6186E" w:rsidRDefault="000D6A33" w:rsidP="009852FD">
            <w:pPr>
              <w:jc w:val="center"/>
              <w:rPr>
                <w:sz w:val="19"/>
                <w:szCs w:val="19"/>
              </w:rPr>
            </w:pPr>
            <w:r w:rsidRPr="007E7388">
              <w:rPr>
                <w:sz w:val="19"/>
                <w:szCs w:val="19"/>
              </w:rPr>
              <w:t>NA</w:t>
            </w:r>
          </w:p>
        </w:tc>
        <w:tc>
          <w:tcPr>
            <w:tcW w:w="318" w:type="pct"/>
            <w:shd w:val="clear" w:color="auto" w:fill="D9D9D9" w:themeFill="background1" w:themeFillShade="D9"/>
            <w:vAlign w:val="center"/>
          </w:tcPr>
          <w:p w14:paraId="5936E1E1" w14:textId="461B86DD" w:rsidR="000D6A33" w:rsidRPr="00D6186E" w:rsidRDefault="000D6A33" w:rsidP="009852FD">
            <w:pPr>
              <w:jc w:val="center"/>
              <w:rPr>
                <w:sz w:val="19"/>
                <w:szCs w:val="19"/>
              </w:rPr>
            </w:pPr>
            <w:r w:rsidRPr="007E7388">
              <w:rPr>
                <w:sz w:val="19"/>
                <w:szCs w:val="19"/>
              </w:rPr>
              <w:t>NA</w:t>
            </w:r>
          </w:p>
        </w:tc>
        <w:tc>
          <w:tcPr>
            <w:tcW w:w="318" w:type="pct"/>
            <w:shd w:val="clear" w:color="auto" w:fill="D9D9D9" w:themeFill="background1" w:themeFillShade="D9"/>
            <w:vAlign w:val="center"/>
          </w:tcPr>
          <w:p w14:paraId="29846069" w14:textId="2911A4C7" w:rsidR="000D6A33" w:rsidRPr="00D6186E" w:rsidRDefault="000D6A33" w:rsidP="009852FD">
            <w:pPr>
              <w:jc w:val="center"/>
              <w:rPr>
                <w:sz w:val="19"/>
                <w:szCs w:val="19"/>
              </w:rPr>
            </w:pPr>
            <w:r w:rsidRPr="007E7388">
              <w:rPr>
                <w:sz w:val="19"/>
                <w:szCs w:val="19"/>
              </w:rPr>
              <w:t>NA</w:t>
            </w:r>
          </w:p>
        </w:tc>
        <w:tc>
          <w:tcPr>
            <w:tcW w:w="318" w:type="pct"/>
            <w:shd w:val="clear" w:color="auto" w:fill="D9D9D9" w:themeFill="background1" w:themeFillShade="D9"/>
            <w:vAlign w:val="center"/>
          </w:tcPr>
          <w:p w14:paraId="567376A8" w14:textId="24EB2DA0" w:rsidR="000D6A33" w:rsidRPr="00D6186E" w:rsidRDefault="000D6A33" w:rsidP="009852FD">
            <w:pPr>
              <w:jc w:val="center"/>
              <w:rPr>
                <w:sz w:val="19"/>
                <w:szCs w:val="19"/>
              </w:rPr>
            </w:pPr>
            <w:r w:rsidRPr="007E7388">
              <w:rPr>
                <w:sz w:val="19"/>
                <w:szCs w:val="19"/>
              </w:rPr>
              <w:t>NA</w:t>
            </w:r>
          </w:p>
        </w:tc>
        <w:tc>
          <w:tcPr>
            <w:tcW w:w="317" w:type="pct"/>
            <w:shd w:val="clear" w:color="auto" w:fill="FDCBCB"/>
            <w:vAlign w:val="center"/>
          </w:tcPr>
          <w:p w14:paraId="269BF50F" w14:textId="77777777" w:rsidR="000D6A33" w:rsidRPr="00B510A2" w:rsidRDefault="000D6A33" w:rsidP="009852FD">
            <w:pPr>
              <w:jc w:val="center"/>
              <w:rPr>
                <w:sz w:val="19"/>
                <w:szCs w:val="19"/>
              </w:rPr>
            </w:pPr>
            <w:r>
              <w:rPr>
                <w:sz w:val="19"/>
                <w:szCs w:val="19"/>
              </w:rPr>
              <w:t>X</w:t>
            </w:r>
          </w:p>
        </w:tc>
        <w:tc>
          <w:tcPr>
            <w:tcW w:w="1032" w:type="pct"/>
            <w:shd w:val="clear" w:color="auto" w:fill="FDCBCB"/>
            <w:vAlign w:val="center"/>
          </w:tcPr>
          <w:p w14:paraId="7977C6C0" w14:textId="77777777" w:rsidR="00D81449" w:rsidRDefault="00D81449" w:rsidP="009852FD">
            <w:pPr>
              <w:jc w:val="center"/>
              <w:rPr>
                <w:sz w:val="19"/>
                <w:szCs w:val="19"/>
              </w:rPr>
            </w:pPr>
            <w:r>
              <w:rPr>
                <w:sz w:val="19"/>
                <w:szCs w:val="19"/>
              </w:rPr>
              <w:t>X</w:t>
            </w:r>
            <w:r w:rsidRPr="007E7388">
              <w:rPr>
                <w:sz w:val="19"/>
                <w:szCs w:val="19"/>
              </w:rPr>
              <w:t xml:space="preserve"> </w:t>
            </w:r>
          </w:p>
          <w:p w14:paraId="4814F4C0" w14:textId="00A69F73" w:rsidR="000D6A33" w:rsidRPr="007E7388" w:rsidRDefault="000D6A33" w:rsidP="009852FD">
            <w:pPr>
              <w:jc w:val="center"/>
              <w:rPr>
                <w:sz w:val="19"/>
                <w:szCs w:val="19"/>
              </w:rPr>
            </w:pPr>
            <w:r w:rsidRPr="00F5590D">
              <w:rPr>
                <w:sz w:val="19"/>
                <w:szCs w:val="19"/>
              </w:rPr>
              <w:t>(</w:t>
            </w:r>
            <w:r w:rsidR="00D81449">
              <w:rPr>
                <w:sz w:val="19"/>
                <w:szCs w:val="19"/>
              </w:rPr>
              <w:t xml:space="preserve">-50%, </w:t>
            </w:r>
            <w:r w:rsidRPr="00003505">
              <w:rPr>
                <w:sz w:val="19"/>
                <w:szCs w:val="19"/>
              </w:rPr>
              <w:fldChar w:fldCharType="begin"/>
            </w:r>
            <w:r w:rsidRPr="00F5590D">
              <w:rPr>
                <w:sz w:val="19"/>
                <w:szCs w:val="19"/>
              </w:rPr>
              <w:instrText xml:space="preserve"> REF _Ref876802 \h  \* MERGEFORMAT </w:instrText>
            </w:r>
            <w:r w:rsidRPr="00003505">
              <w:rPr>
                <w:sz w:val="19"/>
                <w:szCs w:val="19"/>
              </w:rPr>
            </w:r>
            <w:r w:rsidRPr="00003505">
              <w:rPr>
                <w:sz w:val="19"/>
                <w:szCs w:val="19"/>
              </w:rPr>
              <w:fldChar w:fldCharType="separate"/>
            </w:r>
            <w:r w:rsidR="006045CA" w:rsidRPr="006045CA">
              <w:rPr>
                <w:sz w:val="19"/>
                <w:szCs w:val="19"/>
              </w:rPr>
              <w:t xml:space="preserve">Figure </w:t>
            </w:r>
            <w:r w:rsidR="006045CA" w:rsidRPr="006045CA">
              <w:rPr>
                <w:noProof/>
                <w:sz w:val="19"/>
                <w:szCs w:val="19"/>
              </w:rPr>
              <w:t>58</w:t>
            </w:r>
            <w:r w:rsidRPr="00003505">
              <w:rPr>
                <w:sz w:val="19"/>
                <w:szCs w:val="19"/>
              </w:rPr>
              <w:fldChar w:fldCharType="end"/>
            </w:r>
            <w:r w:rsidRPr="00F5590D">
              <w:rPr>
                <w:sz w:val="19"/>
                <w:szCs w:val="19"/>
              </w:rPr>
              <w:t>)</w:t>
            </w:r>
          </w:p>
        </w:tc>
      </w:tr>
      <w:tr w:rsidR="00B0788C" w:rsidRPr="00036649" w14:paraId="2FAFF9F7" w14:textId="77777777" w:rsidTr="00B0788C">
        <w:trPr>
          <w:cantSplit/>
        </w:trPr>
        <w:tc>
          <w:tcPr>
            <w:tcW w:w="2380" w:type="pct"/>
            <w:vAlign w:val="center"/>
          </w:tcPr>
          <w:p w14:paraId="423797C1" w14:textId="4C3FB6C8" w:rsidR="000D6A33" w:rsidRPr="00BB7D4F" w:rsidDel="00D6186E" w:rsidRDefault="000D6A33" w:rsidP="008351C5">
            <w:pPr>
              <w:jc w:val="left"/>
              <w:rPr>
                <w:sz w:val="19"/>
                <w:szCs w:val="19"/>
              </w:rPr>
            </w:pPr>
            <w:r w:rsidRPr="00BB7D4F">
              <w:rPr>
                <w:sz w:val="19"/>
                <w:szCs w:val="19"/>
              </w:rPr>
              <w:t xml:space="preserve">Did the abundance of silver perch in the Gorge zone increase by &gt;30% over a 5-year </w:t>
            </w:r>
            <w:proofErr w:type="gramStart"/>
            <w:r w:rsidRPr="00BB7D4F">
              <w:rPr>
                <w:sz w:val="19"/>
                <w:szCs w:val="19"/>
              </w:rPr>
              <w:t>period?</w:t>
            </w:r>
            <w:r w:rsidR="00AF698F" w:rsidRPr="00BB7D4F">
              <w:rPr>
                <w:sz w:val="19"/>
                <w:szCs w:val="19"/>
              </w:rPr>
              <w:t>*</w:t>
            </w:r>
            <w:proofErr w:type="gramEnd"/>
          </w:p>
        </w:tc>
        <w:tc>
          <w:tcPr>
            <w:tcW w:w="317" w:type="pct"/>
            <w:shd w:val="clear" w:color="auto" w:fill="D9D9D9" w:themeFill="background1" w:themeFillShade="D9"/>
            <w:vAlign w:val="center"/>
          </w:tcPr>
          <w:p w14:paraId="105EB364" w14:textId="6D4229F7" w:rsidR="000D6A33" w:rsidRPr="00D6186E" w:rsidDel="00D6186E" w:rsidRDefault="000D6A33" w:rsidP="009852FD">
            <w:pPr>
              <w:jc w:val="center"/>
              <w:rPr>
                <w:sz w:val="19"/>
                <w:szCs w:val="19"/>
              </w:rPr>
            </w:pPr>
            <w:r w:rsidRPr="007E7388">
              <w:rPr>
                <w:sz w:val="19"/>
                <w:szCs w:val="19"/>
              </w:rPr>
              <w:t>NA</w:t>
            </w:r>
          </w:p>
        </w:tc>
        <w:tc>
          <w:tcPr>
            <w:tcW w:w="318" w:type="pct"/>
            <w:shd w:val="clear" w:color="auto" w:fill="D9D9D9" w:themeFill="background1" w:themeFillShade="D9"/>
            <w:vAlign w:val="center"/>
          </w:tcPr>
          <w:p w14:paraId="1C14AC17" w14:textId="1E50D694" w:rsidR="000D6A33" w:rsidRPr="00D6186E" w:rsidDel="00D6186E" w:rsidRDefault="000D6A33" w:rsidP="009852FD">
            <w:pPr>
              <w:jc w:val="center"/>
              <w:rPr>
                <w:sz w:val="19"/>
                <w:szCs w:val="19"/>
              </w:rPr>
            </w:pPr>
            <w:r w:rsidRPr="007E7388">
              <w:rPr>
                <w:sz w:val="19"/>
                <w:szCs w:val="19"/>
              </w:rPr>
              <w:t>NA</w:t>
            </w:r>
          </w:p>
        </w:tc>
        <w:tc>
          <w:tcPr>
            <w:tcW w:w="318" w:type="pct"/>
            <w:shd w:val="clear" w:color="auto" w:fill="D9D9D9" w:themeFill="background1" w:themeFillShade="D9"/>
            <w:vAlign w:val="center"/>
          </w:tcPr>
          <w:p w14:paraId="601AC100" w14:textId="1E44AA55" w:rsidR="000D6A33" w:rsidRPr="00D6186E" w:rsidDel="00D6186E" w:rsidRDefault="000D6A33" w:rsidP="009852FD">
            <w:pPr>
              <w:jc w:val="center"/>
              <w:rPr>
                <w:sz w:val="19"/>
                <w:szCs w:val="19"/>
              </w:rPr>
            </w:pPr>
            <w:r w:rsidRPr="007E7388">
              <w:rPr>
                <w:sz w:val="19"/>
                <w:szCs w:val="19"/>
              </w:rPr>
              <w:t>NA</w:t>
            </w:r>
          </w:p>
        </w:tc>
        <w:tc>
          <w:tcPr>
            <w:tcW w:w="318" w:type="pct"/>
            <w:shd w:val="clear" w:color="auto" w:fill="D9D9D9" w:themeFill="background1" w:themeFillShade="D9"/>
            <w:vAlign w:val="center"/>
          </w:tcPr>
          <w:p w14:paraId="7D6B043F" w14:textId="4B474C0E" w:rsidR="000D6A33" w:rsidRPr="00D6186E" w:rsidDel="00D6186E" w:rsidRDefault="000D6A33" w:rsidP="009852FD">
            <w:pPr>
              <w:jc w:val="center"/>
              <w:rPr>
                <w:sz w:val="19"/>
                <w:szCs w:val="19"/>
              </w:rPr>
            </w:pPr>
            <w:r w:rsidRPr="007E7388">
              <w:rPr>
                <w:sz w:val="19"/>
                <w:szCs w:val="19"/>
              </w:rPr>
              <w:t>NA</w:t>
            </w:r>
          </w:p>
        </w:tc>
        <w:tc>
          <w:tcPr>
            <w:tcW w:w="317" w:type="pct"/>
            <w:shd w:val="clear" w:color="auto" w:fill="FDCBCB"/>
            <w:vAlign w:val="center"/>
          </w:tcPr>
          <w:p w14:paraId="0D8EF0A2" w14:textId="77777777" w:rsidR="000D6A33" w:rsidRPr="00B510A2" w:rsidDel="00D6186E" w:rsidRDefault="000D6A33" w:rsidP="009852FD">
            <w:pPr>
              <w:jc w:val="center"/>
              <w:rPr>
                <w:sz w:val="19"/>
                <w:szCs w:val="19"/>
              </w:rPr>
            </w:pPr>
            <w:r>
              <w:rPr>
                <w:sz w:val="19"/>
                <w:szCs w:val="19"/>
              </w:rPr>
              <w:t>X</w:t>
            </w:r>
          </w:p>
        </w:tc>
        <w:tc>
          <w:tcPr>
            <w:tcW w:w="1032" w:type="pct"/>
            <w:shd w:val="clear" w:color="auto" w:fill="FDCBCB"/>
            <w:vAlign w:val="center"/>
          </w:tcPr>
          <w:p w14:paraId="1960603A" w14:textId="5E9A0ADE" w:rsidR="00D81449" w:rsidRDefault="00D81449" w:rsidP="00D81449">
            <w:pPr>
              <w:jc w:val="center"/>
              <w:rPr>
                <w:sz w:val="19"/>
                <w:szCs w:val="19"/>
              </w:rPr>
            </w:pPr>
            <w:r>
              <w:rPr>
                <w:sz w:val="19"/>
                <w:szCs w:val="19"/>
              </w:rPr>
              <w:t>X</w:t>
            </w:r>
            <w:r w:rsidRPr="007E7388">
              <w:rPr>
                <w:sz w:val="19"/>
                <w:szCs w:val="19"/>
              </w:rPr>
              <w:t xml:space="preserve"> </w:t>
            </w:r>
          </w:p>
          <w:p w14:paraId="3FB22130" w14:textId="44D9AFC0" w:rsidR="000D6A33" w:rsidRPr="007E7388" w:rsidDel="00D6186E" w:rsidRDefault="000D6A33" w:rsidP="009852FD">
            <w:pPr>
              <w:jc w:val="center"/>
              <w:rPr>
                <w:sz w:val="19"/>
                <w:szCs w:val="19"/>
              </w:rPr>
            </w:pPr>
            <w:r w:rsidRPr="00F5590D">
              <w:rPr>
                <w:sz w:val="19"/>
                <w:szCs w:val="19"/>
              </w:rPr>
              <w:t>(</w:t>
            </w:r>
            <w:r w:rsidR="00D81449">
              <w:rPr>
                <w:sz w:val="19"/>
                <w:szCs w:val="19"/>
              </w:rPr>
              <w:t xml:space="preserve">-40%, </w:t>
            </w:r>
            <w:r w:rsidRPr="00003505">
              <w:rPr>
                <w:sz w:val="19"/>
                <w:szCs w:val="19"/>
              </w:rPr>
              <w:fldChar w:fldCharType="begin"/>
            </w:r>
            <w:r w:rsidRPr="00F5590D">
              <w:rPr>
                <w:sz w:val="19"/>
                <w:szCs w:val="19"/>
              </w:rPr>
              <w:instrText xml:space="preserve"> REF _Ref876802 \h  \* MERGEFORMAT </w:instrText>
            </w:r>
            <w:r w:rsidRPr="00003505">
              <w:rPr>
                <w:sz w:val="19"/>
                <w:szCs w:val="19"/>
              </w:rPr>
            </w:r>
            <w:r w:rsidRPr="00003505">
              <w:rPr>
                <w:sz w:val="19"/>
                <w:szCs w:val="19"/>
              </w:rPr>
              <w:fldChar w:fldCharType="separate"/>
            </w:r>
            <w:r w:rsidR="006045CA" w:rsidRPr="006045CA">
              <w:rPr>
                <w:sz w:val="19"/>
                <w:szCs w:val="19"/>
              </w:rPr>
              <w:t xml:space="preserve">Figure </w:t>
            </w:r>
            <w:r w:rsidR="006045CA" w:rsidRPr="006045CA">
              <w:rPr>
                <w:noProof/>
                <w:sz w:val="19"/>
                <w:szCs w:val="19"/>
              </w:rPr>
              <w:t>58</w:t>
            </w:r>
            <w:r w:rsidRPr="00003505">
              <w:rPr>
                <w:sz w:val="19"/>
                <w:szCs w:val="19"/>
              </w:rPr>
              <w:fldChar w:fldCharType="end"/>
            </w:r>
            <w:r w:rsidRPr="00F5590D">
              <w:rPr>
                <w:sz w:val="19"/>
                <w:szCs w:val="19"/>
              </w:rPr>
              <w:t>)</w:t>
            </w:r>
          </w:p>
        </w:tc>
      </w:tr>
      <w:tr w:rsidR="00B0788C" w:rsidRPr="00036649" w14:paraId="76234D30" w14:textId="77777777" w:rsidTr="00B0788C">
        <w:trPr>
          <w:cantSplit/>
        </w:trPr>
        <w:tc>
          <w:tcPr>
            <w:tcW w:w="2380" w:type="pct"/>
            <w:vAlign w:val="center"/>
          </w:tcPr>
          <w:p w14:paraId="0D15562B" w14:textId="4353E3AF" w:rsidR="000D6A33" w:rsidRPr="00BB7D4F" w:rsidDel="00D6186E" w:rsidRDefault="000D6A33" w:rsidP="008351C5">
            <w:pPr>
              <w:jc w:val="left"/>
              <w:rPr>
                <w:sz w:val="19"/>
                <w:szCs w:val="19"/>
              </w:rPr>
            </w:pPr>
            <w:r w:rsidRPr="00BB7D4F">
              <w:rPr>
                <w:sz w:val="19"/>
                <w:szCs w:val="19"/>
              </w:rPr>
              <w:t xml:space="preserve">Did the abundance of freshwater catfish in the Gorge zone increase by ≥30% over a 5-year </w:t>
            </w:r>
            <w:proofErr w:type="gramStart"/>
            <w:r w:rsidRPr="00BB7D4F">
              <w:rPr>
                <w:sz w:val="19"/>
                <w:szCs w:val="19"/>
              </w:rPr>
              <w:t>period?</w:t>
            </w:r>
            <w:r w:rsidR="00AF698F" w:rsidRPr="00BB7D4F">
              <w:rPr>
                <w:sz w:val="19"/>
                <w:szCs w:val="19"/>
              </w:rPr>
              <w:t>*</w:t>
            </w:r>
            <w:proofErr w:type="gramEnd"/>
          </w:p>
        </w:tc>
        <w:tc>
          <w:tcPr>
            <w:tcW w:w="317" w:type="pct"/>
            <w:shd w:val="clear" w:color="auto" w:fill="D9D9D9" w:themeFill="background1" w:themeFillShade="D9"/>
            <w:vAlign w:val="center"/>
          </w:tcPr>
          <w:p w14:paraId="44BEF22F" w14:textId="093D9260" w:rsidR="000D6A33" w:rsidRPr="00D6186E" w:rsidDel="00D6186E" w:rsidRDefault="000D6A33" w:rsidP="009852FD">
            <w:pPr>
              <w:jc w:val="center"/>
              <w:rPr>
                <w:sz w:val="19"/>
                <w:szCs w:val="19"/>
              </w:rPr>
            </w:pPr>
            <w:r w:rsidRPr="007E7388">
              <w:rPr>
                <w:sz w:val="19"/>
                <w:szCs w:val="19"/>
              </w:rPr>
              <w:t>NA</w:t>
            </w:r>
          </w:p>
        </w:tc>
        <w:tc>
          <w:tcPr>
            <w:tcW w:w="318" w:type="pct"/>
            <w:shd w:val="clear" w:color="auto" w:fill="D9D9D9" w:themeFill="background1" w:themeFillShade="D9"/>
            <w:vAlign w:val="center"/>
          </w:tcPr>
          <w:p w14:paraId="6C5DD79A" w14:textId="1A2525D3" w:rsidR="000D6A33" w:rsidRPr="00D6186E" w:rsidDel="00D6186E" w:rsidRDefault="000D6A33" w:rsidP="009852FD">
            <w:pPr>
              <w:jc w:val="center"/>
              <w:rPr>
                <w:sz w:val="19"/>
                <w:szCs w:val="19"/>
              </w:rPr>
            </w:pPr>
            <w:r w:rsidRPr="007E7388">
              <w:rPr>
                <w:sz w:val="19"/>
                <w:szCs w:val="19"/>
              </w:rPr>
              <w:t>NA</w:t>
            </w:r>
          </w:p>
        </w:tc>
        <w:tc>
          <w:tcPr>
            <w:tcW w:w="318" w:type="pct"/>
            <w:shd w:val="clear" w:color="auto" w:fill="D9D9D9" w:themeFill="background1" w:themeFillShade="D9"/>
            <w:vAlign w:val="center"/>
          </w:tcPr>
          <w:p w14:paraId="672529AD" w14:textId="1E28C4EE" w:rsidR="000D6A33" w:rsidRPr="00D6186E" w:rsidDel="00D6186E" w:rsidRDefault="000D6A33" w:rsidP="009852FD">
            <w:pPr>
              <w:jc w:val="center"/>
              <w:rPr>
                <w:sz w:val="19"/>
                <w:szCs w:val="19"/>
              </w:rPr>
            </w:pPr>
            <w:r w:rsidRPr="007E7388">
              <w:rPr>
                <w:sz w:val="19"/>
                <w:szCs w:val="19"/>
              </w:rPr>
              <w:t>NA</w:t>
            </w:r>
          </w:p>
        </w:tc>
        <w:tc>
          <w:tcPr>
            <w:tcW w:w="318" w:type="pct"/>
            <w:shd w:val="clear" w:color="auto" w:fill="D9D9D9" w:themeFill="background1" w:themeFillShade="D9"/>
            <w:vAlign w:val="center"/>
          </w:tcPr>
          <w:p w14:paraId="17BCC012" w14:textId="1D17978F" w:rsidR="000D6A33" w:rsidRPr="00D6186E" w:rsidDel="00D6186E" w:rsidRDefault="000D6A33" w:rsidP="009852FD">
            <w:pPr>
              <w:jc w:val="center"/>
              <w:rPr>
                <w:sz w:val="19"/>
                <w:szCs w:val="19"/>
              </w:rPr>
            </w:pPr>
            <w:r w:rsidRPr="007E7388">
              <w:rPr>
                <w:sz w:val="19"/>
                <w:szCs w:val="19"/>
              </w:rPr>
              <w:t>NA</w:t>
            </w:r>
          </w:p>
        </w:tc>
        <w:tc>
          <w:tcPr>
            <w:tcW w:w="317" w:type="pct"/>
            <w:shd w:val="clear" w:color="auto" w:fill="FDCBCB"/>
            <w:vAlign w:val="center"/>
          </w:tcPr>
          <w:p w14:paraId="3F212D6F" w14:textId="77777777" w:rsidR="000D6A33" w:rsidRPr="00B510A2" w:rsidDel="00D6186E" w:rsidRDefault="000D6A33" w:rsidP="009852FD">
            <w:pPr>
              <w:jc w:val="center"/>
              <w:rPr>
                <w:sz w:val="19"/>
                <w:szCs w:val="19"/>
              </w:rPr>
            </w:pPr>
            <w:r>
              <w:rPr>
                <w:sz w:val="19"/>
                <w:szCs w:val="19"/>
              </w:rPr>
              <w:t>X</w:t>
            </w:r>
          </w:p>
        </w:tc>
        <w:tc>
          <w:tcPr>
            <w:tcW w:w="1032" w:type="pct"/>
            <w:shd w:val="clear" w:color="auto" w:fill="FDCBCB"/>
            <w:vAlign w:val="center"/>
          </w:tcPr>
          <w:p w14:paraId="74872F73" w14:textId="77777777" w:rsidR="00AF698F" w:rsidRDefault="00AF698F" w:rsidP="00AF698F">
            <w:pPr>
              <w:jc w:val="center"/>
              <w:rPr>
                <w:sz w:val="19"/>
                <w:szCs w:val="19"/>
              </w:rPr>
            </w:pPr>
            <w:r>
              <w:rPr>
                <w:sz w:val="19"/>
                <w:szCs w:val="19"/>
              </w:rPr>
              <w:t>X</w:t>
            </w:r>
            <w:r w:rsidRPr="007E7388">
              <w:rPr>
                <w:sz w:val="19"/>
                <w:szCs w:val="19"/>
              </w:rPr>
              <w:t xml:space="preserve"> </w:t>
            </w:r>
          </w:p>
          <w:p w14:paraId="76D8CC52" w14:textId="528A3D3C" w:rsidR="000D6A33" w:rsidRPr="007E7388" w:rsidDel="00D6186E" w:rsidRDefault="000D6A33" w:rsidP="009852FD">
            <w:pPr>
              <w:jc w:val="center"/>
              <w:rPr>
                <w:sz w:val="19"/>
                <w:szCs w:val="19"/>
              </w:rPr>
            </w:pPr>
            <w:r w:rsidRPr="00F5590D">
              <w:rPr>
                <w:sz w:val="19"/>
                <w:szCs w:val="19"/>
              </w:rPr>
              <w:t>(</w:t>
            </w:r>
            <w:r w:rsidR="00AF698F">
              <w:rPr>
                <w:sz w:val="19"/>
                <w:szCs w:val="19"/>
              </w:rPr>
              <w:t xml:space="preserve">-29%, </w:t>
            </w:r>
            <w:r w:rsidRPr="00003505">
              <w:rPr>
                <w:sz w:val="19"/>
                <w:szCs w:val="19"/>
              </w:rPr>
              <w:fldChar w:fldCharType="begin"/>
            </w:r>
            <w:r w:rsidRPr="00F5590D">
              <w:rPr>
                <w:sz w:val="19"/>
                <w:szCs w:val="19"/>
              </w:rPr>
              <w:instrText xml:space="preserve"> REF _Ref876802 \h  \* MERGEFORMAT </w:instrText>
            </w:r>
            <w:r w:rsidRPr="00003505">
              <w:rPr>
                <w:sz w:val="19"/>
                <w:szCs w:val="19"/>
              </w:rPr>
            </w:r>
            <w:r w:rsidRPr="00003505">
              <w:rPr>
                <w:sz w:val="19"/>
                <w:szCs w:val="19"/>
              </w:rPr>
              <w:fldChar w:fldCharType="separate"/>
            </w:r>
            <w:r w:rsidR="006045CA" w:rsidRPr="006045CA">
              <w:rPr>
                <w:sz w:val="19"/>
                <w:szCs w:val="19"/>
              </w:rPr>
              <w:t xml:space="preserve">Figure </w:t>
            </w:r>
            <w:r w:rsidR="006045CA" w:rsidRPr="006045CA">
              <w:rPr>
                <w:noProof/>
                <w:sz w:val="19"/>
                <w:szCs w:val="19"/>
              </w:rPr>
              <w:t>58</w:t>
            </w:r>
            <w:r w:rsidRPr="00003505">
              <w:rPr>
                <w:sz w:val="19"/>
                <w:szCs w:val="19"/>
              </w:rPr>
              <w:fldChar w:fldCharType="end"/>
            </w:r>
            <w:r w:rsidRPr="00F5590D">
              <w:rPr>
                <w:sz w:val="19"/>
                <w:szCs w:val="19"/>
              </w:rPr>
              <w:t>)</w:t>
            </w:r>
          </w:p>
        </w:tc>
      </w:tr>
      <w:tr w:rsidR="00B0788C" w:rsidRPr="00036649" w14:paraId="6AE1C23C" w14:textId="77777777" w:rsidTr="00B0788C">
        <w:trPr>
          <w:cantSplit/>
        </w:trPr>
        <w:tc>
          <w:tcPr>
            <w:tcW w:w="2380" w:type="pct"/>
            <w:vAlign w:val="center"/>
          </w:tcPr>
          <w:p w14:paraId="43551DC1" w14:textId="5B68DF60" w:rsidR="000D6A33" w:rsidRPr="00036649" w:rsidRDefault="000D6A33" w:rsidP="008351C5">
            <w:pPr>
              <w:jc w:val="left"/>
              <w:rPr>
                <w:sz w:val="19"/>
                <w:szCs w:val="19"/>
              </w:rPr>
            </w:pPr>
            <w:r w:rsidRPr="00036649">
              <w:rPr>
                <w:sz w:val="19"/>
                <w:szCs w:val="19"/>
              </w:rPr>
              <w:t>Did the length-frequency distribution for bony herring</w:t>
            </w:r>
            <w:r w:rsidR="00AF698F">
              <w:rPr>
                <w:sz w:val="19"/>
                <w:szCs w:val="19"/>
              </w:rPr>
              <w:t>*</w:t>
            </w:r>
            <w:r>
              <w:rPr>
                <w:sz w:val="19"/>
                <w:szCs w:val="19"/>
              </w:rPr>
              <w:t>*</w:t>
            </w:r>
            <w:r w:rsidRPr="00036649">
              <w:rPr>
                <w:sz w:val="19"/>
                <w:szCs w:val="19"/>
              </w:rPr>
              <w:t xml:space="preserve"> in the Gorge zone include size classes representing YOY</w:t>
            </w:r>
            <w:r w:rsidRPr="00B510A2">
              <w:rPr>
                <w:sz w:val="19"/>
                <w:szCs w:val="19"/>
              </w:rPr>
              <w:t>?</w:t>
            </w:r>
          </w:p>
        </w:tc>
        <w:tc>
          <w:tcPr>
            <w:tcW w:w="317" w:type="pct"/>
            <w:shd w:val="clear" w:color="auto" w:fill="D9D9D9" w:themeFill="background1" w:themeFillShade="D9"/>
            <w:vAlign w:val="center"/>
          </w:tcPr>
          <w:p w14:paraId="3C53B7D2" w14:textId="2D1E0C29" w:rsidR="000D6A33" w:rsidRPr="00B510A2" w:rsidRDefault="000D6A33" w:rsidP="009852FD">
            <w:pPr>
              <w:jc w:val="center"/>
              <w:rPr>
                <w:sz w:val="19"/>
                <w:szCs w:val="19"/>
              </w:rPr>
            </w:pPr>
            <w:r w:rsidRPr="00B510A2">
              <w:rPr>
                <w:sz w:val="19"/>
                <w:szCs w:val="19"/>
              </w:rPr>
              <w:t>NA</w:t>
            </w:r>
          </w:p>
        </w:tc>
        <w:tc>
          <w:tcPr>
            <w:tcW w:w="318" w:type="pct"/>
            <w:shd w:val="clear" w:color="auto" w:fill="E2EFD9" w:themeFill="accent6" w:themeFillTint="33"/>
            <w:vAlign w:val="center"/>
          </w:tcPr>
          <w:p w14:paraId="72BFB753" w14:textId="77777777" w:rsidR="000D6A33" w:rsidRPr="00B510A2" w:rsidRDefault="000D6A33" w:rsidP="009852FD">
            <w:pPr>
              <w:jc w:val="center"/>
              <w:rPr>
                <w:sz w:val="19"/>
                <w:szCs w:val="19"/>
              </w:rPr>
            </w:pPr>
            <w:r w:rsidRPr="00B510A2">
              <w:rPr>
                <w:sz w:val="19"/>
                <w:szCs w:val="19"/>
              </w:rPr>
              <w:t>√</w:t>
            </w:r>
          </w:p>
        </w:tc>
        <w:tc>
          <w:tcPr>
            <w:tcW w:w="318" w:type="pct"/>
            <w:shd w:val="clear" w:color="auto" w:fill="E2EFD9" w:themeFill="accent6" w:themeFillTint="33"/>
            <w:vAlign w:val="center"/>
          </w:tcPr>
          <w:p w14:paraId="3FE8CDC2" w14:textId="77777777" w:rsidR="000D6A33" w:rsidRPr="00B510A2" w:rsidRDefault="000D6A33" w:rsidP="009852FD">
            <w:pPr>
              <w:jc w:val="center"/>
              <w:rPr>
                <w:sz w:val="19"/>
                <w:szCs w:val="19"/>
              </w:rPr>
            </w:pPr>
            <w:r w:rsidRPr="00B510A2">
              <w:rPr>
                <w:sz w:val="19"/>
                <w:szCs w:val="19"/>
              </w:rPr>
              <w:t>√</w:t>
            </w:r>
          </w:p>
        </w:tc>
        <w:tc>
          <w:tcPr>
            <w:tcW w:w="318" w:type="pct"/>
            <w:shd w:val="clear" w:color="auto" w:fill="E2EFD9" w:themeFill="accent6" w:themeFillTint="33"/>
            <w:vAlign w:val="center"/>
          </w:tcPr>
          <w:p w14:paraId="612A66D0" w14:textId="77777777" w:rsidR="000D6A33" w:rsidRPr="00B510A2" w:rsidRDefault="000D6A33" w:rsidP="009852FD">
            <w:pPr>
              <w:jc w:val="center"/>
              <w:rPr>
                <w:sz w:val="19"/>
                <w:szCs w:val="19"/>
              </w:rPr>
            </w:pPr>
            <w:r w:rsidRPr="00B510A2">
              <w:rPr>
                <w:sz w:val="19"/>
                <w:szCs w:val="19"/>
              </w:rPr>
              <w:t>√</w:t>
            </w:r>
          </w:p>
        </w:tc>
        <w:tc>
          <w:tcPr>
            <w:tcW w:w="317" w:type="pct"/>
            <w:shd w:val="clear" w:color="auto" w:fill="E2EFD9" w:themeFill="accent6" w:themeFillTint="33"/>
            <w:vAlign w:val="center"/>
          </w:tcPr>
          <w:p w14:paraId="32B72383" w14:textId="77777777" w:rsidR="000D6A33" w:rsidRPr="00B510A2" w:rsidRDefault="000D6A33" w:rsidP="009852FD">
            <w:pPr>
              <w:jc w:val="center"/>
              <w:rPr>
                <w:sz w:val="19"/>
                <w:szCs w:val="19"/>
              </w:rPr>
            </w:pPr>
            <w:r w:rsidRPr="00B510A2">
              <w:rPr>
                <w:sz w:val="19"/>
                <w:szCs w:val="19"/>
              </w:rPr>
              <w:t>√</w:t>
            </w:r>
          </w:p>
        </w:tc>
        <w:tc>
          <w:tcPr>
            <w:tcW w:w="1032" w:type="pct"/>
            <w:shd w:val="clear" w:color="auto" w:fill="E2EFD9" w:themeFill="accent6" w:themeFillTint="33"/>
            <w:vAlign w:val="center"/>
          </w:tcPr>
          <w:p w14:paraId="36DA2C49" w14:textId="76A04667" w:rsidR="000D6A33" w:rsidRPr="00036649" w:rsidRDefault="00D81449" w:rsidP="009852FD">
            <w:pPr>
              <w:jc w:val="center"/>
              <w:rPr>
                <w:sz w:val="19"/>
                <w:szCs w:val="19"/>
                <w:highlight w:val="yellow"/>
              </w:rPr>
            </w:pPr>
            <w:r w:rsidRPr="00B510A2">
              <w:rPr>
                <w:sz w:val="19"/>
                <w:szCs w:val="19"/>
              </w:rPr>
              <w:t>√</w:t>
            </w:r>
          </w:p>
        </w:tc>
      </w:tr>
      <w:tr w:rsidR="00B0788C" w:rsidRPr="00B510A2" w14:paraId="07FDE641" w14:textId="77777777" w:rsidTr="00B0788C">
        <w:trPr>
          <w:cantSplit/>
        </w:trPr>
        <w:tc>
          <w:tcPr>
            <w:tcW w:w="2380" w:type="pct"/>
            <w:vAlign w:val="center"/>
          </w:tcPr>
          <w:p w14:paraId="71E57034" w14:textId="77777777" w:rsidR="000D6A33" w:rsidRPr="00B510A2" w:rsidRDefault="000D6A33" w:rsidP="008351C5">
            <w:pPr>
              <w:jc w:val="left"/>
              <w:rPr>
                <w:sz w:val="19"/>
                <w:szCs w:val="19"/>
              </w:rPr>
            </w:pPr>
            <w:r w:rsidRPr="00B510A2">
              <w:rPr>
                <w:sz w:val="19"/>
                <w:szCs w:val="19"/>
              </w:rPr>
              <w:t xml:space="preserve">Did the length-frequency distribution for Murray rainbowfish and carp </w:t>
            </w:r>
            <w:proofErr w:type="spellStart"/>
            <w:r w:rsidRPr="00B510A2">
              <w:rPr>
                <w:sz w:val="19"/>
                <w:szCs w:val="19"/>
              </w:rPr>
              <w:t>gudgeon</w:t>
            </w:r>
            <w:proofErr w:type="spellEnd"/>
            <w:r w:rsidRPr="00B510A2">
              <w:rPr>
                <w:sz w:val="19"/>
                <w:szCs w:val="19"/>
              </w:rPr>
              <w:t>, include size classes representing YOY in the Gorge zone?</w:t>
            </w:r>
          </w:p>
        </w:tc>
        <w:tc>
          <w:tcPr>
            <w:tcW w:w="317" w:type="pct"/>
            <w:shd w:val="clear" w:color="auto" w:fill="E2EFD9" w:themeFill="accent6" w:themeFillTint="33"/>
            <w:vAlign w:val="center"/>
          </w:tcPr>
          <w:p w14:paraId="54B14846" w14:textId="77777777" w:rsidR="000D6A33" w:rsidRPr="00B510A2" w:rsidRDefault="000D6A33" w:rsidP="009852FD">
            <w:pPr>
              <w:jc w:val="center"/>
              <w:rPr>
                <w:sz w:val="19"/>
                <w:szCs w:val="19"/>
              </w:rPr>
            </w:pPr>
            <w:r w:rsidRPr="00B510A2">
              <w:rPr>
                <w:sz w:val="19"/>
                <w:szCs w:val="19"/>
              </w:rPr>
              <w:t>√</w:t>
            </w:r>
          </w:p>
        </w:tc>
        <w:tc>
          <w:tcPr>
            <w:tcW w:w="318" w:type="pct"/>
            <w:shd w:val="clear" w:color="auto" w:fill="E2EFD9" w:themeFill="accent6" w:themeFillTint="33"/>
            <w:vAlign w:val="center"/>
          </w:tcPr>
          <w:p w14:paraId="302E826B" w14:textId="77777777" w:rsidR="000D6A33" w:rsidRPr="00B510A2" w:rsidRDefault="000D6A33" w:rsidP="009852FD">
            <w:pPr>
              <w:jc w:val="center"/>
              <w:rPr>
                <w:sz w:val="19"/>
                <w:szCs w:val="19"/>
              </w:rPr>
            </w:pPr>
            <w:r w:rsidRPr="00B510A2">
              <w:rPr>
                <w:sz w:val="19"/>
                <w:szCs w:val="19"/>
              </w:rPr>
              <w:t>√</w:t>
            </w:r>
          </w:p>
        </w:tc>
        <w:tc>
          <w:tcPr>
            <w:tcW w:w="318" w:type="pct"/>
            <w:shd w:val="clear" w:color="auto" w:fill="E2EFD9" w:themeFill="accent6" w:themeFillTint="33"/>
            <w:vAlign w:val="center"/>
          </w:tcPr>
          <w:p w14:paraId="034E0650" w14:textId="77777777" w:rsidR="000D6A33" w:rsidRPr="00B510A2" w:rsidRDefault="000D6A33" w:rsidP="009852FD">
            <w:pPr>
              <w:jc w:val="center"/>
              <w:rPr>
                <w:sz w:val="19"/>
                <w:szCs w:val="19"/>
              </w:rPr>
            </w:pPr>
            <w:r w:rsidRPr="00B510A2">
              <w:rPr>
                <w:sz w:val="19"/>
                <w:szCs w:val="19"/>
              </w:rPr>
              <w:t>√</w:t>
            </w:r>
          </w:p>
        </w:tc>
        <w:tc>
          <w:tcPr>
            <w:tcW w:w="318" w:type="pct"/>
            <w:shd w:val="clear" w:color="auto" w:fill="E2EFD9" w:themeFill="accent6" w:themeFillTint="33"/>
            <w:vAlign w:val="center"/>
          </w:tcPr>
          <w:p w14:paraId="6354CA75" w14:textId="77777777" w:rsidR="000D6A33" w:rsidRPr="00B510A2" w:rsidRDefault="000D6A33" w:rsidP="009852FD">
            <w:pPr>
              <w:jc w:val="center"/>
              <w:rPr>
                <w:sz w:val="19"/>
                <w:szCs w:val="19"/>
              </w:rPr>
            </w:pPr>
            <w:r w:rsidRPr="00B510A2">
              <w:rPr>
                <w:sz w:val="19"/>
                <w:szCs w:val="19"/>
              </w:rPr>
              <w:t>√</w:t>
            </w:r>
          </w:p>
        </w:tc>
        <w:tc>
          <w:tcPr>
            <w:tcW w:w="317" w:type="pct"/>
            <w:shd w:val="clear" w:color="auto" w:fill="E2EFD9" w:themeFill="accent6" w:themeFillTint="33"/>
            <w:vAlign w:val="center"/>
          </w:tcPr>
          <w:p w14:paraId="46E7C877" w14:textId="77777777" w:rsidR="000D6A33" w:rsidRPr="00B510A2" w:rsidRDefault="000D6A33" w:rsidP="009852FD">
            <w:pPr>
              <w:jc w:val="center"/>
              <w:rPr>
                <w:sz w:val="19"/>
                <w:szCs w:val="19"/>
              </w:rPr>
            </w:pPr>
            <w:r w:rsidRPr="00B510A2">
              <w:rPr>
                <w:sz w:val="19"/>
                <w:szCs w:val="19"/>
              </w:rPr>
              <w:t>√</w:t>
            </w:r>
          </w:p>
        </w:tc>
        <w:tc>
          <w:tcPr>
            <w:tcW w:w="1032" w:type="pct"/>
            <w:shd w:val="clear" w:color="auto" w:fill="E2EFD9" w:themeFill="accent6" w:themeFillTint="33"/>
            <w:vAlign w:val="center"/>
          </w:tcPr>
          <w:p w14:paraId="45026588" w14:textId="5F74E320" w:rsidR="000D6A33" w:rsidRPr="00B510A2" w:rsidRDefault="00D81449" w:rsidP="009852FD">
            <w:pPr>
              <w:jc w:val="center"/>
              <w:rPr>
                <w:sz w:val="19"/>
                <w:szCs w:val="19"/>
              </w:rPr>
            </w:pPr>
            <w:r w:rsidRPr="00B510A2">
              <w:rPr>
                <w:sz w:val="19"/>
                <w:szCs w:val="19"/>
              </w:rPr>
              <w:t>√</w:t>
            </w:r>
          </w:p>
        </w:tc>
      </w:tr>
      <w:tr w:rsidR="00B0788C" w:rsidRPr="00B510A2" w14:paraId="2C477378" w14:textId="77777777" w:rsidTr="00B0788C">
        <w:trPr>
          <w:cantSplit/>
        </w:trPr>
        <w:tc>
          <w:tcPr>
            <w:tcW w:w="2380" w:type="pct"/>
            <w:vAlign w:val="center"/>
          </w:tcPr>
          <w:p w14:paraId="327708E8" w14:textId="1D7B8F4C" w:rsidR="000D6A33" w:rsidRPr="00B510A2" w:rsidRDefault="000D6A33" w:rsidP="008351C5">
            <w:pPr>
              <w:jc w:val="left"/>
              <w:rPr>
                <w:sz w:val="19"/>
                <w:szCs w:val="19"/>
              </w:rPr>
            </w:pPr>
            <w:r w:rsidRPr="00036649">
              <w:rPr>
                <w:sz w:val="19"/>
                <w:szCs w:val="19"/>
              </w:rPr>
              <w:t xml:space="preserve">Did the relative abundance of common carp in the Gorge zone increase during the current year, relative to the previous year, </w:t>
            </w:r>
            <w:r w:rsidR="00546CFC">
              <w:rPr>
                <w:sz w:val="19"/>
                <w:szCs w:val="19"/>
              </w:rPr>
              <w:t>in the absence of an increase in the</w:t>
            </w:r>
            <w:r w:rsidRPr="00036649">
              <w:rPr>
                <w:sz w:val="19"/>
                <w:szCs w:val="19"/>
              </w:rPr>
              <w:t xml:space="preserve"> relative abundances of flow-dependent native species </w:t>
            </w:r>
            <w:proofErr w:type="gramStart"/>
            <w:r w:rsidRPr="00036649">
              <w:rPr>
                <w:sz w:val="19"/>
                <w:szCs w:val="19"/>
              </w:rPr>
              <w:t>decreased</w:t>
            </w:r>
            <w:r>
              <w:rPr>
                <w:sz w:val="19"/>
                <w:szCs w:val="19"/>
              </w:rPr>
              <w:t>?</w:t>
            </w:r>
            <w:r w:rsidR="00AF698F">
              <w:rPr>
                <w:sz w:val="19"/>
                <w:szCs w:val="19"/>
              </w:rPr>
              <w:t>*</w:t>
            </w:r>
            <w:proofErr w:type="gramEnd"/>
            <w:r w:rsidRPr="00B510A2">
              <w:rPr>
                <w:sz w:val="19"/>
                <w:szCs w:val="19"/>
              </w:rPr>
              <w:t>**</w:t>
            </w:r>
          </w:p>
        </w:tc>
        <w:tc>
          <w:tcPr>
            <w:tcW w:w="317" w:type="pct"/>
            <w:shd w:val="clear" w:color="auto" w:fill="D9D9D9" w:themeFill="background1" w:themeFillShade="D9"/>
            <w:vAlign w:val="center"/>
          </w:tcPr>
          <w:p w14:paraId="4DCC399C" w14:textId="74C5581C" w:rsidR="000D6A33" w:rsidRPr="00B510A2" w:rsidRDefault="000D6A33" w:rsidP="009852FD">
            <w:pPr>
              <w:jc w:val="center"/>
              <w:rPr>
                <w:sz w:val="19"/>
                <w:szCs w:val="19"/>
              </w:rPr>
            </w:pPr>
            <w:r w:rsidRPr="00B510A2">
              <w:rPr>
                <w:sz w:val="19"/>
                <w:szCs w:val="19"/>
              </w:rPr>
              <w:t>NA</w:t>
            </w:r>
          </w:p>
        </w:tc>
        <w:tc>
          <w:tcPr>
            <w:tcW w:w="318" w:type="pct"/>
            <w:shd w:val="clear" w:color="auto" w:fill="FDCBCB"/>
            <w:vAlign w:val="center"/>
          </w:tcPr>
          <w:p w14:paraId="2ECB06D1" w14:textId="77777777" w:rsidR="000D6A33" w:rsidRPr="00B510A2" w:rsidRDefault="000D6A33" w:rsidP="009852FD">
            <w:pPr>
              <w:jc w:val="center"/>
              <w:rPr>
                <w:sz w:val="19"/>
                <w:szCs w:val="19"/>
              </w:rPr>
            </w:pPr>
            <w:r w:rsidRPr="00B510A2">
              <w:rPr>
                <w:sz w:val="19"/>
                <w:szCs w:val="19"/>
              </w:rPr>
              <w:t>√</w:t>
            </w:r>
          </w:p>
        </w:tc>
        <w:tc>
          <w:tcPr>
            <w:tcW w:w="318" w:type="pct"/>
            <w:shd w:val="clear" w:color="auto" w:fill="FDCBCB"/>
            <w:vAlign w:val="center"/>
          </w:tcPr>
          <w:p w14:paraId="3DD1550B" w14:textId="77777777" w:rsidR="000D6A33" w:rsidRPr="00B510A2" w:rsidRDefault="000D6A33" w:rsidP="009852FD">
            <w:pPr>
              <w:jc w:val="center"/>
              <w:rPr>
                <w:sz w:val="19"/>
                <w:szCs w:val="19"/>
              </w:rPr>
            </w:pPr>
            <w:r w:rsidRPr="00B510A2">
              <w:rPr>
                <w:sz w:val="19"/>
                <w:szCs w:val="19"/>
              </w:rPr>
              <w:t>√</w:t>
            </w:r>
          </w:p>
        </w:tc>
        <w:tc>
          <w:tcPr>
            <w:tcW w:w="318" w:type="pct"/>
            <w:shd w:val="clear" w:color="auto" w:fill="E2EFD9" w:themeFill="accent6" w:themeFillTint="33"/>
            <w:vAlign w:val="center"/>
          </w:tcPr>
          <w:p w14:paraId="22B86E06" w14:textId="77777777" w:rsidR="000D6A33" w:rsidRPr="00B510A2" w:rsidRDefault="000D6A33" w:rsidP="009852FD">
            <w:pPr>
              <w:jc w:val="center"/>
              <w:rPr>
                <w:sz w:val="19"/>
                <w:szCs w:val="19"/>
              </w:rPr>
            </w:pPr>
            <w:r w:rsidRPr="00B510A2">
              <w:rPr>
                <w:sz w:val="19"/>
                <w:szCs w:val="19"/>
              </w:rPr>
              <w:t>X</w:t>
            </w:r>
          </w:p>
        </w:tc>
        <w:tc>
          <w:tcPr>
            <w:tcW w:w="317" w:type="pct"/>
            <w:shd w:val="clear" w:color="auto" w:fill="E2EFD9" w:themeFill="accent6" w:themeFillTint="33"/>
            <w:vAlign w:val="center"/>
          </w:tcPr>
          <w:p w14:paraId="1861ACA8" w14:textId="77777777" w:rsidR="000D6A33" w:rsidRPr="00B510A2" w:rsidRDefault="000D6A33" w:rsidP="009852FD">
            <w:pPr>
              <w:jc w:val="center"/>
              <w:rPr>
                <w:sz w:val="19"/>
                <w:szCs w:val="19"/>
                <w:highlight w:val="yellow"/>
              </w:rPr>
            </w:pPr>
            <w:r w:rsidRPr="00B40848">
              <w:rPr>
                <w:sz w:val="19"/>
                <w:szCs w:val="19"/>
              </w:rPr>
              <w:t>X</w:t>
            </w:r>
          </w:p>
        </w:tc>
        <w:tc>
          <w:tcPr>
            <w:tcW w:w="1032" w:type="pct"/>
            <w:shd w:val="clear" w:color="auto" w:fill="E2EFD9" w:themeFill="accent6" w:themeFillTint="33"/>
            <w:vAlign w:val="center"/>
          </w:tcPr>
          <w:p w14:paraId="1AB4CF29" w14:textId="77777777" w:rsidR="000D6A33" w:rsidRDefault="00B0788C" w:rsidP="009852FD">
            <w:pPr>
              <w:jc w:val="center"/>
              <w:rPr>
                <w:sz w:val="19"/>
                <w:szCs w:val="19"/>
              </w:rPr>
            </w:pPr>
            <w:r w:rsidRPr="00B40848">
              <w:rPr>
                <w:sz w:val="19"/>
                <w:szCs w:val="19"/>
              </w:rPr>
              <w:t>X</w:t>
            </w:r>
          </w:p>
          <w:p w14:paraId="76295FA7" w14:textId="337A738A" w:rsidR="008746F2" w:rsidRPr="00B510A2" w:rsidRDefault="008746F2" w:rsidP="009852FD">
            <w:pPr>
              <w:jc w:val="center"/>
              <w:rPr>
                <w:sz w:val="19"/>
                <w:szCs w:val="19"/>
              </w:rPr>
            </w:pPr>
            <w:r w:rsidRPr="00F5590D">
              <w:rPr>
                <w:sz w:val="19"/>
                <w:szCs w:val="19"/>
              </w:rPr>
              <w:t>(</w:t>
            </w:r>
            <w:r w:rsidRPr="00003505">
              <w:rPr>
                <w:sz w:val="19"/>
                <w:szCs w:val="19"/>
              </w:rPr>
              <w:fldChar w:fldCharType="begin"/>
            </w:r>
            <w:r w:rsidRPr="00F5590D">
              <w:rPr>
                <w:sz w:val="19"/>
                <w:szCs w:val="19"/>
              </w:rPr>
              <w:instrText xml:space="preserve"> REF _Ref876802 \h  \* MERGEFORMAT </w:instrText>
            </w:r>
            <w:r w:rsidRPr="00003505">
              <w:rPr>
                <w:sz w:val="19"/>
                <w:szCs w:val="19"/>
              </w:rPr>
            </w:r>
            <w:r w:rsidRPr="00003505">
              <w:rPr>
                <w:sz w:val="19"/>
                <w:szCs w:val="19"/>
              </w:rPr>
              <w:fldChar w:fldCharType="separate"/>
            </w:r>
            <w:r w:rsidR="006045CA" w:rsidRPr="006045CA">
              <w:rPr>
                <w:sz w:val="19"/>
                <w:szCs w:val="19"/>
              </w:rPr>
              <w:t xml:space="preserve">Figure </w:t>
            </w:r>
            <w:r w:rsidR="006045CA" w:rsidRPr="006045CA">
              <w:rPr>
                <w:noProof/>
                <w:sz w:val="19"/>
                <w:szCs w:val="19"/>
              </w:rPr>
              <w:t>58</w:t>
            </w:r>
            <w:r w:rsidRPr="00003505">
              <w:rPr>
                <w:sz w:val="19"/>
                <w:szCs w:val="19"/>
              </w:rPr>
              <w:fldChar w:fldCharType="end"/>
            </w:r>
            <w:r w:rsidRPr="00F5590D">
              <w:rPr>
                <w:sz w:val="19"/>
                <w:szCs w:val="19"/>
              </w:rPr>
              <w:t>)</w:t>
            </w:r>
          </w:p>
        </w:tc>
      </w:tr>
      <w:tr w:rsidR="00B0788C" w:rsidRPr="00B510A2" w14:paraId="6DB5B9EC" w14:textId="77777777" w:rsidTr="00B0788C">
        <w:trPr>
          <w:cantSplit/>
        </w:trPr>
        <w:tc>
          <w:tcPr>
            <w:tcW w:w="2380" w:type="pct"/>
            <w:vAlign w:val="center"/>
          </w:tcPr>
          <w:p w14:paraId="7CB4A3B7" w14:textId="5DA8ED95" w:rsidR="000D6A33" w:rsidRPr="00B510A2" w:rsidRDefault="000D6A33" w:rsidP="008351C5">
            <w:pPr>
              <w:jc w:val="left"/>
              <w:rPr>
                <w:sz w:val="19"/>
                <w:szCs w:val="19"/>
              </w:rPr>
            </w:pPr>
            <w:r w:rsidRPr="00B510A2">
              <w:rPr>
                <w:sz w:val="19"/>
                <w:szCs w:val="19"/>
              </w:rPr>
              <w:t xml:space="preserve">Did the estimated biomass of common carp in the Gorge zone increase during the current year, relative to the previous year, </w:t>
            </w:r>
            <w:r w:rsidR="00E81BFE">
              <w:rPr>
                <w:sz w:val="19"/>
                <w:szCs w:val="19"/>
              </w:rPr>
              <w:t>in the absence of an increase in</w:t>
            </w:r>
            <w:r w:rsidRPr="00B510A2">
              <w:rPr>
                <w:sz w:val="19"/>
                <w:szCs w:val="19"/>
              </w:rPr>
              <w:t xml:space="preserve"> the estimated biomass of flow-dependent native species </w:t>
            </w:r>
            <w:proofErr w:type="gramStart"/>
            <w:r w:rsidRPr="00B510A2">
              <w:rPr>
                <w:sz w:val="19"/>
                <w:szCs w:val="19"/>
              </w:rPr>
              <w:t>decreased?*</w:t>
            </w:r>
            <w:proofErr w:type="gramEnd"/>
            <w:r w:rsidR="00AF698F">
              <w:rPr>
                <w:sz w:val="19"/>
                <w:szCs w:val="19"/>
              </w:rPr>
              <w:t>*</w:t>
            </w:r>
            <w:r w:rsidRPr="00B510A2">
              <w:rPr>
                <w:sz w:val="19"/>
                <w:szCs w:val="19"/>
              </w:rPr>
              <w:t>*</w:t>
            </w:r>
          </w:p>
        </w:tc>
        <w:tc>
          <w:tcPr>
            <w:tcW w:w="317" w:type="pct"/>
            <w:shd w:val="clear" w:color="auto" w:fill="D9D9D9" w:themeFill="background1" w:themeFillShade="D9"/>
            <w:vAlign w:val="center"/>
          </w:tcPr>
          <w:p w14:paraId="19B75A6A" w14:textId="6BCC2F9A" w:rsidR="000D6A33" w:rsidRPr="00B510A2" w:rsidRDefault="000D6A33" w:rsidP="009852FD">
            <w:pPr>
              <w:jc w:val="center"/>
              <w:rPr>
                <w:sz w:val="19"/>
                <w:szCs w:val="19"/>
              </w:rPr>
            </w:pPr>
            <w:r w:rsidRPr="00B510A2">
              <w:rPr>
                <w:sz w:val="19"/>
                <w:szCs w:val="19"/>
              </w:rPr>
              <w:t>NA</w:t>
            </w:r>
          </w:p>
        </w:tc>
        <w:tc>
          <w:tcPr>
            <w:tcW w:w="318" w:type="pct"/>
            <w:shd w:val="clear" w:color="auto" w:fill="FDCBCB"/>
            <w:vAlign w:val="center"/>
          </w:tcPr>
          <w:p w14:paraId="2A145F83" w14:textId="77777777" w:rsidR="000D6A33" w:rsidRPr="00B510A2" w:rsidRDefault="000D6A33" w:rsidP="009852FD">
            <w:pPr>
              <w:jc w:val="center"/>
              <w:rPr>
                <w:sz w:val="19"/>
                <w:szCs w:val="19"/>
              </w:rPr>
            </w:pPr>
            <w:r w:rsidRPr="00B510A2">
              <w:rPr>
                <w:sz w:val="19"/>
                <w:szCs w:val="19"/>
              </w:rPr>
              <w:t>√</w:t>
            </w:r>
          </w:p>
        </w:tc>
        <w:tc>
          <w:tcPr>
            <w:tcW w:w="318" w:type="pct"/>
            <w:shd w:val="clear" w:color="auto" w:fill="E2EFD9" w:themeFill="accent6" w:themeFillTint="33"/>
            <w:vAlign w:val="center"/>
          </w:tcPr>
          <w:p w14:paraId="6AA0F79C" w14:textId="70713BCE" w:rsidR="000D6A33" w:rsidRPr="00B510A2" w:rsidRDefault="00B0788C" w:rsidP="009852FD">
            <w:pPr>
              <w:jc w:val="center"/>
              <w:rPr>
                <w:sz w:val="19"/>
                <w:szCs w:val="19"/>
              </w:rPr>
            </w:pPr>
            <w:r>
              <w:rPr>
                <w:sz w:val="19"/>
                <w:szCs w:val="19"/>
              </w:rPr>
              <w:t>X</w:t>
            </w:r>
          </w:p>
        </w:tc>
        <w:tc>
          <w:tcPr>
            <w:tcW w:w="318" w:type="pct"/>
            <w:shd w:val="clear" w:color="auto" w:fill="E2EFD9" w:themeFill="accent6" w:themeFillTint="33"/>
            <w:vAlign w:val="center"/>
          </w:tcPr>
          <w:p w14:paraId="3C47FF67" w14:textId="616F5FE5" w:rsidR="000D6A33" w:rsidRPr="00B510A2" w:rsidRDefault="00B0788C" w:rsidP="009852FD">
            <w:pPr>
              <w:jc w:val="center"/>
              <w:rPr>
                <w:sz w:val="19"/>
                <w:szCs w:val="19"/>
              </w:rPr>
            </w:pPr>
            <w:r>
              <w:rPr>
                <w:sz w:val="19"/>
                <w:szCs w:val="19"/>
              </w:rPr>
              <w:t>X</w:t>
            </w:r>
          </w:p>
        </w:tc>
        <w:tc>
          <w:tcPr>
            <w:tcW w:w="317" w:type="pct"/>
            <w:shd w:val="clear" w:color="auto" w:fill="E2EFD9" w:themeFill="accent6" w:themeFillTint="33"/>
            <w:vAlign w:val="center"/>
          </w:tcPr>
          <w:p w14:paraId="311DE331" w14:textId="77777777" w:rsidR="000D6A33" w:rsidRDefault="000D6A33" w:rsidP="009852FD">
            <w:pPr>
              <w:jc w:val="center"/>
              <w:rPr>
                <w:sz w:val="19"/>
                <w:szCs w:val="19"/>
              </w:rPr>
            </w:pPr>
            <w:r>
              <w:rPr>
                <w:sz w:val="19"/>
                <w:szCs w:val="19"/>
              </w:rPr>
              <w:t>X</w:t>
            </w:r>
          </w:p>
        </w:tc>
        <w:tc>
          <w:tcPr>
            <w:tcW w:w="1032" w:type="pct"/>
            <w:shd w:val="clear" w:color="auto" w:fill="E2EFD9" w:themeFill="accent6" w:themeFillTint="33"/>
            <w:vAlign w:val="center"/>
          </w:tcPr>
          <w:p w14:paraId="62A1A14C" w14:textId="19EA2F42" w:rsidR="000D6A33" w:rsidRPr="008E2DA7" w:rsidRDefault="00B0788C" w:rsidP="009852FD">
            <w:pPr>
              <w:jc w:val="center"/>
              <w:rPr>
                <w:sz w:val="19"/>
                <w:szCs w:val="19"/>
                <w:highlight w:val="yellow"/>
              </w:rPr>
            </w:pPr>
            <w:r>
              <w:rPr>
                <w:sz w:val="19"/>
                <w:szCs w:val="19"/>
              </w:rPr>
              <w:t>X</w:t>
            </w:r>
          </w:p>
        </w:tc>
      </w:tr>
    </w:tbl>
    <w:p w14:paraId="198FC131" w14:textId="44416C0F" w:rsidR="00AF698F" w:rsidRDefault="00AF698F" w:rsidP="00D632F9">
      <w:pPr>
        <w:rPr>
          <w:sz w:val="18"/>
        </w:rPr>
      </w:pPr>
      <w:r>
        <w:rPr>
          <w:sz w:val="18"/>
        </w:rPr>
        <w:t>*</w:t>
      </w:r>
      <w:r w:rsidRPr="00AF698F">
        <w:t xml:space="preserve"> </w:t>
      </w:r>
      <w:r w:rsidRPr="00AF698F">
        <w:rPr>
          <w:sz w:val="18"/>
        </w:rPr>
        <w:t>These results should be interpreted with caution, given the large error estimate.</w:t>
      </w:r>
    </w:p>
    <w:p w14:paraId="0225DFC5" w14:textId="1CDB4A47" w:rsidR="00D632F9" w:rsidRPr="00D632F9" w:rsidRDefault="00AF698F" w:rsidP="00D632F9">
      <w:pPr>
        <w:rPr>
          <w:sz w:val="18"/>
        </w:rPr>
      </w:pPr>
      <w:r>
        <w:rPr>
          <w:sz w:val="18"/>
        </w:rPr>
        <w:t>*</w:t>
      </w:r>
      <w:r w:rsidR="00D632F9" w:rsidRPr="00D632F9">
        <w:rPr>
          <w:sz w:val="18"/>
        </w:rPr>
        <w:t>*</w:t>
      </w:r>
      <w:r>
        <w:rPr>
          <w:sz w:val="18"/>
        </w:rPr>
        <w:t xml:space="preserve"> </w:t>
      </w:r>
      <w:r w:rsidR="00D632F9" w:rsidRPr="00D632F9">
        <w:rPr>
          <w:sz w:val="18"/>
        </w:rPr>
        <w:t>Bony herring were not assessed as a target species during 2014.</w:t>
      </w:r>
    </w:p>
    <w:p w14:paraId="3DCD0A30" w14:textId="436427F0" w:rsidR="00D632F9" w:rsidRPr="00D632F9" w:rsidRDefault="00D632F9" w:rsidP="00D632F9">
      <w:pPr>
        <w:rPr>
          <w:sz w:val="18"/>
        </w:rPr>
      </w:pPr>
      <w:r w:rsidRPr="00D632F9">
        <w:rPr>
          <w:sz w:val="18"/>
        </w:rPr>
        <w:t>*</w:t>
      </w:r>
      <w:r w:rsidR="00AF698F">
        <w:rPr>
          <w:sz w:val="18"/>
        </w:rPr>
        <w:t>*</w:t>
      </w:r>
      <w:r w:rsidRPr="00D632F9">
        <w:rPr>
          <w:sz w:val="18"/>
        </w:rPr>
        <w:t xml:space="preserve">* </w:t>
      </w:r>
      <w:r w:rsidR="00E81BFE">
        <w:rPr>
          <w:sz w:val="18"/>
        </w:rPr>
        <w:t xml:space="preserve">In </w:t>
      </w:r>
      <w:r w:rsidR="0021399C">
        <w:rPr>
          <w:sz w:val="18"/>
        </w:rPr>
        <w:t xml:space="preserve">the </w:t>
      </w:r>
      <w:r w:rsidR="00E81BFE">
        <w:rPr>
          <w:sz w:val="18"/>
        </w:rPr>
        <w:t>2019-20</w:t>
      </w:r>
      <w:r w:rsidR="0021399C">
        <w:rPr>
          <w:sz w:val="18"/>
        </w:rPr>
        <w:t xml:space="preserve"> report</w:t>
      </w:r>
      <w:r w:rsidR="00E81BFE">
        <w:rPr>
          <w:sz w:val="18"/>
        </w:rPr>
        <w:t>, the calculations used to answer the evaluation question were changed from</w:t>
      </w:r>
      <w:r w:rsidR="0021399C">
        <w:rPr>
          <w:sz w:val="18"/>
        </w:rPr>
        <w:t xml:space="preserve"> an approach using</w:t>
      </w:r>
      <w:r w:rsidR="00E81BFE">
        <w:rPr>
          <w:sz w:val="18"/>
        </w:rPr>
        <w:t xml:space="preserve"> ratios to better </w:t>
      </w:r>
      <w:r w:rsidR="0021399C">
        <w:rPr>
          <w:sz w:val="18"/>
        </w:rPr>
        <w:t>reflect the ecological target of the LTWP.</w:t>
      </w:r>
      <w:r w:rsidR="00E81BFE">
        <w:rPr>
          <w:sz w:val="18"/>
        </w:rPr>
        <w:t xml:space="preserve"> </w:t>
      </w:r>
      <w:r w:rsidRPr="00D632F9">
        <w:rPr>
          <w:sz w:val="18"/>
        </w:rPr>
        <w:t xml:space="preserve">To remove sampling season bias, only sites sampled during autumn 2017 were used in comparisons against 2018. Common carp were not weighed as part of the Fish (channel) sampling, so biomass was estimated by converting fork lengths to weights based on a FL–mass equation in </w:t>
      </w:r>
      <w:proofErr w:type="spellStart"/>
      <w:r w:rsidRPr="00D632F9">
        <w:rPr>
          <w:sz w:val="18"/>
        </w:rPr>
        <w:t>Vilizzi</w:t>
      </w:r>
      <w:proofErr w:type="spellEnd"/>
      <w:r w:rsidRPr="00D632F9">
        <w:rPr>
          <w:sz w:val="18"/>
        </w:rPr>
        <w:t xml:space="preserve"> and Walker (1999).</w:t>
      </w:r>
    </w:p>
    <w:p w14:paraId="41BB32F9" w14:textId="5BAE721A" w:rsidR="000B1541" w:rsidRDefault="000B1541" w:rsidP="00D632F9"/>
    <w:p w14:paraId="4E5C490E" w14:textId="353DC67F" w:rsidR="00D10CC0" w:rsidRDefault="00D10CC0" w:rsidP="00D632F9"/>
    <w:p w14:paraId="1DF4C770" w14:textId="77777777" w:rsidR="00D10CC0" w:rsidRDefault="00D10CC0">
      <w:pPr>
        <w:spacing w:before="0" w:after="160" w:line="259" w:lineRule="auto"/>
        <w:jc w:val="left"/>
      </w:pPr>
      <w:r>
        <w:br w:type="page"/>
      </w:r>
    </w:p>
    <w:p w14:paraId="14F42341" w14:textId="332C352D" w:rsidR="00CD6314" w:rsidRDefault="00CD6314" w:rsidP="00CD6314">
      <w:pPr>
        <w:pStyle w:val="Heading1"/>
        <w:numPr>
          <w:ilvl w:val="0"/>
          <w:numId w:val="0"/>
        </w:numPr>
        <w:ind w:left="851" w:hanging="851"/>
      </w:pPr>
      <w:bookmarkStart w:id="376" w:name="_Toc69309255"/>
      <w:r w:rsidRPr="00DF1502">
        <w:t xml:space="preserve">Appendix </w:t>
      </w:r>
      <w:r w:rsidR="008849C5">
        <w:t>D</w:t>
      </w:r>
      <w:r w:rsidRPr="00DF1502">
        <w:t xml:space="preserve">: </w:t>
      </w:r>
      <w:r w:rsidR="00703A9B">
        <w:t>Supplementary i</w:t>
      </w:r>
      <w:r>
        <w:t>nformation</w:t>
      </w:r>
      <w:r w:rsidR="00703A9B">
        <w:t xml:space="preserve"> for indicators</w:t>
      </w:r>
      <w:bookmarkEnd w:id="376"/>
    </w:p>
    <w:p w14:paraId="000517F0" w14:textId="1074C205" w:rsidR="001C45CA" w:rsidRDefault="001C45CA" w:rsidP="001C45CA">
      <w:pPr>
        <w:pStyle w:val="Caption"/>
        <w:rPr>
          <w:color w:val="44546A" w:themeColor="text2"/>
          <w:sz w:val="26"/>
          <w:szCs w:val="26"/>
        </w:rPr>
      </w:pPr>
      <w:bookmarkStart w:id="377" w:name="_Ref57300094"/>
      <w:r>
        <w:rPr>
          <w:color w:val="44546A" w:themeColor="text2"/>
          <w:sz w:val="26"/>
          <w:szCs w:val="26"/>
        </w:rPr>
        <w:t>Matter Transport and Coorong Habitat</w:t>
      </w:r>
    </w:p>
    <w:p w14:paraId="5BAE026F" w14:textId="77777777" w:rsidR="00020354" w:rsidRPr="000022B1" w:rsidRDefault="00020354" w:rsidP="000022B1">
      <w:pPr>
        <w:rPr>
          <w:b/>
          <w:bCs/>
          <w:i/>
          <w:iCs/>
          <w:color w:val="44546A" w:themeColor="text2"/>
          <w:sz w:val="24"/>
          <w:szCs w:val="24"/>
        </w:rPr>
      </w:pPr>
      <w:r w:rsidRPr="000022B1">
        <w:rPr>
          <w:b/>
          <w:bCs/>
          <w:i/>
          <w:iCs/>
          <w:color w:val="44546A" w:themeColor="text2"/>
          <w:sz w:val="24"/>
          <w:szCs w:val="24"/>
        </w:rPr>
        <w:t>Methods</w:t>
      </w:r>
    </w:p>
    <w:p w14:paraId="3DA0387D" w14:textId="77777777" w:rsidR="00020354" w:rsidRDefault="00020354" w:rsidP="00020354">
      <w:pPr>
        <w:rPr>
          <w:rFonts w:eastAsia="Arial Unicode MS"/>
          <w:lang w:eastAsia="en-AU"/>
        </w:rPr>
      </w:pPr>
      <w:r>
        <w:rPr>
          <w:rFonts w:eastAsia="Arial Unicode MS"/>
          <w:lang w:eastAsia="en-AU"/>
        </w:rPr>
        <w:t>The contribution of environmental water to the transport of salt, nutrients and phytoplankton was assessed with a coupled hydrodynamic–biogeochemical model for the reach below Lock 1 to the Murray Mouth. Salt, nutrient and phytoplankton transport was predicted for three different flow scenarios: with all environmental water (i.e. the observed flow), flow without Commonwealth environmental water, and flow without any environmental water (i.e. counter-factual simulations assessing what would have happened if flows were not augmented with environmental water).</w:t>
      </w:r>
    </w:p>
    <w:p w14:paraId="46A3D6EC" w14:textId="77777777" w:rsidR="00020354" w:rsidRDefault="00020354" w:rsidP="00020354">
      <w:pPr>
        <w:rPr>
          <w:i/>
          <w:u w:val="single"/>
        </w:rPr>
      </w:pPr>
      <w:r>
        <w:rPr>
          <w:rFonts w:eastAsia="Arial Unicode MS"/>
          <w:lang w:eastAsia="en-AU"/>
        </w:rPr>
        <w:t xml:space="preserve">When modelling, it is necessary to make assumptions on the relationships between flow and nutrients or salt, nutrient dynamics in sediments and floodplain habitats, and the utilisation of nutrients by phytoplankton. This leads to a degree of uncertainty in model outputs; however, given previous model development and validation initiatives over the past decade, it is considered that this uncertainty is within reasonable bounds (Aldridge </w:t>
      </w:r>
      <w:r>
        <w:rPr>
          <w:rFonts w:eastAsia="Arial Unicode MS"/>
          <w:i/>
          <w:lang w:eastAsia="en-AU"/>
        </w:rPr>
        <w:t>et al.</w:t>
      </w:r>
      <w:r>
        <w:rPr>
          <w:rFonts w:eastAsia="Arial Unicode MS"/>
          <w:lang w:eastAsia="en-AU"/>
        </w:rPr>
        <w:t xml:space="preserve"> 2013) and the results can be used to reliably assess the general response attributable to environmental water.</w:t>
      </w:r>
    </w:p>
    <w:p w14:paraId="377AD0B5" w14:textId="77777777" w:rsidR="00020354" w:rsidRDefault="00020354" w:rsidP="00020354">
      <w:pPr>
        <w:rPr>
          <w:i/>
          <w:u w:val="single"/>
        </w:rPr>
      </w:pPr>
      <w:r>
        <w:rPr>
          <w:i/>
          <w:u w:val="single"/>
        </w:rPr>
        <w:t>Water quality sampling and analyses</w:t>
      </w:r>
    </w:p>
    <w:p w14:paraId="7DA5816C" w14:textId="77777777" w:rsidR="00020354" w:rsidRDefault="00020354" w:rsidP="00020354">
      <w:r>
        <w:t xml:space="preserve">Water temperature, electrical conductivity, dissolved oxygen, </w:t>
      </w:r>
      <w:proofErr w:type="gramStart"/>
      <w:r>
        <w:t>pH</w:t>
      </w:r>
      <w:proofErr w:type="gramEnd"/>
      <w:r>
        <w:t xml:space="preserve"> and turbidity were monitored in the Murray River Channel (at Morgan) between July 2019 and June 2020. In addition, integrated-depth water samples were collected and sent to the Australian Water Quality Centre, a National Association of Testing Authorities accredited laboratory. Samples were analysed for filterable reactive phosphorus (hereafter referred to as phosphate), total phosphorus (TP), combined nitrate and nitrite (NOx), ammonium, total </w:t>
      </w:r>
      <w:proofErr w:type="spellStart"/>
      <w:r>
        <w:t>Kjeldahl</w:t>
      </w:r>
      <w:proofErr w:type="spellEnd"/>
      <w:r>
        <w:t xml:space="preserve"> nitrogen (TN), dissolved silica and chlorophyll </w:t>
      </w:r>
      <w:r>
        <w:rPr>
          <w:i/>
        </w:rPr>
        <w:t>a</w:t>
      </w:r>
      <w:r>
        <w:t xml:space="preserve"> using standard techniques. Organic nitrogen was calculated as the difference between total </w:t>
      </w:r>
      <w:proofErr w:type="spellStart"/>
      <w:r>
        <w:t>Kjeldahl</w:t>
      </w:r>
      <w:proofErr w:type="spellEnd"/>
      <w:r>
        <w:t xml:space="preserve"> nitrogen and ammonium.</w:t>
      </w:r>
      <w:r w:rsidRPr="007A596F">
        <w:t xml:space="preserve"> </w:t>
      </w:r>
      <w:r>
        <w:t xml:space="preserve">These nutrient concentrations are representative of conditions in the river and </w:t>
      </w:r>
      <w:proofErr w:type="gramStart"/>
      <w:r>
        <w:t>Coorong,</w:t>
      </w:r>
      <w:proofErr w:type="gramEnd"/>
      <w:r>
        <w:t xml:space="preserve"> however, salinity was measured more frequently in the river and Coorong enabling use of this data for the 2019-20 modelling and analysis.</w:t>
      </w:r>
    </w:p>
    <w:p w14:paraId="51630BFD" w14:textId="77777777" w:rsidR="00020354" w:rsidRDefault="00020354" w:rsidP="00020354">
      <w:pPr>
        <w:rPr>
          <w:i/>
          <w:u w:val="single"/>
        </w:rPr>
      </w:pPr>
      <w:r>
        <w:rPr>
          <w:i/>
          <w:u w:val="single"/>
        </w:rPr>
        <w:t>Hydrodynamic–biogeochemical modelling</w:t>
      </w:r>
    </w:p>
    <w:p w14:paraId="5FCFB735" w14:textId="076E0E2E" w:rsidR="00020354" w:rsidRDefault="00020354" w:rsidP="00020354">
      <w:r>
        <w:rPr>
          <w:lang w:val="en-US"/>
        </w:rPr>
        <w:t xml:space="preserve">The model platform used to assess the effects of environmental water delivery on salt and nutrient transport was the coupled hydrodynamic–biogeochemical model “TUFLOW-FV – AED” (referred to as FV-AED for short), developed by BMT Global Pty Ltd. and the University of Western Australia. </w:t>
      </w:r>
      <w:r>
        <w:t>TUFLOW-FV has been used extensively in the region for hydrological assessments and was previously used to assess the contribution of environmental water to dissolved and particulate matter for water years 2013-14 to 2018-19 (</w:t>
      </w:r>
      <w:r>
        <w:rPr>
          <w:color w:val="auto"/>
          <w:lang w:val="en-US"/>
        </w:rPr>
        <w:t xml:space="preserve">Ye </w:t>
      </w:r>
      <w:r>
        <w:rPr>
          <w:i/>
          <w:color w:val="auto"/>
          <w:lang w:val="en-US"/>
        </w:rPr>
        <w:t>et al</w:t>
      </w:r>
      <w:r>
        <w:rPr>
          <w:color w:val="auto"/>
          <w:lang w:val="en-US"/>
        </w:rPr>
        <w:t>. 2016a; 2020</w:t>
      </w:r>
      <w:r>
        <w:t xml:space="preserve">). </w:t>
      </w:r>
    </w:p>
    <w:p w14:paraId="3EB46557" w14:textId="33AC1B98" w:rsidR="00020354" w:rsidRDefault="00020354" w:rsidP="00020354">
      <w:pPr>
        <w:rPr>
          <w:lang w:val="en-US"/>
        </w:rPr>
      </w:pPr>
      <w:r>
        <w:t xml:space="preserve">In this assessment, </w:t>
      </w:r>
      <w:r>
        <w:rPr>
          <w:lang w:val="en-US"/>
        </w:rPr>
        <w:t>two model domains were applied spanning: (1) Lock 1 to the Southern Ocean, including the Coorong (</w:t>
      </w:r>
      <w:r>
        <w:rPr>
          <w:lang w:val="en-US"/>
        </w:rPr>
        <w:fldChar w:fldCharType="begin"/>
      </w:r>
      <w:r>
        <w:rPr>
          <w:lang w:val="en-US"/>
        </w:rPr>
        <w:instrText xml:space="preserve"> REF _Ref25825173 \h </w:instrText>
      </w:r>
      <w:r>
        <w:rPr>
          <w:lang w:val="en-US"/>
        </w:rPr>
      </w:r>
      <w:r>
        <w:rPr>
          <w:lang w:val="en-US"/>
        </w:rPr>
        <w:fldChar w:fldCharType="separate"/>
      </w:r>
      <w:r w:rsidR="006045CA">
        <w:t xml:space="preserve">Figure </w:t>
      </w:r>
      <w:r w:rsidR="006045CA">
        <w:rPr>
          <w:noProof/>
        </w:rPr>
        <w:t>23</w:t>
      </w:r>
      <w:r>
        <w:rPr>
          <w:lang w:val="en-US"/>
        </w:rPr>
        <w:fldChar w:fldCharType="end"/>
      </w:r>
      <w:r>
        <w:rPr>
          <w:lang w:val="en-US"/>
        </w:rPr>
        <w:t>), and (2) a high-resolution Coorong only model (described further below). The TUFLOW-FV model adopts an unstructured-</w:t>
      </w:r>
      <w:r>
        <w:rPr>
          <w:color w:val="auto"/>
          <w:lang w:val="en-US"/>
        </w:rPr>
        <w:t xml:space="preserve">mesh to resolve </w:t>
      </w:r>
      <w:proofErr w:type="spellStart"/>
      <w:r>
        <w:rPr>
          <w:color w:val="auto"/>
          <w:lang w:val="en-US"/>
        </w:rPr>
        <w:t>spatio</w:t>
      </w:r>
      <w:proofErr w:type="spellEnd"/>
      <w:r>
        <w:rPr>
          <w:color w:val="auto"/>
          <w:lang w:val="en-US"/>
        </w:rPr>
        <w:t xml:space="preserve">-temporal changes in water velocity, </w:t>
      </w:r>
      <w:proofErr w:type="gramStart"/>
      <w:r>
        <w:rPr>
          <w:color w:val="auto"/>
          <w:lang w:val="en-US"/>
        </w:rPr>
        <w:t>temperature</w:t>
      </w:r>
      <w:proofErr w:type="gramEnd"/>
      <w:r>
        <w:rPr>
          <w:color w:val="auto"/>
          <w:lang w:val="en-US"/>
        </w:rPr>
        <w:t xml:space="preserve"> and salinity dynamics, in response to changing meteorological and inflow conditions. Superimposed on the hydrodynamics, the Aquatic </w:t>
      </w:r>
      <w:proofErr w:type="spellStart"/>
      <w:r>
        <w:rPr>
          <w:color w:val="auto"/>
          <w:lang w:val="en-US"/>
        </w:rPr>
        <w:t>EcoDynamics</w:t>
      </w:r>
      <w:proofErr w:type="spellEnd"/>
      <w:r>
        <w:rPr>
          <w:color w:val="auto"/>
          <w:lang w:val="en-US"/>
        </w:rPr>
        <w:t xml:space="preserve"> (AED) water quality modules were configured to simulate the dynamics of light, oxygen, nutrients, organic matter, </w:t>
      </w:r>
      <w:proofErr w:type="gramStart"/>
      <w:r>
        <w:rPr>
          <w:color w:val="auto"/>
          <w:lang w:val="en-US"/>
        </w:rPr>
        <w:t>turbidity</w:t>
      </w:r>
      <w:proofErr w:type="gramEnd"/>
      <w:r>
        <w:rPr>
          <w:color w:val="auto"/>
          <w:lang w:val="en-US"/>
        </w:rPr>
        <w:t xml:space="preserve"> and phytoplankton.</w:t>
      </w:r>
      <w:r>
        <w:rPr>
          <w:lang w:val="en-US"/>
        </w:rPr>
        <w:t xml:space="preserve"> Both model domains mentioned above were configured to simulate the same hydrologic and biogeochemical processes, however the Coorong only model had a higher resolution mesh for better resolving the water quality conditions, and it was also required for the habitat assessment of </w:t>
      </w:r>
      <w:proofErr w:type="spellStart"/>
      <w:r>
        <w:rPr>
          <w:i/>
          <w:lang w:val="en-US"/>
        </w:rPr>
        <w:t>Ruppia</w:t>
      </w:r>
      <w:proofErr w:type="spellEnd"/>
      <w:r>
        <w:rPr>
          <w:lang w:val="en-US"/>
        </w:rPr>
        <w:t xml:space="preserve"> and the various fish species of interest (Section 2.3.2).</w:t>
      </w:r>
    </w:p>
    <w:p w14:paraId="29A08277" w14:textId="7962F428" w:rsidR="00020354" w:rsidRDefault="00020354" w:rsidP="00020354">
      <w:pPr>
        <w:rPr>
          <w:lang w:val="en-US"/>
        </w:rPr>
      </w:pPr>
      <w:r>
        <w:rPr>
          <w:lang w:val="en-US"/>
        </w:rPr>
        <w:t xml:space="preserve">The first model runs with the full domain were </w:t>
      </w:r>
      <w:proofErr w:type="spellStart"/>
      <w:r>
        <w:rPr>
          <w:lang w:val="en-US"/>
        </w:rPr>
        <w:t>initialised</w:t>
      </w:r>
      <w:proofErr w:type="spellEnd"/>
      <w:r>
        <w:rPr>
          <w:lang w:val="en-US"/>
        </w:rPr>
        <w:t xml:space="preserve"> with data from a range of sources. Inflow data (Lock 1), used to drive the main river domain, were provided by the MDBA for the three scenarios (</w:t>
      </w:r>
      <w:r>
        <w:rPr>
          <w:lang w:val="en-US"/>
        </w:rPr>
        <w:fldChar w:fldCharType="begin"/>
      </w:r>
      <w:r>
        <w:rPr>
          <w:lang w:val="en-US"/>
        </w:rPr>
        <w:instrText xml:space="preserve"> REF _Ref25581279 \h </w:instrText>
      </w:r>
      <w:r>
        <w:rPr>
          <w:lang w:val="en-US"/>
        </w:rPr>
      </w:r>
      <w:r>
        <w:rPr>
          <w:lang w:val="en-US"/>
        </w:rPr>
        <w:fldChar w:fldCharType="separate"/>
      </w:r>
      <w:r w:rsidR="006045CA">
        <w:t xml:space="preserve">Figure </w:t>
      </w:r>
      <w:r w:rsidR="006045CA">
        <w:rPr>
          <w:noProof/>
        </w:rPr>
        <w:t>24</w:t>
      </w:r>
      <w:r>
        <w:rPr>
          <w:lang w:val="en-US"/>
        </w:rPr>
        <w:fldChar w:fldCharType="end"/>
      </w:r>
      <w:r>
        <w:rPr>
          <w:lang w:val="en-US"/>
        </w:rPr>
        <w:t xml:space="preserve">), </w:t>
      </w:r>
      <w:proofErr w:type="gramStart"/>
      <w:r>
        <w:rPr>
          <w:lang w:val="en-US"/>
        </w:rPr>
        <w:t>i.e.</w:t>
      </w:r>
      <w:proofErr w:type="gramEnd"/>
      <w:r>
        <w:rPr>
          <w:lang w:val="en-US"/>
        </w:rPr>
        <w:t xml:space="preserve"> with all environmental water (“</w:t>
      </w:r>
      <w:r w:rsidR="00D120D3">
        <w:rPr>
          <w:b/>
          <w:bCs/>
          <w:i/>
          <w:iCs/>
          <w:lang w:val="en-US"/>
        </w:rPr>
        <w:t>A</w:t>
      </w:r>
      <w:r w:rsidRPr="00E94481">
        <w:rPr>
          <w:b/>
          <w:bCs/>
          <w:i/>
          <w:iCs/>
          <w:lang w:val="en-US"/>
        </w:rPr>
        <w:t>ll water</w:t>
      </w:r>
      <w:r>
        <w:rPr>
          <w:lang w:val="en-US"/>
        </w:rPr>
        <w:t>”, representing observed conditions), without Commonwealth environmental water (“</w:t>
      </w:r>
      <w:r w:rsidRPr="00E94481">
        <w:rPr>
          <w:b/>
          <w:bCs/>
          <w:i/>
          <w:iCs/>
          <w:lang w:val="en-US"/>
        </w:rPr>
        <w:t>no CEW</w:t>
      </w:r>
      <w:r>
        <w:rPr>
          <w:lang w:val="en-US"/>
        </w:rPr>
        <w:t>”), and without any environmental water (“</w:t>
      </w:r>
      <w:r w:rsidRPr="00E94481">
        <w:rPr>
          <w:b/>
          <w:bCs/>
          <w:i/>
          <w:iCs/>
          <w:lang w:val="en-US"/>
        </w:rPr>
        <w:t>no eWater</w:t>
      </w:r>
      <w:r>
        <w:rPr>
          <w:lang w:val="en-US"/>
        </w:rPr>
        <w:t xml:space="preserve">”). These simulations extend previous model runs that started 1 July 2014 (Ye </w:t>
      </w:r>
      <w:r w:rsidRPr="00375253">
        <w:rPr>
          <w:i/>
          <w:iCs/>
          <w:lang w:val="en-US"/>
        </w:rPr>
        <w:t>et al</w:t>
      </w:r>
      <w:r w:rsidRPr="003A6F19">
        <w:rPr>
          <w:lang w:val="en-US"/>
        </w:rPr>
        <w:t>.</w:t>
      </w:r>
      <w:r>
        <w:rPr>
          <w:lang w:val="en-US"/>
        </w:rPr>
        <w:t xml:space="preserve"> 2020</w:t>
      </w:r>
      <w:proofErr w:type="gramStart"/>
      <w:r>
        <w:rPr>
          <w:lang w:val="en-US"/>
        </w:rPr>
        <w:t>), and</w:t>
      </w:r>
      <w:proofErr w:type="gramEnd"/>
      <w:r>
        <w:rPr>
          <w:lang w:val="en-US"/>
        </w:rPr>
        <w:t xml:space="preserve"> were run for this assessment for the period between 1 July 2019 and 30 June 2020. </w:t>
      </w:r>
    </w:p>
    <w:p w14:paraId="48E40275" w14:textId="77777777" w:rsidR="00020354" w:rsidRDefault="00020354" w:rsidP="00020354">
      <w:pPr>
        <w:rPr>
          <w:lang w:val="en-US"/>
        </w:rPr>
      </w:pPr>
      <w:r>
        <w:t>A</w:t>
      </w:r>
      <w:proofErr w:type="spellStart"/>
      <w:r>
        <w:rPr>
          <w:lang w:val="en-US"/>
        </w:rPr>
        <w:t>dditional</w:t>
      </w:r>
      <w:proofErr w:type="spellEnd"/>
      <w:r>
        <w:rPr>
          <w:lang w:val="en-US"/>
        </w:rPr>
        <w:t xml:space="preserve"> flow specifications for SA Water off-takes were also included. Irrigation return flows were assumed to be negligible over this period and were not included in the model. Similarly, flows from Eastern Mount Lofty Ranges were not included since their contribution to the Lower Lakes </w:t>
      </w:r>
      <w:proofErr w:type="gramStart"/>
      <w:r>
        <w:rPr>
          <w:lang w:val="en-US"/>
        </w:rPr>
        <w:t>was</w:t>
      </w:r>
      <w:r>
        <w:rPr>
          <w:color w:val="auto"/>
          <w:lang w:val="en-US"/>
        </w:rPr>
        <w:t xml:space="preserve"> considered to be</w:t>
      </w:r>
      <w:proofErr w:type="gramEnd"/>
      <w:r>
        <w:rPr>
          <w:color w:val="auto"/>
          <w:lang w:val="en-US"/>
        </w:rPr>
        <w:t xml:space="preserve"> relatively minor (Cook</w:t>
      </w:r>
      <w:r>
        <w:rPr>
          <w:i/>
          <w:iCs/>
          <w:color w:val="auto"/>
          <w:lang w:val="en-US"/>
        </w:rPr>
        <w:t xml:space="preserve"> et al.</w:t>
      </w:r>
      <w:r>
        <w:rPr>
          <w:color w:val="auto"/>
          <w:lang w:val="en-US"/>
        </w:rPr>
        <w:t xml:space="preserve"> 2010). Meteorological conditions were based on </w:t>
      </w:r>
      <w:r>
        <w:rPr>
          <w:lang w:val="en-US"/>
        </w:rPr>
        <w:t xml:space="preserve">data from </w:t>
      </w:r>
      <w:proofErr w:type="spellStart"/>
      <w:r>
        <w:rPr>
          <w:lang w:val="en-US"/>
        </w:rPr>
        <w:t>Narrung</w:t>
      </w:r>
      <w:proofErr w:type="spellEnd"/>
      <w:r>
        <w:rPr>
          <w:lang w:val="en-US"/>
        </w:rPr>
        <w:t>. Between Lake Alexandrina and the Coorong, five barrages were included (</w:t>
      </w:r>
      <w:proofErr w:type="spellStart"/>
      <w:r>
        <w:rPr>
          <w:lang w:val="en-US"/>
        </w:rPr>
        <w:t>Goolwa</w:t>
      </w:r>
      <w:proofErr w:type="spellEnd"/>
      <w:r>
        <w:rPr>
          <w:lang w:val="en-US"/>
        </w:rPr>
        <w:t xml:space="preserve">, </w:t>
      </w:r>
      <w:proofErr w:type="spellStart"/>
      <w:r>
        <w:rPr>
          <w:lang w:val="en-US"/>
        </w:rPr>
        <w:t>Mundoo</w:t>
      </w:r>
      <w:proofErr w:type="spellEnd"/>
      <w:r>
        <w:rPr>
          <w:lang w:val="en-US"/>
        </w:rPr>
        <w:t xml:space="preserve">, Boundary Creek, Ewe Island and </w:t>
      </w:r>
      <w:proofErr w:type="spellStart"/>
      <w:r>
        <w:rPr>
          <w:lang w:val="en-US"/>
        </w:rPr>
        <w:t>Tauwitchere</w:t>
      </w:r>
      <w:proofErr w:type="spellEnd"/>
      <w:r>
        <w:rPr>
          <w:lang w:val="en-US"/>
        </w:rPr>
        <w:t xml:space="preserve">) and set with a spill-over height of 0.72 m AHD. The barrage operation was set to include gate operation based on operational information provided through discussions with representatives of DEW. At the bottom of the domain, two open boundaries were specified, one at the Murray Mouth and one at Salt Creek. Murray Mouth water level was based on Victor Harbor tidal data, which were available at </w:t>
      </w:r>
      <w:proofErr w:type="gramStart"/>
      <w:r>
        <w:rPr>
          <w:lang w:val="en-US"/>
        </w:rPr>
        <w:t>10 minute</w:t>
      </w:r>
      <w:proofErr w:type="gramEnd"/>
      <w:r>
        <w:rPr>
          <w:lang w:val="en-US"/>
        </w:rPr>
        <w:t xml:space="preserve"> resolution. Salt Creek flow data were set based on available flow data from the </w:t>
      </w:r>
      <w:proofErr w:type="spellStart"/>
      <w:r>
        <w:rPr>
          <w:lang w:val="en-US"/>
        </w:rPr>
        <w:t>WaterConnect</w:t>
      </w:r>
      <w:proofErr w:type="spellEnd"/>
      <w:r>
        <w:rPr>
          <w:lang w:val="en-US"/>
        </w:rPr>
        <w:t xml:space="preserve"> website (DEW).</w:t>
      </w:r>
    </w:p>
    <w:p w14:paraId="6E3F2AF4" w14:textId="77777777" w:rsidR="00020354" w:rsidRDefault="00020354" w:rsidP="00020354">
      <w:pPr>
        <w:widowControl w:val="0"/>
      </w:pPr>
      <w:r>
        <w:rPr>
          <w:lang w:val="en-US"/>
        </w:rPr>
        <w:t xml:space="preserve">Water quality conditions for both boundary points were set based on a linear interpolation of the measured nutrient and salinity data used for this study. Water quality conditions for the river inflow at Lock 1 were determined based on interpolation of available data from Lock 1 or Morgan. For water quality properties for the without environmental water scenarios, rating curves were developed for flow and concentration. Based on the daily flow difference, a scaled concentration was estimated for water quality parameters including salinity, phosphate, ammonium, nitrate, total </w:t>
      </w:r>
      <w:proofErr w:type="gramStart"/>
      <w:r>
        <w:rPr>
          <w:lang w:val="en-US"/>
        </w:rPr>
        <w:t>nitrogen</w:t>
      </w:r>
      <w:proofErr w:type="gramEnd"/>
      <w:r>
        <w:rPr>
          <w:lang w:val="en-US"/>
        </w:rPr>
        <w:t xml:space="preserve"> and silica. </w:t>
      </w:r>
      <w:r>
        <w:t xml:space="preserve">The </w:t>
      </w:r>
      <w:proofErr w:type="spellStart"/>
      <w:r>
        <w:t>physico</w:t>
      </w:r>
      <w:proofErr w:type="spellEnd"/>
      <w:r>
        <w:t xml:space="preserve">-chemical information at other sites was used to validate the model. </w:t>
      </w:r>
    </w:p>
    <w:p w14:paraId="085FB46D" w14:textId="4FEB52BF" w:rsidR="00020354" w:rsidRDefault="00020354" w:rsidP="00020354">
      <w:r>
        <w:t>The influence of environmental water on the concentrations of matter was assessed through a comparison of modelled concentrations for the various scenarios for the Barrages and Coorong. Modelled concentrations are presented as medians of modelled cells within areas surrounding sampling sites (</w:t>
      </w:r>
      <w:r>
        <w:fldChar w:fldCharType="begin"/>
      </w:r>
      <w:r>
        <w:instrText xml:space="preserve"> REF _Ref25581312 \h </w:instrText>
      </w:r>
      <w:r>
        <w:fldChar w:fldCharType="separate"/>
      </w:r>
      <w:r w:rsidR="002C2611">
        <w:t xml:space="preserve">Figure </w:t>
      </w:r>
      <w:r w:rsidR="002C2611">
        <w:rPr>
          <w:noProof/>
        </w:rPr>
        <w:t>25</w:t>
      </w:r>
      <w:r>
        <w:fldChar w:fldCharType="end"/>
      </w:r>
      <w:r>
        <w:t>). A range in concentrations within those cells is also presented for the ‘</w:t>
      </w:r>
      <w:r w:rsidR="00D120D3">
        <w:t>A</w:t>
      </w:r>
      <w:r>
        <w:t xml:space="preserve">ll water’ scenario. </w:t>
      </w:r>
    </w:p>
    <w:p w14:paraId="780C5162" w14:textId="77777777" w:rsidR="00020354" w:rsidRDefault="00020354" w:rsidP="00020354">
      <w:r>
        <w:t xml:space="preserve">The transport of matter was assessed through modelled exports from the Murray River Channel (Wellington), Lower Lakes (Barrages) and Coorong (Murray Mouth). Findings are presented for salinity, ammonium, phosphate, dissolved silica, organic nitrogen, organic </w:t>
      </w:r>
      <w:proofErr w:type="gramStart"/>
      <w:r>
        <w:t>phosphorus</w:t>
      </w:r>
      <w:proofErr w:type="gramEnd"/>
      <w:r>
        <w:t xml:space="preserve"> and chlorophyll </w:t>
      </w:r>
      <w:r>
        <w:rPr>
          <w:i/>
        </w:rPr>
        <w:t>a</w:t>
      </w:r>
      <w:r>
        <w:t xml:space="preserve">. Salinity is presented as practical salinity units (PSU), a measurement of the </w:t>
      </w:r>
      <w:r>
        <w:rPr>
          <w:rFonts w:eastAsiaTheme="minorHAnsi"/>
          <w:color w:val="auto"/>
          <w:kern w:val="0"/>
        </w:rPr>
        <w:t>measured conductivity to standard potassium chloride (</w:t>
      </w:r>
      <w:proofErr w:type="spellStart"/>
      <w:r>
        <w:rPr>
          <w:rFonts w:eastAsiaTheme="minorHAnsi"/>
          <w:color w:val="auto"/>
          <w:kern w:val="0"/>
        </w:rPr>
        <w:t>KCl</w:t>
      </w:r>
      <w:proofErr w:type="spellEnd"/>
      <w:r>
        <w:rPr>
          <w:rFonts w:eastAsiaTheme="minorHAnsi"/>
          <w:color w:val="auto"/>
          <w:kern w:val="0"/>
        </w:rPr>
        <w:t>) conductivity</w:t>
      </w:r>
      <w:r>
        <w:t xml:space="preserve">. PSU was used for validating model outputs as it overcomes observed differences in electrical conductivity caused by changes in water temperature. One PSU is approximately equal to one part per thousand. </w:t>
      </w:r>
    </w:p>
    <w:p w14:paraId="0B9B1970" w14:textId="77777777" w:rsidR="00020354" w:rsidRDefault="00020354" w:rsidP="00020354">
      <w:r>
        <w:rPr>
          <w:lang w:val="en-US"/>
        </w:rPr>
        <w:t>The</w:t>
      </w:r>
      <w:r>
        <w:t xml:space="preserve"> inflow data that were </w:t>
      </w:r>
      <w:r>
        <w:rPr>
          <w:lang w:val="en-US"/>
        </w:rPr>
        <w:t xml:space="preserve">used to drive the main river domain </w:t>
      </w:r>
      <w:r>
        <w:t>are treated as indicative only as they do not account for all complexities associated with water accounting, water attenuation through the system and different management decisions that may have been made if the volume of environmental water provided had not been available (</w:t>
      </w:r>
      <w:r>
        <w:rPr>
          <w:rFonts w:cs="Arial"/>
          <w:color w:val="222222"/>
          <w:szCs w:val="22"/>
          <w:shd w:val="clear" w:color="auto" w:fill="FFFFFF"/>
        </w:rPr>
        <w:t>Neville Garland, MDBA,</w:t>
      </w:r>
      <w:r>
        <w:t xml:space="preserve"> pers. comm.</w:t>
      </w:r>
      <w:r>
        <w:rPr>
          <w:rFonts w:cs="Arial"/>
          <w:color w:val="222222"/>
          <w:szCs w:val="22"/>
          <w:shd w:val="clear" w:color="auto" w:fill="FFFFFF"/>
        </w:rPr>
        <w:t>)</w:t>
      </w:r>
      <w:r>
        <w:rPr>
          <w:szCs w:val="22"/>
        </w:rPr>
        <w:t>.</w:t>
      </w:r>
      <w:r>
        <w:t xml:space="preserve"> Assumptions made to address these complexities result in uncertainty in the model outputs and so outputs are not to be treated as absolute values </w:t>
      </w:r>
      <w:r>
        <w:rPr>
          <w:noProof/>
        </w:rPr>
        <w:t>(refer to Aldridge</w:t>
      </w:r>
      <w:r>
        <w:rPr>
          <w:i/>
          <w:noProof/>
        </w:rPr>
        <w:t xml:space="preserve"> et al.</w:t>
      </w:r>
      <w:r>
        <w:rPr>
          <w:noProof/>
        </w:rPr>
        <w:t xml:space="preserve"> 2013 for more detail)</w:t>
      </w:r>
      <w:r>
        <w:t>. When assessing the relative differences between scenarios, the uncertainties are considered to influence the accuracy of each scenario equally and so the model outputs are used to assess the general response to environmental water delivery.</w:t>
      </w:r>
    </w:p>
    <w:p w14:paraId="582B827A" w14:textId="25152CE1" w:rsidR="00020354" w:rsidRDefault="00020354" w:rsidP="00020354">
      <w:pPr>
        <w:rPr>
          <w:lang w:val="en-US"/>
        </w:rPr>
      </w:pPr>
      <w:r>
        <w:rPr>
          <w:lang w:val="en-US"/>
        </w:rPr>
        <w:t xml:space="preserve">Given the increasing efforts to improve and restore the Coorong, a high-resolution model of the Coorong was developed, which </w:t>
      </w:r>
      <w:proofErr w:type="gramStart"/>
      <w:r>
        <w:rPr>
          <w:lang w:val="en-US"/>
        </w:rPr>
        <w:t>is considered to be</w:t>
      </w:r>
      <w:proofErr w:type="gramEnd"/>
      <w:r>
        <w:rPr>
          <w:lang w:val="en-US"/>
        </w:rPr>
        <w:t xml:space="preserve"> more accurate in resolving the salt, nutrients and habitat across the system. The Coorong only domain (</w:t>
      </w:r>
      <w:r>
        <w:rPr>
          <w:lang w:val="en-US"/>
        </w:rPr>
        <w:fldChar w:fldCharType="begin"/>
      </w:r>
      <w:r>
        <w:rPr>
          <w:lang w:val="en-US"/>
        </w:rPr>
        <w:instrText xml:space="preserve"> REF _Ref63244347 \h </w:instrText>
      </w:r>
      <w:r>
        <w:rPr>
          <w:lang w:val="en-US"/>
        </w:rPr>
      </w:r>
      <w:r>
        <w:rPr>
          <w:lang w:val="en-US"/>
        </w:rPr>
        <w:fldChar w:fldCharType="separate"/>
      </w:r>
      <w:r w:rsidR="006045CA">
        <w:t xml:space="preserve">Figure </w:t>
      </w:r>
      <w:r w:rsidR="006045CA">
        <w:rPr>
          <w:noProof/>
        </w:rPr>
        <w:t>26</w:t>
      </w:r>
      <w:r>
        <w:rPr>
          <w:lang w:val="en-US"/>
        </w:rPr>
        <w:fldChar w:fldCharType="end"/>
      </w:r>
      <w:r>
        <w:rPr>
          <w:lang w:val="en-US"/>
        </w:rPr>
        <w:t xml:space="preserve">) was run under the same scenarios above, but due to the long residence time, these simulations were run from 1 July 2017 to 30 June 2020, i.e., a period of three years; this window was chosen as it began after the high flow event in 2016 which “reset” salinity levels in the Coorong. The simulation included gauged Salt Creek inputs and measured ocean water levels based on the Barker Knoll telemetered site. Weather data were also used as a boundary condition, </w:t>
      </w:r>
      <w:proofErr w:type="gramStart"/>
      <w:r>
        <w:rPr>
          <w:lang w:val="en-US"/>
        </w:rPr>
        <w:t>in order to</w:t>
      </w:r>
      <w:proofErr w:type="gramEnd"/>
      <w:r>
        <w:rPr>
          <w:lang w:val="en-US"/>
        </w:rPr>
        <w:t xml:space="preserve"> predict the effect of wind and </w:t>
      </w:r>
      <w:proofErr w:type="spellStart"/>
      <w:r>
        <w:rPr>
          <w:lang w:val="en-US"/>
        </w:rPr>
        <w:t>evapo</w:t>
      </w:r>
      <w:proofErr w:type="spellEnd"/>
      <w:r>
        <w:rPr>
          <w:lang w:val="en-US"/>
        </w:rPr>
        <w:t>-concentration effects. Because of the importance of salinity movement in this system, a detailed salt and nutrient flux analysis was undertaken to understand the rate of salt and nutrient accumulation in both the North and South of the Coorong.</w:t>
      </w:r>
    </w:p>
    <w:p w14:paraId="2FA079AE" w14:textId="7E3F1F8B" w:rsidR="00020354" w:rsidRDefault="00020354" w:rsidP="00020354">
      <w:r>
        <w:rPr>
          <w:lang w:val="en-US"/>
        </w:rPr>
        <w:t xml:space="preserve">Rather than predicting barrage flows based on water levels either side of the structures, as done in the full domain model, this simulation specifies the daily barrage flows based </w:t>
      </w:r>
      <w:r w:rsidRPr="008A3EC9">
        <w:rPr>
          <w:lang w:val="en-US"/>
        </w:rPr>
        <w:t>on flow volumes obtained from SA Water</w:t>
      </w:r>
      <w:r>
        <w:rPr>
          <w:lang w:val="en-US"/>
        </w:rPr>
        <w:t xml:space="preserve"> (</w:t>
      </w:r>
      <w:r w:rsidR="00223F88">
        <w:rPr>
          <w:lang w:val="en-US"/>
        </w:rPr>
        <w:t>Figure D1)</w:t>
      </w:r>
      <w:r>
        <w:rPr>
          <w:lang w:val="en-US"/>
        </w:rPr>
        <w:t>. This figure gives context to the period of focus (1 July 2017 to 30 June 2020), highlighting that it was a period of low flow to the Coorong overall.</w:t>
      </w:r>
    </w:p>
    <w:p w14:paraId="3A68D3AA" w14:textId="77777777" w:rsidR="00020354" w:rsidRDefault="00020354" w:rsidP="00020354">
      <w:pPr>
        <w:rPr>
          <w:lang w:val="en-US"/>
        </w:rPr>
      </w:pPr>
      <w:r>
        <w:rPr>
          <w:noProof/>
          <w:lang w:val="en-US"/>
        </w:rPr>
        <w:drawing>
          <wp:inline distT="0" distB="0" distL="0" distR="0" wp14:anchorId="4484C690" wp14:editId="34C25EC6">
            <wp:extent cx="5648325" cy="2972962"/>
            <wp:effectExtent l="0" t="0" r="0" b="0"/>
            <wp:docPr id="79" name="Picture 79"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A picture containing graphical user interface&#10;&#10;Description automatically generated"/>
                    <pic:cNvPicPr>
                      <a:picLocks noChangeAspect="1" noChangeArrowheads="1"/>
                    </pic:cNvPicPr>
                  </pic:nvPicPr>
                  <pic:blipFill rotWithShape="1">
                    <a:blip r:embed="rId123" cstate="email">
                      <a:extLst>
                        <a:ext uri="{28A0092B-C50C-407E-A947-70E740481C1C}">
                          <a14:useLocalDpi xmlns:a14="http://schemas.microsoft.com/office/drawing/2010/main"/>
                        </a:ext>
                      </a:extLst>
                    </a:blip>
                    <a:srcRect/>
                    <a:stretch/>
                  </pic:blipFill>
                  <pic:spPr bwMode="auto">
                    <a:xfrm>
                      <a:off x="0" y="0"/>
                      <a:ext cx="5668390" cy="2983523"/>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inline>
        </w:drawing>
      </w:r>
    </w:p>
    <w:p w14:paraId="628CF739" w14:textId="5F7EB042" w:rsidR="00020354" w:rsidRDefault="00223F88" w:rsidP="00020354">
      <w:pPr>
        <w:pStyle w:val="Caption"/>
      </w:pPr>
      <w:r>
        <w:t>Figure D1</w:t>
      </w:r>
      <w:r w:rsidR="00020354">
        <w:t>. Summary of history of flow over the barrages, from 2016 until mid-2020, spanning the large 2016 flow event, categori</w:t>
      </w:r>
      <w:r w:rsidR="007C2D10">
        <w:t>s</w:t>
      </w:r>
      <w:r w:rsidR="00020354">
        <w:t>ed based on water source.</w:t>
      </w:r>
    </w:p>
    <w:p w14:paraId="54F53713" w14:textId="1DC4F4F9" w:rsidR="00020354" w:rsidRDefault="00020354" w:rsidP="00020354">
      <w:r>
        <w:t>Analysis of the flow over the barrages for the three-year simulation period is shown in more detail in</w:t>
      </w:r>
      <w:r w:rsidR="00223F88">
        <w:t xml:space="preserve"> Figure D2</w:t>
      </w:r>
      <w:r>
        <w:t xml:space="preserve">. As the data provided for the environmental water accounting do not resolve details of specific barrages and are based on estimates, we had to: (1) understand how to distribute the water through the different barrage reaches, and (2) ensure the predicted amounts from the Commonwealth environmental water </w:t>
      </w:r>
      <w:proofErr w:type="spellStart"/>
      <w:r>
        <w:t>water</w:t>
      </w:r>
      <w:proofErr w:type="spellEnd"/>
      <w:r>
        <w:t xml:space="preserve"> balance modelling were consistent with local estimates of barrage flow. Actual estimates of daily barrage flow from each barrage were obtained from SA Water and </w:t>
      </w:r>
      <w:proofErr w:type="gramStart"/>
      <w:r>
        <w:t>DEW, and</w:t>
      </w:r>
      <w:proofErr w:type="gramEnd"/>
      <w:r>
        <w:t xml:space="preserve"> show the dominance of flows through Goolwa and </w:t>
      </w:r>
      <w:proofErr w:type="spellStart"/>
      <w:r>
        <w:t>Tauwitchere</w:t>
      </w:r>
      <w:proofErr w:type="spellEnd"/>
      <w:r>
        <w:t xml:space="preserve"> over the period of interest, with some minor pulse through </w:t>
      </w:r>
      <w:proofErr w:type="spellStart"/>
      <w:r>
        <w:t>Mundoo</w:t>
      </w:r>
      <w:proofErr w:type="spellEnd"/>
      <w:r w:rsidR="00A24026">
        <w:t xml:space="preserve"> (Figure D2a).</w:t>
      </w:r>
      <w:r>
        <w:t xml:space="preserve"> </w:t>
      </w:r>
    </w:p>
    <w:p w14:paraId="5E4EA6EC" w14:textId="61FB4D4A" w:rsidR="00020354" w:rsidRDefault="00020354" w:rsidP="00020354">
      <w:r>
        <w:t xml:space="preserve">We then compared the actual total discharge through the five barrages with the estimate from Commonwealth environmental water </w:t>
      </w:r>
      <w:proofErr w:type="spellStart"/>
      <w:r>
        <w:t>water</w:t>
      </w:r>
      <w:proofErr w:type="spellEnd"/>
      <w:r>
        <w:t xml:space="preserve"> balance models (</w:t>
      </w:r>
      <w:r w:rsidR="00223F88">
        <w:t>Figur</w:t>
      </w:r>
      <w:r w:rsidR="00A24026">
        <w:t>e D2b)</w:t>
      </w:r>
      <w:r>
        <w:t>, and for the former we assigned the fractions of environmental water contributions as specified in the Lock 1 flow data. Whilst there was a simulative difference (bias) between the Commonwealth environmental water data and the SA Government data, the difference was relatively minor. This is further summarised into monthly flow totals</w:t>
      </w:r>
      <w:r w:rsidR="00A24026">
        <w:t xml:space="preserve"> (Figure D2c),</w:t>
      </w:r>
      <w:r>
        <w:t xml:space="preserve"> indicating the flow categories and the nominal percentage of Commonwealth environmental water contribution to the barrage flow for each method. </w:t>
      </w:r>
    </w:p>
    <w:p w14:paraId="0A668F78" w14:textId="77777777" w:rsidR="00020354" w:rsidRDefault="00020354" w:rsidP="00020354">
      <w:r>
        <w:t xml:space="preserve">This provides an independent check on the two sources and methods of flow data </w:t>
      </w:r>
      <w:proofErr w:type="gramStart"/>
      <w:r>
        <w:t>estimation, and</w:t>
      </w:r>
      <w:proofErr w:type="gramEnd"/>
      <w:r>
        <w:t xml:space="preserve"> allows us to combine the data about water source contribution and which specific barrages were active. The analysis highlights that Commonwealth environmental water dominated the barrage flows for this period, in many cases making up 100% of the specified flux into the Murray estuary and Coorong. For the final model simulations of the Coorong, we used the actual SA Government flow data over each of the barrages (called the “Base-case” simulation), and then undertook the following: </w:t>
      </w:r>
      <w:r w:rsidRPr="00565AEA">
        <w:t>S</w:t>
      </w:r>
      <w:r>
        <w:t>cenario 1</w:t>
      </w:r>
      <w:r w:rsidRPr="00565AEA">
        <w:t>: No environmental water across the barrages (</w:t>
      </w:r>
      <w:r>
        <w:t>essentially equating to no barrage flow); and Scenario 2: Observed conditions for 2017-18 and 2018-19 (as the Base-case), and no environmental water for the 2019-20 water year.</w:t>
      </w:r>
    </w:p>
    <w:p w14:paraId="1B9A9901" w14:textId="77777777" w:rsidR="00020354" w:rsidRDefault="00020354" w:rsidP="00020354">
      <w:pPr>
        <w:pStyle w:val="NoSpacing"/>
        <w:jc w:val="center"/>
      </w:pPr>
      <w:r>
        <w:rPr>
          <w:noProof/>
          <w:lang w:bidi="ar-SA"/>
        </w:rPr>
        <w:drawing>
          <wp:inline distT="0" distB="0" distL="0" distR="0" wp14:anchorId="1FBAB151" wp14:editId="58312CAB">
            <wp:extent cx="5723890" cy="2647950"/>
            <wp:effectExtent l="0" t="0" r="0" b="0"/>
            <wp:docPr id="80" name="Picture 80" descr="Histo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istogram&#10;&#10;Description automatically generated with medium confidence"/>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5723890" cy="2647950"/>
                    </a:xfrm>
                    <a:prstGeom prst="rect">
                      <a:avLst/>
                    </a:prstGeom>
                    <a:noFill/>
                    <a:ln>
                      <a:noFill/>
                    </a:ln>
                  </pic:spPr>
                </pic:pic>
              </a:graphicData>
            </a:graphic>
          </wp:inline>
        </w:drawing>
      </w:r>
    </w:p>
    <w:p w14:paraId="14EC8DDD" w14:textId="77777777" w:rsidR="00020354" w:rsidRDefault="00020354" w:rsidP="00020354">
      <w:pPr>
        <w:pStyle w:val="NoSpacing"/>
        <w:jc w:val="center"/>
      </w:pPr>
      <w:r>
        <w:rPr>
          <w:noProof/>
          <w:lang w:bidi="ar-SA"/>
        </w:rPr>
        <mc:AlternateContent>
          <mc:Choice Requires="wps">
            <w:drawing>
              <wp:anchor distT="0" distB="0" distL="114300" distR="114300" simplePos="0" relativeHeight="251692037" behindDoc="0" locked="0" layoutInCell="1" allowOverlap="1" wp14:anchorId="718B7775" wp14:editId="0E72AD75">
                <wp:simplePos x="0" y="0"/>
                <wp:positionH relativeFrom="column">
                  <wp:posOffset>1341120</wp:posOffset>
                </wp:positionH>
                <wp:positionV relativeFrom="paragraph">
                  <wp:posOffset>147955</wp:posOffset>
                </wp:positionV>
                <wp:extent cx="2053590" cy="629285"/>
                <wp:effectExtent l="0" t="0" r="0" b="0"/>
                <wp:wrapNone/>
                <wp:docPr id="7" name="Text Box 7"/>
                <wp:cNvGraphicFramePr/>
                <a:graphic xmlns:a="http://schemas.openxmlformats.org/drawingml/2006/main">
                  <a:graphicData uri="http://schemas.microsoft.com/office/word/2010/wordprocessingShape">
                    <wps:wsp>
                      <wps:cNvSpPr txBox="1"/>
                      <wps:spPr>
                        <a:xfrm>
                          <a:off x="0" y="0"/>
                          <a:ext cx="2052955" cy="629285"/>
                        </a:xfrm>
                        <a:prstGeom prst="rect">
                          <a:avLst/>
                        </a:prstGeom>
                        <a:noFill/>
                        <a:ln w="6350">
                          <a:noFill/>
                        </a:ln>
                      </wps:spPr>
                      <wps:txbx>
                        <w:txbxContent>
                          <w:p w14:paraId="6A880053" w14:textId="77777777" w:rsidR="00A24026" w:rsidRPr="00A229CC" w:rsidRDefault="00A24026" w:rsidP="00020354">
                            <w:pPr>
                              <w:rPr>
                                <w:rFonts w:asciiTheme="minorBidi" w:hAnsiTheme="minorBidi" w:cstheme="minorBidi"/>
                                <w:sz w:val="15"/>
                                <w:szCs w:val="13"/>
                              </w:rPr>
                            </w:pPr>
                            <w:r>
                              <w:rPr>
                                <w:rFonts w:asciiTheme="minorBidi" w:hAnsiTheme="minorBidi" w:cstheme="minorBidi"/>
                                <w:sz w:val="15"/>
                                <w:szCs w:val="13"/>
                              </w:rPr>
                              <w:t>Flow estimated to go over the barrages from the water balance analysis provided by CEWO, categorised based on source.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8B7775" id="Text Box 7" o:spid="_x0000_s1042" type="#_x0000_t202" style="position:absolute;left:0;text-align:left;margin-left:105.6pt;margin-top:11.65pt;width:161.7pt;height:49.55pt;z-index:2516920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qZ8MQIAAFkEAAAOAAAAZHJzL2Uyb0RvYy54bWysVFFv2jAQfp+0/2D5fSRkBEpEqFgrpkmo&#10;rQRVn43jkEiOz7MNCfv1OzuEom5P017M+e7ynb/77ljcd40kJ2FsDSqn41FMiVAcilodcvq6W3+5&#10;o8Q6pgomQYmcnoWl98vPnxatzkQCFchCGIIgymatzmnlnM6iyPJKNMyOQAuFwRJMwxxezSEqDGsR&#10;vZFREsfTqAVTaANcWIvexz5IlwG/LAV3z2VphSMyp/g2F04Tzr0/o+WCZQfDdFXzyzPYP7yiYbXC&#10;oleoR+YYOZr6D6im5gYslG7EoYmgLGsuAgdkM44/sNlWTIvABZtj9bVN9v/B8qfTiyF1kdMZJYo1&#10;KNFOdI58g47MfHdabTNM2mpMcx26UeXBb9HpSXelafwv0iEYxz6fr731YBydSZwm8zSlhGNsmsyT&#10;u9TDRO9fa2PddwEN8UZODWoXWspOG+v61CHFF1OwrqUM+klFWgT9msbhg2sEwaXCGp5D/1ZvuW7f&#10;Bcbj6UBkD8UZ+Rno58Nqvq7xERtm3QszOBBICYfcPeNRSsBicLEoqcD8+pvf56NOGKWkxQHLqf15&#10;ZEZQIn8oVHA+nkz8RIbLJJ0leDG3kf1tRB2bB8AZHuM6aR5Mn+/kYJYGmjfchZWviiGmONbOqRvM&#10;B9ePPe4SF6tVSMIZ1Mxt1FZzD+3b6lu8696Y0RcdHCr4BMMosuyDHH1uL8jq6KCsg1a+0X1XL/3H&#10;+Q1qX3bNL8jtPWS9/yMsfwMAAP//AwBQSwMEFAAGAAgAAAAhAOTASQfhAAAACgEAAA8AAABkcnMv&#10;ZG93bnJldi54bWxMj01Lw0AQhu+C/2GZgje7yaYtJWZTSqAIoofWXrxNstskdD9idttGf73jSW8z&#10;zMM7z1tsJmvYVY+h905COk+Aadd41btWwvF997gGFiI6hcY7LeFLB9iU93cF5srf3F5fD7FlFOJC&#10;jhK6GIec89B02mKY+0E7up38aDHSOrZcjXijcGu4SJIVt9g7+tDhoKtON+fDxUp4qXZvuK+FXX+b&#10;6vn1tB0+jx9LKR9m0/YJWNRT/IPhV5/UoSSn2l+cCsxIEGkqCKUhy4ARsMwWK2A1kUIsgJcF/1+h&#10;/AEAAP//AwBQSwECLQAUAAYACAAAACEAtoM4kv4AAADhAQAAEwAAAAAAAAAAAAAAAAAAAAAAW0Nv&#10;bnRlbnRfVHlwZXNdLnhtbFBLAQItABQABgAIAAAAIQA4/SH/1gAAAJQBAAALAAAAAAAAAAAAAAAA&#10;AC8BAABfcmVscy8ucmVsc1BLAQItABQABgAIAAAAIQDE8qZ8MQIAAFkEAAAOAAAAAAAAAAAAAAAA&#10;AC4CAABkcnMvZTJvRG9jLnhtbFBLAQItABQABgAIAAAAIQDkwEkH4QAAAAoBAAAPAAAAAAAAAAAA&#10;AAAAAIsEAABkcnMvZG93bnJldi54bWxQSwUGAAAAAAQABADzAAAAmQUAAAAA&#10;" filled="f" stroked="f" strokeweight=".5pt">
                <v:textbox>
                  <w:txbxContent>
                    <w:p w14:paraId="6A880053" w14:textId="77777777" w:rsidR="00A24026" w:rsidRPr="00A229CC" w:rsidRDefault="00A24026" w:rsidP="00020354">
                      <w:pPr>
                        <w:rPr>
                          <w:rFonts w:asciiTheme="minorBidi" w:hAnsiTheme="minorBidi" w:cstheme="minorBidi"/>
                          <w:sz w:val="15"/>
                          <w:szCs w:val="13"/>
                        </w:rPr>
                      </w:pPr>
                      <w:r>
                        <w:rPr>
                          <w:rFonts w:asciiTheme="minorBidi" w:hAnsiTheme="minorBidi" w:cstheme="minorBidi"/>
                          <w:sz w:val="15"/>
                          <w:szCs w:val="13"/>
                        </w:rPr>
                        <w:t>Flow estimated to go over the barrages from the water balance analysis provided by CEWO, categorised based on source.</w:t>
                      </w:r>
                    </w:p>
                  </w:txbxContent>
                </v:textbox>
              </v:shape>
            </w:pict>
          </mc:Fallback>
        </mc:AlternateContent>
      </w:r>
      <w:r>
        <w:rPr>
          <w:noProof/>
          <w:lang w:bidi="ar-SA"/>
        </w:rPr>
        <mc:AlternateContent>
          <mc:Choice Requires="wps">
            <w:drawing>
              <wp:anchor distT="0" distB="0" distL="114300" distR="114300" simplePos="0" relativeHeight="251691013" behindDoc="0" locked="0" layoutInCell="1" allowOverlap="1" wp14:anchorId="60750EFC" wp14:editId="05CCBD35">
                <wp:simplePos x="0" y="0"/>
                <wp:positionH relativeFrom="column">
                  <wp:posOffset>1257935</wp:posOffset>
                </wp:positionH>
                <wp:positionV relativeFrom="paragraph">
                  <wp:posOffset>1752600</wp:posOffset>
                </wp:positionV>
                <wp:extent cx="2075180" cy="574675"/>
                <wp:effectExtent l="0" t="0" r="0" b="0"/>
                <wp:wrapNone/>
                <wp:docPr id="15" name="Text Box 15"/>
                <wp:cNvGraphicFramePr/>
                <a:graphic xmlns:a="http://schemas.openxmlformats.org/drawingml/2006/main">
                  <a:graphicData uri="http://schemas.microsoft.com/office/word/2010/wordprocessingShape">
                    <wps:wsp>
                      <wps:cNvSpPr txBox="1"/>
                      <wps:spPr>
                        <a:xfrm>
                          <a:off x="0" y="0"/>
                          <a:ext cx="2075180" cy="574675"/>
                        </a:xfrm>
                        <a:prstGeom prst="rect">
                          <a:avLst/>
                        </a:prstGeom>
                        <a:noFill/>
                        <a:ln w="6350">
                          <a:noFill/>
                        </a:ln>
                      </wps:spPr>
                      <wps:txbx>
                        <w:txbxContent>
                          <w:p w14:paraId="43256E3F" w14:textId="77777777" w:rsidR="00A24026" w:rsidRPr="00A229CC" w:rsidRDefault="00A24026" w:rsidP="00020354">
                            <w:pPr>
                              <w:rPr>
                                <w:rFonts w:asciiTheme="minorBidi" w:hAnsiTheme="minorBidi" w:cstheme="minorBidi"/>
                                <w:sz w:val="15"/>
                                <w:szCs w:val="13"/>
                              </w:rPr>
                            </w:pPr>
                            <w:r>
                              <w:rPr>
                                <w:rFonts w:asciiTheme="minorBidi" w:hAnsiTheme="minorBidi" w:cstheme="minorBidi"/>
                                <w:sz w:val="15"/>
                                <w:szCs w:val="13"/>
                              </w:rPr>
                              <w:t>Sum of flow over all b</w:t>
                            </w:r>
                            <w:r w:rsidRPr="008A3EC9">
                              <w:rPr>
                                <w:rFonts w:asciiTheme="minorBidi" w:hAnsiTheme="minorBidi" w:cstheme="minorBidi"/>
                                <w:sz w:val="15"/>
                                <w:szCs w:val="13"/>
                              </w:rPr>
                              <w:t>arrage</w:t>
                            </w:r>
                            <w:r>
                              <w:rPr>
                                <w:rFonts w:asciiTheme="minorBidi" w:hAnsiTheme="minorBidi" w:cstheme="minorBidi"/>
                                <w:sz w:val="15"/>
                                <w:szCs w:val="13"/>
                              </w:rPr>
                              <w:t>s</w:t>
                            </w:r>
                            <w:r w:rsidRPr="008A3EC9">
                              <w:rPr>
                                <w:rFonts w:asciiTheme="minorBidi" w:hAnsiTheme="minorBidi" w:cstheme="minorBidi"/>
                                <w:sz w:val="15"/>
                                <w:szCs w:val="13"/>
                              </w:rPr>
                              <w:t xml:space="preserve"> </w:t>
                            </w:r>
                            <w:r>
                              <w:rPr>
                                <w:rFonts w:asciiTheme="minorBidi" w:hAnsiTheme="minorBidi" w:cstheme="minorBidi"/>
                                <w:sz w:val="15"/>
                                <w:szCs w:val="13"/>
                              </w:rPr>
                              <w:t>(actual data, see panel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750EFC" id="Text Box 15" o:spid="_x0000_s1043" type="#_x0000_t202" style="position:absolute;left:0;text-align:left;margin-left:99.05pt;margin-top:138pt;width:163.4pt;height:45.25pt;z-index:2516910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YsOMQIAAFsEAAAOAAAAZHJzL2Uyb0RvYy54bWysVE2P2jAQvVfqf7B8LwmUjy0irOiuqCqh&#10;3ZWg2rNxHIiUeFzbkNBf32cHWLTtqerFGc+M5+O9mczu27piR2VdSTrj/V7KmdKS8lLvMv5js/x0&#10;x5nzQueiIq0yflKO388/fpg1ZqoGtKcqV5YhiHbTxmR8772ZJomTe1UL1yOjNIwF2Vp4XO0uya1o&#10;EL2ukkGajpOGbG4sSeUctI+dkc9j/KJQ0j8XhVOeVRlHbT6eNp7bcCbzmZjurDD7Up7LEP9QRS1K&#10;jaTXUI/CC3aw5R+h6lJaclT4nqQ6oaIopYo9oJt++q6b9V4YFXsBOM5cYXL/L6x8Or5YVubgbsSZ&#10;FjU42qjWs6/UMqiAT2PcFG5rA0ffQg/fi95BGdpuC1uHLxpisAPp0xXdEE1COUgno/4dTBK20WQ4&#10;nsTwydtrY53/pqhmQci4BXsRVHFcOY9K4HpxCck0LcuqigxWmjUZH38epfHB1YIXlcbD0ENXa5B8&#10;u227nieXRraUn9CfpW5CnJHLEkWshPMvwmIkUDfG3D/jKCpCMjpLnO3J/vqbPviDKVg5azBiGXc/&#10;D8IqzqrvGhx+6Q+HYSbjZTiaDHCxt5btrUUf6gfCFPexUEZGMfj76iIWlupXbMMiZIVJaIncGfcX&#10;8cF3g49tkmqxiE6YQiP8Sq+NDKEDrAHiTfsqrDnz4MHgE12GUUzf0dH5doQsDp6KMnIVgO5QPeOP&#10;CY4UnrctrMjtPXq9/RPmvwEAAP//AwBQSwMEFAAGAAgAAAAhAKCMgyriAAAACwEAAA8AAABkcnMv&#10;ZG93bnJldi54bWxMj01Pg0AURfcm/ofJM3Fnh6IgpQxNQ9KYGLto7aa7gXkF4nwgM23RX+9zpcub&#10;d3LfucVqMppdcPS9swLmswgY2sap3rYCDu+bhwyYD9IqqZ1FAV/oYVXe3hQyV+5qd3jZh5ZRifW5&#10;FNCFMOSc+6ZDI/3MDWjpdnKjkYHi2HI1yiuVG83jKEq5kb2lD50csOqw+difjYDXarOVuzo22beu&#10;Xt5O6+HzcEyEuL+b1ktgAafwB8OvPqlDSU61O1vlmaa8yOaECoifUxpFRBI/LYDVAh7TNAFeFvz/&#10;hvIHAAD//wMAUEsBAi0AFAAGAAgAAAAhALaDOJL+AAAA4QEAABMAAAAAAAAAAAAAAAAAAAAAAFtD&#10;b250ZW50X1R5cGVzXS54bWxQSwECLQAUAAYACAAAACEAOP0h/9YAAACUAQAACwAAAAAAAAAAAAAA&#10;AAAvAQAAX3JlbHMvLnJlbHNQSwECLQAUAAYACAAAACEAup2LDjECAABbBAAADgAAAAAAAAAAAAAA&#10;AAAuAgAAZHJzL2Uyb0RvYy54bWxQSwECLQAUAAYACAAAACEAoIyDKuIAAAALAQAADwAAAAAAAAAA&#10;AAAAAACLBAAAZHJzL2Rvd25yZXYueG1sUEsFBgAAAAAEAAQA8wAAAJoFAAAAAA==&#10;" filled="f" stroked="f" strokeweight=".5pt">
                <v:textbox>
                  <w:txbxContent>
                    <w:p w14:paraId="43256E3F" w14:textId="77777777" w:rsidR="00A24026" w:rsidRPr="00A229CC" w:rsidRDefault="00A24026" w:rsidP="00020354">
                      <w:pPr>
                        <w:rPr>
                          <w:rFonts w:asciiTheme="minorBidi" w:hAnsiTheme="minorBidi" w:cstheme="minorBidi"/>
                          <w:sz w:val="15"/>
                          <w:szCs w:val="13"/>
                        </w:rPr>
                      </w:pPr>
                      <w:r>
                        <w:rPr>
                          <w:rFonts w:asciiTheme="minorBidi" w:hAnsiTheme="minorBidi" w:cstheme="minorBidi"/>
                          <w:sz w:val="15"/>
                          <w:szCs w:val="13"/>
                        </w:rPr>
                        <w:t>Sum of flow over all b</w:t>
                      </w:r>
                      <w:r w:rsidRPr="008A3EC9">
                        <w:rPr>
                          <w:rFonts w:asciiTheme="minorBidi" w:hAnsiTheme="minorBidi" w:cstheme="minorBidi"/>
                          <w:sz w:val="15"/>
                          <w:szCs w:val="13"/>
                        </w:rPr>
                        <w:t>arrage</w:t>
                      </w:r>
                      <w:r>
                        <w:rPr>
                          <w:rFonts w:asciiTheme="minorBidi" w:hAnsiTheme="minorBidi" w:cstheme="minorBidi"/>
                          <w:sz w:val="15"/>
                          <w:szCs w:val="13"/>
                        </w:rPr>
                        <w:t>s</w:t>
                      </w:r>
                      <w:r w:rsidRPr="008A3EC9">
                        <w:rPr>
                          <w:rFonts w:asciiTheme="minorBidi" w:hAnsiTheme="minorBidi" w:cstheme="minorBidi"/>
                          <w:sz w:val="15"/>
                          <w:szCs w:val="13"/>
                        </w:rPr>
                        <w:t xml:space="preserve"> </w:t>
                      </w:r>
                      <w:r>
                        <w:rPr>
                          <w:rFonts w:asciiTheme="minorBidi" w:hAnsiTheme="minorBidi" w:cstheme="minorBidi"/>
                          <w:sz w:val="15"/>
                          <w:szCs w:val="13"/>
                        </w:rPr>
                        <w:t>(actual data, see panel (a)).</w:t>
                      </w:r>
                    </w:p>
                  </w:txbxContent>
                </v:textbox>
              </v:shape>
            </w:pict>
          </mc:Fallback>
        </mc:AlternateContent>
      </w:r>
      <w:r>
        <w:rPr>
          <w:noProof/>
          <w:lang w:bidi="ar-SA"/>
        </w:rPr>
        <w:drawing>
          <wp:inline distT="0" distB="0" distL="0" distR="0" wp14:anchorId="1A833DB3" wp14:editId="37E2AC48">
            <wp:extent cx="5723890" cy="2647950"/>
            <wp:effectExtent l="0" t="0" r="0" b="0"/>
            <wp:docPr id="82" name="Picture 82"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hart, histogram&#10;&#10;Description automatically generated"/>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5723890" cy="2647950"/>
                    </a:xfrm>
                    <a:prstGeom prst="rect">
                      <a:avLst/>
                    </a:prstGeom>
                    <a:noFill/>
                    <a:ln>
                      <a:noFill/>
                    </a:ln>
                  </pic:spPr>
                </pic:pic>
              </a:graphicData>
            </a:graphic>
          </wp:inline>
        </w:drawing>
      </w:r>
      <w:r>
        <w:rPr>
          <w:noProof/>
          <w:lang w:bidi="ar-SA"/>
        </w:rPr>
        <w:drawing>
          <wp:inline distT="0" distB="0" distL="0" distR="0" wp14:anchorId="0DF81F19" wp14:editId="02CDCCDD">
            <wp:extent cx="5723890" cy="2647950"/>
            <wp:effectExtent l="0" t="0" r="0" b="0"/>
            <wp:docPr id="83" name="Picture 8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hart, bar chart&#10;&#10;Description automatically generated"/>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5723890" cy="2647950"/>
                    </a:xfrm>
                    <a:prstGeom prst="rect">
                      <a:avLst/>
                    </a:prstGeom>
                    <a:noFill/>
                    <a:ln>
                      <a:noFill/>
                    </a:ln>
                  </pic:spPr>
                </pic:pic>
              </a:graphicData>
            </a:graphic>
          </wp:inline>
        </w:drawing>
      </w:r>
    </w:p>
    <w:p w14:paraId="520B0A3C" w14:textId="3DEB84B4" w:rsidR="00020354" w:rsidRDefault="00020354" w:rsidP="00F8184E">
      <w:pPr>
        <w:pStyle w:val="Captions"/>
      </w:pPr>
      <w:r>
        <w:t>Figure</w:t>
      </w:r>
      <w:r w:rsidR="00223F88">
        <w:t xml:space="preserve"> D2</w:t>
      </w:r>
      <w:r>
        <w:t xml:space="preserve">. Summary of barrage flow volumes, </w:t>
      </w:r>
      <w:proofErr w:type="spellStart"/>
      <w:r>
        <w:t>categorised</w:t>
      </w:r>
      <w:proofErr w:type="spellEnd"/>
      <w:r>
        <w:t xml:space="preserve"> based on flow per gate (a</w:t>
      </w:r>
      <w:r w:rsidR="00223F88">
        <w:t>, top</w:t>
      </w:r>
      <w:r>
        <w:t>) and based on water source (b</w:t>
      </w:r>
      <w:r w:rsidR="00223F88">
        <w:t>, middle</w:t>
      </w:r>
      <w:r>
        <w:t>). The monthly summary of e-water fractions flowing over the barrages is shown in (c</w:t>
      </w:r>
      <w:r w:rsidR="00223F88">
        <w:t>, bottom</w:t>
      </w:r>
      <w:r>
        <w:t>).</w:t>
      </w:r>
    </w:p>
    <w:p w14:paraId="6A43E4AC" w14:textId="208A2D80" w:rsidR="00020354" w:rsidRDefault="00020354">
      <w:pPr>
        <w:spacing w:before="0" w:after="160" w:line="259" w:lineRule="auto"/>
        <w:jc w:val="left"/>
      </w:pPr>
    </w:p>
    <w:p w14:paraId="0C65CC92" w14:textId="77777777" w:rsidR="001C45CA" w:rsidRDefault="001C45CA" w:rsidP="001C45CA">
      <w:pPr>
        <w:jc w:val="center"/>
      </w:pPr>
      <w:r>
        <w:rPr>
          <w:noProof/>
          <w:lang w:val="en-US"/>
        </w:rPr>
        <w:drawing>
          <wp:inline distT="0" distB="0" distL="0" distR="0" wp14:anchorId="352CDA7C" wp14:editId="2214E856">
            <wp:extent cx="1318437" cy="478647"/>
            <wp:effectExtent l="0" t="0" r="0" b="0"/>
            <wp:docPr id="123" name="Picture 123"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hart&#10;&#10;Description automatically generated with medium confidence"/>
                    <pic:cNvPicPr>
                      <a:picLocks noChangeAspect="1" noChangeArrowheads="1"/>
                    </pic:cNvPicPr>
                  </pic:nvPicPr>
                  <pic:blipFill rotWithShape="1">
                    <a:blip r:embed="rId127" cstate="email">
                      <a:extLst>
                        <a:ext uri="{28A0092B-C50C-407E-A947-70E740481C1C}">
                          <a14:useLocalDpi xmlns:a14="http://schemas.microsoft.com/office/drawing/2010/main"/>
                        </a:ext>
                      </a:extLst>
                    </a:blip>
                    <a:srcRect/>
                    <a:stretch/>
                  </pic:blipFill>
                  <pic:spPr bwMode="auto">
                    <a:xfrm>
                      <a:off x="0" y="0"/>
                      <a:ext cx="1407171" cy="510861"/>
                    </a:xfrm>
                    <a:prstGeom prst="rect">
                      <a:avLst/>
                    </a:prstGeom>
                    <a:noFill/>
                    <a:ln>
                      <a:noFill/>
                    </a:ln>
                    <a:extLst>
                      <a:ext uri="{53640926-AAD7-44D8-BBD7-CCE9431645EC}">
                        <a14:shadowObscured xmlns:a14="http://schemas.microsoft.com/office/drawing/2010/main"/>
                      </a:ext>
                    </a:extLst>
                  </pic:spPr>
                </pic:pic>
              </a:graphicData>
            </a:graphic>
          </wp:inline>
        </w:drawing>
      </w:r>
    </w:p>
    <w:p w14:paraId="3865BAB5" w14:textId="77777777" w:rsidR="001C45CA" w:rsidRDefault="001C45CA" w:rsidP="001C45CA">
      <w:pPr>
        <w:jc w:val="center"/>
      </w:pPr>
      <w:r>
        <w:rPr>
          <w:noProof/>
          <w:lang w:val="en-US"/>
        </w:rPr>
        <w:drawing>
          <wp:inline distT="0" distB="0" distL="0" distR="0" wp14:anchorId="221441C7" wp14:editId="1EBECB92">
            <wp:extent cx="3240000" cy="1913445"/>
            <wp:effectExtent l="0" t="0" r="0" b="0"/>
            <wp:docPr id="102" name="Picture 102"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hart&#10;&#10;Description automatically generated with medium confidence"/>
                    <pic:cNvPicPr>
                      <a:picLocks noChangeAspect="1" noChangeArrowheads="1"/>
                    </pic:cNvPicPr>
                  </pic:nvPicPr>
                  <pic:blipFill rotWithShape="1">
                    <a:blip r:embed="rId128" cstate="email">
                      <a:extLst>
                        <a:ext uri="{28A0092B-C50C-407E-A947-70E740481C1C}">
                          <a14:useLocalDpi xmlns:a14="http://schemas.microsoft.com/office/drawing/2010/main"/>
                        </a:ext>
                      </a:extLst>
                    </a:blip>
                    <a:srcRect/>
                    <a:stretch/>
                  </pic:blipFill>
                  <pic:spPr bwMode="auto">
                    <a:xfrm>
                      <a:off x="0" y="0"/>
                      <a:ext cx="3240000" cy="191344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en-US"/>
        </w:rPr>
        <w:drawing>
          <wp:inline distT="0" distB="0" distL="0" distR="0" wp14:anchorId="020485CA" wp14:editId="75196BDE">
            <wp:extent cx="3240000" cy="1904866"/>
            <wp:effectExtent l="0" t="0" r="0" b="635"/>
            <wp:docPr id="101" name="Picture 10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hart&#10;&#10;Description automatically generated"/>
                    <pic:cNvPicPr>
                      <a:picLocks noChangeAspect="1" noChangeArrowheads="1"/>
                    </pic:cNvPicPr>
                  </pic:nvPicPr>
                  <pic:blipFill rotWithShape="1">
                    <a:blip r:embed="rId129" cstate="email">
                      <a:extLst>
                        <a:ext uri="{28A0092B-C50C-407E-A947-70E740481C1C}">
                          <a14:useLocalDpi xmlns:a14="http://schemas.microsoft.com/office/drawing/2010/main"/>
                        </a:ext>
                      </a:extLst>
                    </a:blip>
                    <a:srcRect/>
                    <a:stretch/>
                  </pic:blipFill>
                  <pic:spPr bwMode="auto">
                    <a:xfrm>
                      <a:off x="0" y="0"/>
                      <a:ext cx="3240000" cy="1904866"/>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en-US"/>
        </w:rPr>
        <w:drawing>
          <wp:inline distT="0" distB="0" distL="0" distR="0" wp14:anchorId="00C1D553" wp14:editId="05F92987">
            <wp:extent cx="3240000" cy="1900965"/>
            <wp:effectExtent l="0" t="0" r="0" b="4445"/>
            <wp:docPr id="98" name="Picture 98"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hart, scatter chart&#10;&#10;Description automatically generated"/>
                    <pic:cNvPicPr>
                      <a:picLocks noChangeAspect="1" noChangeArrowheads="1"/>
                    </pic:cNvPicPr>
                  </pic:nvPicPr>
                  <pic:blipFill rotWithShape="1">
                    <a:blip r:embed="rId130" cstate="email">
                      <a:extLst>
                        <a:ext uri="{28A0092B-C50C-407E-A947-70E740481C1C}">
                          <a14:useLocalDpi xmlns:a14="http://schemas.microsoft.com/office/drawing/2010/main"/>
                        </a:ext>
                      </a:extLst>
                    </a:blip>
                    <a:srcRect/>
                    <a:stretch/>
                  </pic:blipFill>
                  <pic:spPr bwMode="auto">
                    <a:xfrm>
                      <a:off x="0" y="0"/>
                      <a:ext cx="3240000" cy="1900965"/>
                    </a:xfrm>
                    <a:prstGeom prst="rect">
                      <a:avLst/>
                    </a:prstGeom>
                    <a:noFill/>
                    <a:ln>
                      <a:noFill/>
                    </a:ln>
                    <a:extLst>
                      <a:ext uri="{53640926-AAD7-44D8-BBD7-CCE9431645EC}">
                        <a14:shadowObscured xmlns:a14="http://schemas.microsoft.com/office/drawing/2010/main"/>
                      </a:ext>
                    </a:extLst>
                  </pic:spPr>
                </pic:pic>
              </a:graphicData>
            </a:graphic>
          </wp:inline>
        </w:drawing>
      </w:r>
    </w:p>
    <w:p w14:paraId="31B8780A" w14:textId="172A3849" w:rsidR="00223F88" w:rsidRDefault="001C45CA" w:rsidP="001C45CA">
      <w:pPr>
        <w:pStyle w:val="Caption"/>
      </w:pPr>
      <w:bookmarkStart w:id="378" w:name="_Ref63263380"/>
      <w:r>
        <w:t>Figure D</w:t>
      </w:r>
      <w:bookmarkEnd w:id="378"/>
      <w:r w:rsidR="00223F88">
        <w:t>3</w:t>
      </w:r>
      <w:r>
        <w:t>. Comparison of measured and simulated salinity at key monitoring points within the Coorong lagoon, moving from the Murray Mouth into the South Lagoon. Model simulations for the Base-case (observed conditions), and Scenario 1 (no eWater) and Scenario 2 (mixed) are shown.</w:t>
      </w:r>
      <w:r w:rsidR="00C55EE4">
        <w:t xml:space="preserve"> A4261134 = Pelican Point, A4261135 = Long Point, A2460633 = Parnka Point.</w:t>
      </w:r>
    </w:p>
    <w:p w14:paraId="59FE8315" w14:textId="77777777" w:rsidR="00223F88" w:rsidRDefault="00223F88">
      <w:pPr>
        <w:spacing w:before="0" w:after="160" w:line="259" w:lineRule="auto"/>
        <w:jc w:val="left"/>
        <w:rPr>
          <w:b/>
          <w:bCs/>
          <w:color w:val="auto"/>
          <w:sz w:val="20"/>
          <w:szCs w:val="18"/>
        </w:rPr>
      </w:pPr>
      <w:r>
        <w:br w:type="page"/>
      </w:r>
    </w:p>
    <w:p w14:paraId="0CE1D9A6" w14:textId="77777777" w:rsidR="001C45CA" w:rsidRDefault="001C45CA" w:rsidP="001C45CA">
      <w:pPr>
        <w:jc w:val="center"/>
      </w:pPr>
      <w:r>
        <w:rPr>
          <w:noProof/>
          <w:lang w:val="en-US"/>
        </w:rPr>
        <w:drawing>
          <wp:inline distT="0" distB="0" distL="0" distR="0" wp14:anchorId="4CE98CA9" wp14:editId="36C60171">
            <wp:extent cx="1392865" cy="505668"/>
            <wp:effectExtent l="0" t="0" r="0" b="8890"/>
            <wp:docPr id="124" name="Picture 124"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hart&#10;&#10;Description automatically generated with medium confidence"/>
                    <pic:cNvPicPr>
                      <a:picLocks noChangeAspect="1" noChangeArrowheads="1"/>
                    </pic:cNvPicPr>
                  </pic:nvPicPr>
                  <pic:blipFill rotWithShape="1">
                    <a:blip r:embed="rId131" cstate="email">
                      <a:extLst>
                        <a:ext uri="{28A0092B-C50C-407E-A947-70E740481C1C}">
                          <a14:useLocalDpi xmlns:a14="http://schemas.microsoft.com/office/drawing/2010/main"/>
                        </a:ext>
                      </a:extLst>
                    </a:blip>
                    <a:srcRect/>
                    <a:stretch/>
                  </pic:blipFill>
                  <pic:spPr bwMode="auto">
                    <a:xfrm>
                      <a:off x="0" y="0"/>
                      <a:ext cx="1467598" cy="532799"/>
                    </a:xfrm>
                    <a:prstGeom prst="rect">
                      <a:avLst/>
                    </a:prstGeom>
                    <a:noFill/>
                    <a:ln>
                      <a:noFill/>
                    </a:ln>
                    <a:extLst>
                      <a:ext uri="{53640926-AAD7-44D8-BBD7-CCE9431645EC}">
                        <a14:shadowObscured xmlns:a14="http://schemas.microsoft.com/office/drawing/2010/main"/>
                      </a:ext>
                    </a:extLst>
                  </pic:spPr>
                </pic:pic>
              </a:graphicData>
            </a:graphic>
          </wp:inline>
        </w:drawing>
      </w:r>
    </w:p>
    <w:p w14:paraId="4F6769C1" w14:textId="77777777" w:rsidR="001C45CA" w:rsidRDefault="001C45CA" w:rsidP="001C45CA">
      <w:pPr>
        <w:jc w:val="center"/>
      </w:pPr>
      <w:r>
        <w:rPr>
          <w:noProof/>
          <w:lang w:val="en-US"/>
        </w:rPr>
        <w:drawing>
          <wp:inline distT="0" distB="0" distL="0" distR="0" wp14:anchorId="653221EB" wp14:editId="4F4C145B">
            <wp:extent cx="4245123" cy="2484000"/>
            <wp:effectExtent l="0" t="0" r="3175" b="0"/>
            <wp:docPr id="121" name="Picture 12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hart, line chart&#10;&#10;Description automatically generated"/>
                    <pic:cNvPicPr>
                      <a:picLocks noChangeAspect="1" noChangeArrowheads="1"/>
                    </pic:cNvPicPr>
                  </pic:nvPicPr>
                  <pic:blipFill rotWithShape="1">
                    <a:blip r:embed="rId132" cstate="email">
                      <a:extLst>
                        <a:ext uri="{28A0092B-C50C-407E-A947-70E740481C1C}">
                          <a14:useLocalDpi xmlns:a14="http://schemas.microsoft.com/office/drawing/2010/main"/>
                        </a:ext>
                      </a:extLst>
                    </a:blip>
                    <a:srcRect/>
                    <a:stretch/>
                  </pic:blipFill>
                  <pic:spPr bwMode="auto">
                    <a:xfrm>
                      <a:off x="0" y="0"/>
                      <a:ext cx="4245123" cy="248400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en-US"/>
        </w:rPr>
        <w:drawing>
          <wp:inline distT="0" distB="0" distL="0" distR="0" wp14:anchorId="34B5B4AF" wp14:editId="39E17E4F">
            <wp:extent cx="4228408" cy="2484000"/>
            <wp:effectExtent l="0" t="0" r="1270" b="0"/>
            <wp:docPr id="122" name="Picture 12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hart, line chart&#10;&#10;Description automatically generated"/>
                    <pic:cNvPicPr>
                      <a:picLocks noChangeAspect="1" noChangeArrowheads="1"/>
                    </pic:cNvPicPr>
                  </pic:nvPicPr>
                  <pic:blipFill rotWithShape="1">
                    <a:blip r:embed="rId133" cstate="email">
                      <a:extLst>
                        <a:ext uri="{28A0092B-C50C-407E-A947-70E740481C1C}">
                          <a14:useLocalDpi xmlns:a14="http://schemas.microsoft.com/office/drawing/2010/main"/>
                        </a:ext>
                      </a:extLst>
                    </a:blip>
                    <a:srcRect/>
                    <a:stretch/>
                  </pic:blipFill>
                  <pic:spPr bwMode="auto">
                    <a:xfrm>
                      <a:off x="0" y="0"/>
                      <a:ext cx="4228408" cy="2484000"/>
                    </a:xfrm>
                    <a:prstGeom prst="rect">
                      <a:avLst/>
                    </a:prstGeom>
                    <a:noFill/>
                    <a:ln>
                      <a:noFill/>
                    </a:ln>
                    <a:extLst>
                      <a:ext uri="{53640926-AAD7-44D8-BBD7-CCE9431645EC}">
                        <a14:shadowObscured xmlns:a14="http://schemas.microsoft.com/office/drawing/2010/main"/>
                      </a:ext>
                    </a:extLst>
                  </pic:spPr>
                </pic:pic>
              </a:graphicData>
            </a:graphic>
          </wp:inline>
        </w:drawing>
      </w:r>
    </w:p>
    <w:p w14:paraId="5B8F977D" w14:textId="57E365EC" w:rsidR="00C55EE4" w:rsidRDefault="001C45CA" w:rsidP="00C55EE4">
      <w:pPr>
        <w:pStyle w:val="Caption"/>
      </w:pPr>
      <w:r>
        <w:t>Figure D</w:t>
      </w:r>
      <w:r w:rsidR="00223F88">
        <w:t>4</w:t>
      </w:r>
      <w:r>
        <w:t>. Comparison of measured and simulated salinity at key monitoring points within the Coorong lagoon, moving from the Murray Mouth into the South Lagoon. Model simulations for the Base-case (observed conditions), and Scenario 1 (no eWater) and Scenario 2 (mixed) are shown.</w:t>
      </w:r>
      <w:r w:rsidR="00C55EE4">
        <w:t xml:space="preserve"> A4261209 = Cattle Island, A4261165 = Snipe Island.</w:t>
      </w:r>
    </w:p>
    <w:p w14:paraId="4D50F0A5" w14:textId="2EB37246" w:rsidR="001C45CA" w:rsidRDefault="001C45CA" w:rsidP="001C45CA">
      <w:pPr>
        <w:pStyle w:val="Caption"/>
      </w:pPr>
    </w:p>
    <w:p w14:paraId="7FE14445" w14:textId="027906EB" w:rsidR="001C45CA" w:rsidRDefault="001C45CA" w:rsidP="001C45CA"/>
    <w:p w14:paraId="72721DBE" w14:textId="77777777" w:rsidR="00DC311F" w:rsidRDefault="00DC311F">
      <w:pPr>
        <w:spacing w:before="0" w:after="160" w:line="259" w:lineRule="auto"/>
        <w:jc w:val="left"/>
      </w:pPr>
    </w:p>
    <w:p w14:paraId="5F017E1C" w14:textId="77777777" w:rsidR="00DC311F" w:rsidRDefault="00DC311F">
      <w:pPr>
        <w:spacing w:before="0" w:after="160" w:line="259" w:lineRule="auto"/>
        <w:jc w:val="left"/>
      </w:pPr>
      <w:r>
        <w:br w:type="page"/>
      </w:r>
    </w:p>
    <w:p w14:paraId="574FDB60" w14:textId="77777777" w:rsidR="00DC311F" w:rsidRDefault="00DC311F" w:rsidP="00DC311F">
      <w:pPr>
        <w:jc w:val="center"/>
      </w:pPr>
      <w:r>
        <w:rPr>
          <w:noProof/>
          <w:lang w:val="en-US"/>
        </w:rPr>
        <w:drawing>
          <wp:inline distT="0" distB="0" distL="0" distR="0" wp14:anchorId="25F1CDD9" wp14:editId="4872C40A">
            <wp:extent cx="5257800" cy="7172325"/>
            <wp:effectExtent l="0" t="0" r="0" b="9525"/>
            <wp:docPr id="48" name="Picture 48"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 picture containing diagram&#10;&#10;Description automatically generated"/>
                    <pic:cNvPicPr>
                      <a:picLocks noChangeAspect="1" noChangeArrowheads="1"/>
                    </pic:cNvPicPr>
                  </pic:nvPicPr>
                  <pic:blipFill rotWithShape="1">
                    <a:blip r:embed="rId134" cstate="email">
                      <a:extLst>
                        <a:ext uri="{28A0092B-C50C-407E-A947-70E740481C1C}">
                          <a14:useLocalDpi xmlns:a14="http://schemas.microsoft.com/office/drawing/2010/main"/>
                        </a:ext>
                      </a:extLst>
                    </a:blip>
                    <a:srcRect/>
                    <a:stretch/>
                  </pic:blipFill>
                  <pic:spPr bwMode="auto">
                    <a:xfrm>
                      <a:off x="0" y="0"/>
                      <a:ext cx="5257800" cy="7172325"/>
                    </a:xfrm>
                    <a:prstGeom prst="rect">
                      <a:avLst/>
                    </a:prstGeom>
                    <a:noFill/>
                    <a:ln>
                      <a:noFill/>
                    </a:ln>
                    <a:extLst>
                      <a:ext uri="{53640926-AAD7-44D8-BBD7-CCE9431645EC}">
                        <a14:shadowObscured xmlns:a14="http://schemas.microsoft.com/office/drawing/2010/main"/>
                      </a:ext>
                    </a:extLst>
                  </pic:spPr>
                </pic:pic>
              </a:graphicData>
            </a:graphic>
          </wp:inline>
        </w:drawing>
      </w:r>
    </w:p>
    <w:p w14:paraId="2D9FDE99" w14:textId="1C818810" w:rsidR="00DC311F" w:rsidRDefault="00DC311F" w:rsidP="00DC311F">
      <w:pPr>
        <w:pStyle w:val="Caption"/>
      </w:pPr>
      <w:r>
        <w:t>Figure D</w:t>
      </w:r>
      <w:r w:rsidR="00223F88">
        <w:t>5</w:t>
      </w:r>
      <w:r>
        <w:t>. Detailed salt flux analysis at five locations in the Coorong (a-d) in the base-case scenario, which has environmental water flow over the barrages each year (see</w:t>
      </w:r>
      <w:r w:rsidR="00223F88">
        <w:t xml:space="preserve"> Figure D2</w:t>
      </w:r>
      <w:r>
        <w:t>). Panel (e) shows the cumulative salt flux into the North Lagoon (past Long Point) and into the South Lagoon (past Parnka Point); the shaded blue area shows salt export from the Coorong towards the river mouth.</w:t>
      </w:r>
    </w:p>
    <w:p w14:paraId="692B5C8F" w14:textId="77777777" w:rsidR="00DC311F" w:rsidRDefault="00DC311F" w:rsidP="00DC311F">
      <w:pPr>
        <w:jc w:val="center"/>
      </w:pPr>
      <w:r>
        <w:rPr>
          <w:noProof/>
          <w:lang w:val="en-US"/>
        </w:rPr>
        <w:drawing>
          <wp:inline distT="0" distB="0" distL="0" distR="0" wp14:anchorId="75D79509" wp14:editId="6A7D7F91">
            <wp:extent cx="5295900" cy="7292975"/>
            <wp:effectExtent l="0" t="0" r="0" b="3175"/>
            <wp:docPr id="49" name="Picture 49"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iagram&#10;&#10;Description automatically generated with medium confidence"/>
                    <pic:cNvPicPr>
                      <a:picLocks noChangeAspect="1" noChangeArrowheads="1"/>
                    </pic:cNvPicPr>
                  </pic:nvPicPr>
                  <pic:blipFill rotWithShape="1">
                    <a:blip r:embed="rId135" cstate="email">
                      <a:extLst>
                        <a:ext uri="{28A0092B-C50C-407E-A947-70E740481C1C}">
                          <a14:useLocalDpi xmlns:a14="http://schemas.microsoft.com/office/drawing/2010/main"/>
                        </a:ext>
                      </a:extLst>
                    </a:blip>
                    <a:srcRect/>
                    <a:stretch/>
                  </pic:blipFill>
                  <pic:spPr bwMode="auto">
                    <a:xfrm>
                      <a:off x="0" y="0"/>
                      <a:ext cx="5295900" cy="7292975"/>
                    </a:xfrm>
                    <a:prstGeom prst="rect">
                      <a:avLst/>
                    </a:prstGeom>
                    <a:noFill/>
                    <a:ln>
                      <a:noFill/>
                    </a:ln>
                    <a:extLst>
                      <a:ext uri="{53640926-AAD7-44D8-BBD7-CCE9431645EC}">
                        <a14:shadowObscured xmlns:a14="http://schemas.microsoft.com/office/drawing/2010/main"/>
                      </a:ext>
                    </a:extLst>
                  </pic:spPr>
                </pic:pic>
              </a:graphicData>
            </a:graphic>
          </wp:inline>
        </w:drawing>
      </w:r>
    </w:p>
    <w:p w14:paraId="3F8AD701" w14:textId="171CE986" w:rsidR="00DC311F" w:rsidRDefault="00DC311F" w:rsidP="00DC311F">
      <w:pPr>
        <w:pStyle w:val="Caption"/>
      </w:pPr>
      <w:r>
        <w:t>Figure D</w:t>
      </w:r>
      <w:r w:rsidR="00223F88">
        <w:t>6</w:t>
      </w:r>
      <w:r>
        <w:t>. Detailed salt flux analysis at five locations in the Coorong (a-d) for Scenario 1, which has no environmental water flow over the barrages each year. Panel (e) shows the cumulative salt flux into the North Lagoon (past Long Point) and into the South Lagoon (past Parnka Point); the minimal shaded blue area shows salt is always moving into the Coorong towards the South Lagoon, and is much larger than in the base-case (Figure</w:t>
      </w:r>
      <w:r w:rsidR="00223F88">
        <w:t>s</w:t>
      </w:r>
      <w:r>
        <w:t xml:space="preserve"> D</w:t>
      </w:r>
      <w:r w:rsidR="00223F88">
        <w:t>3 and D4</w:t>
      </w:r>
      <w:r>
        <w:t>).</w:t>
      </w:r>
    </w:p>
    <w:p w14:paraId="4C672145" w14:textId="022BEFC1" w:rsidR="00DC311F" w:rsidRDefault="00DC311F" w:rsidP="00DC311F">
      <w:pPr>
        <w:jc w:val="center"/>
      </w:pPr>
      <w:r>
        <w:rPr>
          <w:noProof/>
          <w:lang w:val="en-US"/>
        </w:rPr>
        <w:drawing>
          <wp:inline distT="0" distB="0" distL="0" distR="0" wp14:anchorId="6B93BCE8" wp14:editId="1DC30B51">
            <wp:extent cx="5245100" cy="7325416"/>
            <wp:effectExtent l="0" t="0" r="0" b="8890"/>
            <wp:docPr id="51" name="Picture 5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Diagram&#10;&#10;Description automatically generated"/>
                    <pic:cNvPicPr>
                      <a:picLocks noChangeAspect="1" noChangeArrowheads="1"/>
                    </pic:cNvPicPr>
                  </pic:nvPicPr>
                  <pic:blipFill rotWithShape="1">
                    <a:blip r:embed="rId136" cstate="email">
                      <a:extLst>
                        <a:ext uri="{28A0092B-C50C-407E-A947-70E740481C1C}">
                          <a14:useLocalDpi xmlns:a14="http://schemas.microsoft.com/office/drawing/2010/main"/>
                        </a:ext>
                      </a:extLst>
                    </a:blip>
                    <a:srcRect/>
                    <a:stretch/>
                  </pic:blipFill>
                  <pic:spPr bwMode="auto">
                    <a:xfrm>
                      <a:off x="0" y="0"/>
                      <a:ext cx="5246698" cy="7327648"/>
                    </a:xfrm>
                    <a:prstGeom prst="rect">
                      <a:avLst/>
                    </a:prstGeom>
                    <a:noFill/>
                    <a:ln>
                      <a:noFill/>
                    </a:ln>
                    <a:extLst>
                      <a:ext uri="{53640926-AAD7-44D8-BBD7-CCE9431645EC}">
                        <a14:shadowObscured xmlns:a14="http://schemas.microsoft.com/office/drawing/2010/main"/>
                      </a:ext>
                    </a:extLst>
                  </pic:spPr>
                </pic:pic>
              </a:graphicData>
            </a:graphic>
          </wp:inline>
        </w:drawing>
      </w:r>
    </w:p>
    <w:p w14:paraId="2B744117" w14:textId="2CA7B810" w:rsidR="00DC311F" w:rsidRDefault="00DC311F" w:rsidP="00DC311F">
      <w:pPr>
        <w:pStyle w:val="Caption"/>
      </w:pPr>
      <w:r>
        <w:t>Figure D</w:t>
      </w:r>
      <w:r w:rsidR="00223F88">
        <w:t>7</w:t>
      </w:r>
      <w:r w:rsidRPr="00E740D1">
        <w:t>. Detailed</w:t>
      </w:r>
      <w:r>
        <w:t xml:space="preserve"> salt flux analysis at five locations in the Coorong (a-d) for Scenario 2, which has environmental water flow for 2 years, and then no flow over the barrages in 2019</w:t>
      </w:r>
      <w:r w:rsidR="007575A4">
        <w:t>-</w:t>
      </w:r>
      <w:r>
        <w:t>20. Panel (e) shows the cumulative salt flux into the North Lagoon (past Long Point) and into the South Lagoon (past Parnka Point); the minimal shaded blue area in 2019</w:t>
      </w:r>
      <w:r w:rsidR="007575A4">
        <w:t>-</w:t>
      </w:r>
      <w:r>
        <w:t>20 shows salt begins to move towards the South Lagoon.</w:t>
      </w:r>
    </w:p>
    <w:p w14:paraId="54638B95" w14:textId="77777777" w:rsidR="0023685A" w:rsidRDefault="0023685A">
      <w:pPr>
        <w:spacing w:before="0" w:after="160" w:line="259" w:lineRule="auto"/>
        <w:jc w:val="left"/>
        <w:sectPr w:rsidR="0023685A" w:rsidSect="005647FE">
          <w:pgSz w:w="11906" w:h="16838"/>
          <w:pgMar w:top="1440" w:right="1440" w:bottom="1440" w:left="1440" w:header="709" w:footer="709" w:gutter="0"/>
          <w:cols w:space="708"/>
          <w:docGrid w:linePitch="360"/>
        </w:sectPr>
      </w:pPr>
    </w:p>
    <w:p w14:paraId="250F7086" w14:textId="067A7455" w:rsidR="0023685A" w:rsidRDefault="0023685A" w:rsidP="0023685A">
      <w:pPr>
        <w:spacing w:before="0" w:after="160" w:line="259" w:lineRule="auto"/>
        <w:jc w:val="center"/>
      </w:pPr>
      <w:r>
        <w:rPr>
          <w:i/>
          <w:noProof/>
          <w:lang w:val="en-US"/>
        </w:rPr>
        <w:drawing>
          <wp:inline distT="0" distB="0" distL="0" distR="0" wp14:anchorId="22CD85F8" wp14:editId="02CE7FA5">
            <wp:extent cx="3083560" cy="4189228"/>
            <wp:effectExtent l="0" t="0" r="2540" b="1905"/>
            <wp:docPr id="94" name="Picture 9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iagram&#10;&#10;Description automatically generated"/>
                    <pic:cNvPicPr>
                      <a:picLocks noChangeAspect="1" noChangeArrowheads="1"/>
                    </pic:cNvPicPr>
                  </pic:nvPicPr>
                  <pic:blipFill rotWithShape="1">
                    <a:blip r:embed="rId137" cstate="email">
                      <a:extLst>
                        <a:ext uri="{28A0092B-C50C-407E-A947-70E740481C1C}">
                          <a14:useLocalDpi xmlns:a14="http://schemas.microsoft.com/office/drawing/2010/main"/>
                        </a:ext>
                      </a:extLst>
                    </a:blip>
                    <a:srcRect/>
                    <a:stretch/>
                  </pic:blipFill>
                  <pic:spPr bwMode="auto">
                    <a:xfrm>
                      <a:off x="0" y="0"/>
                      <a:ext cx="3084141" cy="4190017"/>
                    </a:xfrm>
                    <a:prstGeom prst="rect">
                      <a:avLst/>
                    </a:prstGeom>
                    <a:noFill/>
                    <a:ln>
                      <a:noFill/>
                    </a:ln>
                    <a:extLst>
                      <a:ext uri="{53640926-AAD7-44D8-BBD7-CCE9431645EC}">
                        <a14:shadowObscured xmlns:a14="http://schemas.microsoft.com/office/drawing/2010/main"/>
                      </a:ext>
                    </a:extLst>
                  </pic:spPr>
                </pic:pic>
              </a:graphicData>
            </a:graphic>
          </wp:inline>
        </w:drawing>
      </w:r>
      <w:r>
        <w:rPr>
          <w:i/>
          <w:noProof/>
          <w:lang w:val="en-US"/>
        </w:rPr>
        <w:drawing>
          <wp:inline distT="0" distB="0" distL="0" distR="0" wp14:anchorId="3B0EFB55" wp14:editId="6E4A8484">
            <wp:extent cx="3064510" cy="4178595"/>
            <wp:effectExtent l="0" t="0" r="2540" b="0"/>
            <wp:docPr id="88" name="Picture 8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iagram&#10;&#10;Description automatically generated"/>
                    <pic:cNvPicPr>
                      <a:picLocks noChangeAspect="1" noChangeArrowheads="1"/>
                    </pic:cNvPicPr>
                  </pic:nvPicPr>
                  <pic:blipFill rotWithShape="1">
                    <a:blip r:embed="rId138" cstate="email">
                      <a:extLst>
                        <a:ext uri="{28A0092B-C50C-407E-A947-70E740481C1C}">
                          <a14:useLocalDpi xmlns:a14="http://schemas.microsoft.com/office/drawing/2010/main"/>
                        </a:ext>
                      </a:extLst>
                    </a:blip>
                    <a:srcRect/>
                    <a:stretch/>
                  </pic:blipFill>
                  <pic:spPr bwMode="auto">
                    <a:xfrm>
                      <a:off x="0" y="0"/>
                      <a:ext cx="3065037" cy="4179314"/>
                    </a:xfrm>
                    <a:prstGeom prst="rect">
                      <a:avLst/>
                    </a:prstGeom>
                    <a:noFill/>
                    <a:ln>
                      <a:noFill/>
                    </a:ln>
                    <a:extLst>
                      <a:ext uri="{53640926-AAD7-44D8-BBD7-CCE9431645EC}">
                        <a14:shadowObscured xmlns:a14="http://schemas.microsoft.com/office/drawing/2010/main"/>
                      </a:ext>
                    </a:extLst>
                  </pic:spPr>
                </pic:pic>
              </a:graphicData>
            </a:graphic>
          </wp:inline>
        </w:drawing>
      </w:r>
    </w:p>
    <w:p w14:paraId="74430447" w14:textId="58C8AA6E" w:rsidR="0023685A" w:rsidRDefault="0023685A" w:rsidP="0023685A">
      <w:pPr>
        <w:pStyle w:val="Caption"/>
      </w:pPr>
      <w:r>
        <w:t>Figure D</w:t>
      </w:r>
      <w:r w:rsidR="00223F88">
        <w:t>8</w:t>
      </w:r>
      <w:r>
        <w:t xml:space="preserve">. Monthly salt exports with and without environmental water delivery for July 2017–July 2020. Scenarios include with all water, without Commonwealth environmental water (no CEW) and without any environmental water (no eWater). eWater delivery maintained this flux to be close to zero over the period of interest; even one year of no </w:t>
      </w:r>
      <w:proofErr w:type="spellStart"/>
      <w:r>
        <w:t>ewater</w:t>
      </w:r>
      <w:proofErr w:type="spellEnd"/>
      <w:r>
        <w:t xml:space="preserve"> over the barrages contributes to salt accumulation in the North and South Lagoon.</w:t>
      </w:r>
    </w:p>
    <w:p w14:paraId="6811E7CC" w14:textId="56104065" w:rsidR="002B671F" w:rsidRDefault="002B671F">
      <w:pPr>
        <w:spacing w:before="0" w:after="160" w:line="259" w:lineRule="auto"/>
        <w:jc w:val="left"/>
      </w:pPr>
    </w:p>
    <w:p w14:paraId="48834C1E" w14:textId="77777777" w:rsidR="002B671F" w:rsidRDefault="002B671F">
      <w:pPr>
        <w:spacing w:before="0" w:after="160" w:line="259" w:lineRule="auto"/>
        <w:jc w:val="left"/>
      </w:pPr>
      <w:r>
        <w:br w:type="page"/>
      </w:r>
    </w:p>
    <w:p w14:paraId="700BE42D" w14:textId="31DB617D" w:rsidR="002B671F" w:rsidRDefault="002B671F" w:rsidP="002B671F">
      <w:pPr>
        <w:pStyle w:val="Caption"/>
        <w:jc w:val="center"/>
      </w:pPr>
      <w:r>
        <w:rPr>
          <w:noProof/>
        </w:rPr>
        <w:drawing>
          <wp:inline distT="0" distB="0" distL="0" distR="0" wp14:anchorId="4D1BA557" wp14:editId="45C04442">
            <wp:extent cx="3361690" cy="4512623"/>
            <wp:effectExtent l="0" t="0" r="0" b="2540"/>
            <wp:docPr id="118" name="Picture 118" descr="Graphical user interface, diagram,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Graphical user interface, diagram, application&#10;&#10;Description automatically generated"/>
                    <pic:cNvPicPr>
                      <a:picLocks noChangeAspect="1" noChangeArrowheads="1"/>
                    </pic:cNvPicPr>
                  </pic:nvPicPr>
                  <pic:blipFill rotWithShape="1">
                    <a:blip r:embed="rId139" cstate="email">
                      <a:extLst>
                        <a:ext uri="{28A0092B-C50C-407E-A947-70E740481C1C}">
                          <a14:useLocalDpi xmlns:a14="http://schemas.microsoft.com/office/drawing/2010/main"/>
                        </a:ext>
                      </a:extLst>
                    </a:blip>
                    <a:srcRect/>
                    <a:stretch/>
                  </pic:blipFill>
                  <pic:spPr bwMode="auto">
                    <a:xfrm>
                      <a:off x="0" y="0"/>
                      <a:ext cx="3380112" cy="4537352"/>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837B4E1" wp14:editId="310DA7F7">
            <wp:extent cx="3327323" cy="4441371"/>
            <wp:effectExtent l="0" t="0" r="6985" b="0"/>
            <wp:docPr id="125" name="Picture 125" descr="Graphical user interface, diagram,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Graphical user interface, diagram, application&#10;&#10;Description automatically generated"/>
                    <pic:cNvPicPr>
                      <a:picLocks noChangeAspect="1" noChangeArrowheads="1"/>
                    </pic:cNvPicPr>
                  </pic:nvPicPr>
                  <pic:blipFill rotWithShape="1">
                    <a:blip r:embed="rId140" cstate="email">
                      <a:extLst>
                        <a:ext uri="{28A0092B-C50C-407E-A947-70E740481C1C}">
                          <a14:useLocalDpi xmlns:a14="http://schemas.microsoft.com/office/drawing/2010/main"/>
                        </a:ext>
                      </a:extLst>
                    </a:blip>
                    <a:srcRect/>
                    <a:stretch/>
                  </pic:blipFill>
                  <pic:spPr bwMode="auto">
                    <a:xfrm>
                      <a:off x="0" y="0"/>
                      <a:ext cx="3346213" cy="4466586"/>
                    </a:xfrm>
                    <a:prstGeom prst="rect">
                      <a:avLst/>
                    </a:prstGeom>
                    <a:noFill/>
                    <a:ln>
                      <a:noFill/>
                    </a:ln>
                    <a:extLst>
                      <a:ext uri="{53640926-AAD7-44D8-BBD7-CCE9431645EC}">
                        <a14:shadowObscured xmlns:a14="http://schemas.microsoft.com/office/drawing/2010/main"/>
                      </a:ext>
                    </a:extLst>
                  </pic:spPr>
                </pic:pic>
              </a:graphicData>
            </a:graphic>
          </wp:inline>
        </w:drawing>
      </w:r>
    </w:p>
    <w:p w14:paraId="133D84EB" w14:textId="04D0B37D" w:rsidR="002B671F" w:rsidRDefault="002B671F" w:rsidP="002B671F">
      <w:pPr>
        <w:pStyle w:val="Caption"/>
      </w:pPr>
      <w:r>
        <w:t>Figure D</w:t>
      </w:r>
      <w:r w:rsidR="00223F88">
        <w:t>9</w:t>
      </w:r>
      <w:r>
        <w:t>. Nitrogen flux in the Coorong with and without environmental water delivery for July 2017–July 2020. Scenarios include with all water (Base-case), without Commonwealth environmental water (no e</w:t>
      </w:r>
      <w:r w:rsidR="005D1D3E">
        <w:t>W</w:t>
      </w:r>
      <w:r>
        <w:t>ater; Scenario 1) and without any environmental water for 2017-18 and 2018-19 water years (Scenario 2).</w:t>
      </w:r>
    </w:p>
    <w:p w14:paraId="218713D3" w14:textId="77777777" w:rsidR="0023685A" w:rsidRDefault="0023685A">
      <w:pPr>
        <w:spacing w:before="0" w:after="160" w:line="259" w:lineRule="auto"/>
        <w:jc w:val="left"/>
      </w:pPr>
    </w:p>
    <w:p w14:paraId="3546D95C" w14:textId="77777777" w:rsidR="0023685A" w:rsidRDefault="0023685A">
      <w:pPr>
        <w:spacing w:before="0" w:after="160" w:line="259" w:lineRule="auto"/>
        <w:jc w:val="left"/>
        <w:sectPr w:rsidR="0023685A" w:rsidSect="0023685A">
          <w:pgSz w:w="16838" w:h="11906" w:orient="landscape"/>
          <w:pgMar w:top="1440" w:right="1440" w:bottom="1440" w:left="1440" w:header="709" w:footer="709" w:gutter="0"/>
          <w:cols w:space="708"/>
          <w:docGrid w:linePitch="360"/>
        </w:sectPr>
      </w:pPr>
    </w:p>
    <w:p w14:paraId="7273DADE" w14:textId="174652C0" w:rsidR="00064AC8" w:rsidRPr="00E35BD5" w:rsidRDefault="00E35BD5" w:rsidP="003E0791">
      <w:pPr>
        <w:pStyle w:val="Caption"/>
        <w:rPr>
          <w:color w:val="44546A" w:themeColor="text2"/>
          <w:sz w:val="26"/>
          <w:szCs w:val="26"/>
        </w:rPr>
      </w:pPr>
      <w:r w:rsidRPr="00E35BD5">
        <w:rPr>
          <w:color w:val="44546A" w:themeColor="text2"/>
          <w:sz w:val="26"/>
          <w:szCs w:val="26"/>
        </w:rPr>
        <w:t>Littoral Vegetation Diversity and Productivity</w:t>
      </w:r>
    </w:p>
    <w:p w14:paraId="78053ECC" w14:textId="207955FE" w:rsidR="003E0791" w:rsidRPr="001D41FE" w:rsidRDefault="003E0791" w:rsidP="003E0791">
      <w:pPr>
        <w:pStyle w:val="Caption"/>
        <w:rPr>
          <w:lang w:val="en-US"/>
        </w:rPr>
      </w:pPr>
      <w:r>
        <w:t>Table</w:t>
      </w:r>
      <w:bookmarkEnd w:id="377"/>
      <w:r>
        <w:rPr>
          <w:noProof/>
        </w:rPr>
        <w:t xml:space="preserve"> D</w:t>
      </w:r>
      <w:r w:rsidR="00065DAD">
        <w:rPr>
          <w:noProof/>
        </w:rPr>
        <w:t>1</w:t>
      </w:r>
      <w:r>
        <w:rPr>
          <w:noProof/>
        </w:rPr>
        <w:t>.</w:t>
      </w:r>
      <w:r>
        <w:t xml:space="preserve"> GPS coordinates for the lowest elevation of each transect.</w:t>
      </w:r>
    </w:p>
    <w:tbl>
      <w:tblPr>
        <w:tblW w:w="4957" w:type="dxa"/>
        <w:jc w:val="center"/>
        <w:tblLook w:val="04A0" w:firstRow="1" w:lastRow="0" w:firstColumn="1" w:lastColumn="0" w:noHBand="0" w:noVBand="1"/>
      </w:tblPr>
      <w:tblGrid>
        <w:gridCol w:w="960"/>
        <w:gridCol w:w="1061"/>
        <w:gridCol w:w="1582"/>
        <w:gridCol w:w="1418"/>
      </w:tblGrid>
      <w:tr w:rsidR="003E0791" w:rsidRPr="00404B26" w14:paraId="3B915E0A" w14:textId="77777777" w:rsidTr="00B31C32">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472233" w14:textId="77777777" w:rsidR="003E0791" w:rsidRPr="00404B26" w:rsidRDefault="003E0791" w:rsidP="00B31C32">
            <w:pPr>
              <w:spacing w:before="0" w:after="0" w:line="240" w:lineRule="auto"/>
              <w:jc w:val="center"/>
              <w:rPr>
                <w:rFonts w:cs="Calibri"/>
                <w:b/>
                <w:bCs/>
                <w:kern w:val="0"/>
                <w:szCs w:val="21"/>
                <w:lang w:eastAsia="en-AU"/>
              </w:rPr>
            </w:pPr>
            <w:r w:rsidRPr="00404B26">
              <w:rPr>
                <w:rFonts w:cs="Calibri"/>
                <w:b/>
                <w:bCs/>
                <w:kern w:val="0"/>
                <w:szCs w:val="21"/>
                <w:lang w:eastAsia="en-AU"/>
              </w:rPr>
              <w:t>Reach</w:t>
            </w:r>
          </w:p>
        </w:tc>
        <w:tc>
          <w:tcPr>
            <w:tcW w:w="997" w:type="dxa"/>
            <w:tcBorders>
              <w:top w:val="single" w:sz="4" w:space="0" w:color="auto"/>
              <w:left w:val="nil"/>
              <w:bottom w:val="single" w:sz="4" w:space="0" w:color="auto"/>
              <w:right w:val="single" w:sz="4" w:space="0" w:color="auto"/>
            </w:tcBorders>
            <w:shd w:val="clear" w:color="auto" w:fill="auto"/>
            <w:noWrap/>
            <w:vAlign w:val="bottom"/>
            <w:hideMark/>
          </w:tcPr>
          <w:p w14:paraId="4FF80147" w14:textId="77777777" w:rsidR="003E0791" w:rsidRPr="00404B26" w:rsidRDefault="003E0791" w:rsidP="00B31C32">
            <w:pPr>
              <w:spacing w:before="0" w:after="0" w:line="240" w:lineRule="auto"/>
              <w:jc w:val="center"/>
              <w:rPr>
                <w:rFonts w:cs="Calibri"/>
                <w:b/>
                <w:bCs/>
                <w:kern w:val="0"/>
                <w:szCs w:val="21"/>
                <w:lang w:eastAsia="en-AU"/>
              </w:rPr>
            </w:pPr>
            <w:r w:rsidRPr="00404B26">
              <w:rPr>
                <w:rFonts w:cs="Calibri"/>
                <w:b/>
                <w:bCs/>
                <w:kern w:val="0"/>
                <w:szCs w:val="21"/>
                <w:lang w:eastAsia="en-AU"/>
              </w:rPr>
              <w:t>Transect</w:t>
            </w:r>
          </w:p>
        </w:tc>
        <w:tc>
          <w:tcPr>
            <w:tcW w:w="1582" w:type="dxa"/>
            <w:tcBorders>
              <w:top w:val="single" w:sz="4" w:space="0" w:color="auto"/>
              <w:left w:val="nil"/>
              <w:bottom w:val="single" w:sz="4" w:space="0" w:color="auto"/>
              <w:right w:val="single" w:sz="4" w:space="0" w:color="auto"/>
            </w:tcBorders>
            <w:shd w:val="clear" w:color="auto" w:fill="auto"/>
            <w:noWrap/>
            <w:vAlign w:val="bottom"/>
            <w:hideMark/>
          </w:tcPr>
          <w:p w14:paraId="7855D948" w14:textId="77777777" w:rsidR="003E0791" w:rsidRPr="00404B26" w:rsidRDefault="003E0791" w:rsidP="00B31C32">
            <w:pPr>
              <w:spacing w:before="0" w:after="0" w:line="240" w:lineRule="auto"/>
              <w:jc w:val="center"/>
              <w:rPr>
                <w:rFonts w:cs="Calibri"/>
                <w:b/>
                <w:bCs/>
                <w:kern w:val="0"/>
                <w:szCs w:val="21"/>
                <w:lang w:eastAsia="en-AU"/>
              </w:rPr>
            </w:pPr>
            <w:r w:rsidRPr="00404B26">
              <w:rPr>
                <w:rFonts w:cs="Calibri"/>
                <w:b/>
                <w:bCs/>
                <w:kern w:val="0"/>
                <w:szCs w:val="21"/>
                <w:lang w:eastAsia="en-AU"/>
              </w:rPr>
              <w:t>Latitude</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14:paraId="107D8CDB" w14:textId="77777777" w:rsidR="003E0791" w:rsidRPr="00404B26" w:rsidRDefault="003E0791" w:rsidP="00B31C32">
            <w:pPr>
              <w:spacing w:before="0" w:after="0" w:line="240" w:lineRule="auto"/>
              <w:jc w:val="center"/>
              <w:rPr>
                <w:rFonts w:cs="Calibri"/>
                <w:b/>
                <w:bCs/>
                <w:kern w:val="0"/>
                <w:szCs w:val="21"/>
                <w:lang w:eastAsia="en-AU"/>
              </w:rPr>
            </w:pPr>
            <w:r w:rsidRPr="00404B26">
              <w:rPr>
                <w:rFonts w:cs="Calibri"/>
                <w:b/>
                <w:bCs/>
                <w:kern w:val="0"/>
                <w:szCs w:val="21"/>
                <w:lang w:eastAsia="en-AU"/>
              </w:rPr>
              <w:t>Longitude</w:t>
            </w:r>
          </w:p>
        </w:tc>
      </w:tr>
      <w:tr w:rsidR="003E0791" w:rsidRPr="00404B26" w14:paraId="3358F228" w14:textId="77777777" w:rsidTr="00B31C32">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2D16D1D" w14:textId="77777777" w:rsidR="003E0791" w:rsidRPr="00404B26" w:rsidRDefault="003E0791" w:rsidP="00B31C32">
            <w:pPr>
              <w:spacing w:before="0" w:after="0" w:line="240" w:lineRule="auto"/>
              <w:jc w:val="left"/>
              <w:rPr>
                <w:rFonts w:cs="Calibri"/>
                <w:kern w:val="0"/>
                <w:szCs w:val="21"/>
                <w:lang w:eastAsia="en-AU"/>
              </w:rPr>
            </w:pPr>
            <w:r w:rsidRPr="00404B26">
              <w:rPr>
                <w:rFonts w:cs="Calibri"/>
                <w:kern w:val="0"/>
                <w:szCs w:val="21"/>
                <w:lang w:eastAsia="en-AU"/>
              </w:rPr>
              <w:t>Lock 1</w:t>
            </w:r>
          </w:p>
        </w:tc>
        <w:tc>
          <w:tcPr>
            <w:tcW w:w="997" w:type="dxa"/>
            <w:tcBorders>
              <w:top w:val="nil"/>
              <w:left w:val="nil"/>
              <w:bottom w:val="single" w:sz="4" w:space="0" w:color="auto"/>
              <w:right w:val="single" w:sz="4" w:space="0" w:color="auto"/>
            </w:tcBorders>
            <w:shd w:val="clear" w:color="auto" w:fill="auto"/>
            <w:noWrap/>
            <w:vAlign w:val="bottom"/>
            <w:hideMark/>
          </w:tcPr>
          <w:p w14:paraId="4753D650"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1</w:t>
            </w:r>
          </w:p>
        </w:tc>
        <w:tc>
          <w:tcPr>
            <w:tcW w:w="1582" w:type="dxa"/>
            <w:tcBorders>
              <w:top w:val="nil"/>
              <w:left w:val="nil"/>
              <w:bottom w:val="single" w:sz="4" w:space="0" w:color="auto"/>
              <w:right w:val="single" w:sz="4" w:space="0" w:color="auto"/>
            </w:tcBorders>
            <w:shd w:val="clear" w:color="auto" w:fill="auto"/>
            <w:noWrap/>
            <w:vAlign w:val="bottom"/>
            <w:hideMark/>
          </w:tcPr>
          <w:p w14:paraId="7651A0AA"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-34.479019</w:t>
            </w:r>
          </w:p>
        </w:tc>
        <w:tc>
          <w:tcPr>
            <w:tcW w:w="1418" w:type="dxa"/>
            <w:tcBorders>
              <w:top w:val="nil"/>
              <w:left w:val="nil"/>
              <w:bottom w:val="single" w:sz="4" w:space="0" w:color="auto"/>
              <w:right w:val="single" w:sz="4" w:space="0" w:color="auto"/>
            </w:tcBorders>
            <w:shd w:val="clear" w:color="auto" w:fill="auto"/>
            <w:noWrap/>
            <w:vAlign w:val="bottom"/>
            <w:hideMark/>
          </w:tcPr>
          <w:p w14:paraId="348D7F49"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139.596311</w:t>
            </w:r>
          </w:p>
        </w:tc>
      </w:tr>
      <w:tr w:rsidR="003E0791" w:rsidRPr="00404B26" w14:paraId="6D5E6714" w14:textId="77777777" w:rsidTr="00B31C32">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64EABD0" w14:textId="77777777" w:rsidR="003E0791" w:rsidRPr="00404B26" w:rsidRDefault="003E0791" w:rsidP="00B31C32">
            <w:pPr>
              <w:spacing w:before="0" w:after="0" w:line="240" w:lineRule="auto"/>
              <w:jc w:val="left"/>
              <w:rPr>
                <w:rFonts w:cs="Calibri"/>
                <w:kern w:val="0"/>
                <w:szCs w:val="21"/>
                <w:lang w:eastAsia="en-AU"/>
              </w:rPr>
            </w:pPr>
            <w:r w:rsidRPr="00404B26">
              <w:rPr>
                <w:rFonts w:cs="Calibri"/>
                <w:kern w:val="0"/>
                <w:szCs w:val="21"/>
                <w:lang w:eastAsia="en-AU"/>
              </w:rPr>
              <w:t>Lock 1</w:t>
            </w:r>
          </w:p>
        </w:tc>
        <w:tc>
          <w:tcPr>
            <w:tcW w:w="997" w:type="dxa"/>
            <w:tcBorders>
              <w:top w:val="nil"/>
              <w:left w:val="nil"/>
              <w:bottom w:val="single" w:sz="4" w:space="0" w:color="auto"/>
              <w:right w:val="single" w:sz="4" w:space="0" w:color="auto"/>
            </w:tcBorders>
            <w:shd w:val="clear" w:color="auto" w:fill="auto"/>
            <w:noWrap/>
            <w:vAlign w:val="bottom"/>
            <w:hideMark/>
          </w:tcPr>
          <w:p w14:paraId="43224F1C"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2</w:t>
            </w:r>
          </w:p>
        </w:tc>
        <w:tc>
          <w:tcPr>
            <w:tcW w:w="1582" w:type="dxa"/>
            <w:tcBorders>
              <w:top w:val="nil"/>
              <w:left w:val="nil"/>
              <w:bottom w:val="single" w:sz="4" w:space="0" w:color="auto"/>
              <w:right w:val="single" w:sz="4" w:space="0" w:color="auto"/>
            </w:tcBorders>
            <w:shd w:val="clear" w:color="auto" w:fill="auto"/>
            <w:noWrap/>
            <w:vAlign w:val="bottom"/>
            <w:hideMark/>
          </w:tcPr>
          <w:p w14:paraId="1641CB74"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-34.477575</w:t>
            </w:r>
          </w:p>
        </w:tc>
        <w:tc>
          <w:tcPr>
            <w:tcW w:w="1418" w:type="dxa"/>
            <w:tcBorders>
              <w:top w:val="nil"/>
              <w:left w:val="nil"/>
              <w:bottom w:val="single" w:sz="4" w:space="0" w:color="auto"/>
              <w:right w:val="single" w:sz="4" w:space="0" w:color="auto"/>
            </w:tcBorders>
            <w:shd w:val="clear" w:color="auto" w:fill="auto"/>
            <w:noWrap/>
            <w:vAlign w:val="bottom"/>
            <w:hideMark/>
          </w:tcPr>
          <w:p w14:paraId="7526D24A"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139.598798</w:t>
            </w:r>
          </w:p>
        </w:tc>
      </w:tr>
      <w:tr w:rsidR="003E0791" w:rsidRPr="00404B26" w14:paraId="29DE0E76" w14:textId="77777777" w:rsidTr="00B31C32">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9A55064" w14:textId="77777777" w:rsidR="003E0791" w:rsidRPr="00404B26" w:rsidRDefault="003E0791" w:rsidP="00B31C32">
            <w:pPr>
              <w:spacing w:before="0" w:after="0" w:line="240" w:lineRule="auto"/>
              <w:jc w:val="left"/>
              <w:rPr>
                <w:rFonts w:cs="Calibri"/>
                <w:kern w:val="0"/>
                <w:szCs w:val="21"/>
                <w:lang w:eastAsia="en-AU"/>
              </w:rPr>
            </w:pPr>
            <w:r w:rsidRPr="00404B26">
              <w:rPr>
                <w:rFonts w:cs="Calibri"/>
                <w:kern w:val="0"/>
                <w:szCs w:val="21"/>
                <w:lang w:eastAsia="en-AU"/>
              </w:rPr>
              <w:t>Lock 1</w:t>
            </w:r>
          </w:p>
        </w:tc>
        <w:tc>
          <w:tcPr>
            <w:tcW w:w="997" w:type="dxa"/>
            <w:tcBorders>
              <w:top w:val="nil"/>
              <w:left w:val="nil"/>
              <w:bottom w:val="single" w:sz="4" w:space="0" w:color="auto"/>
              <w:right w:val="single" w:sz="4" w:space="0" w:color="auto"/>
            </w:tcBorders>
            <w:shd w:val="clear" w:color="auto" w:fill="auto"/>
            <w:noWrap/>
            <w:vAlign w:val="bottom"/>
            <w:hideMark/>
          </w:tcPr>
          <w:p w14:paraId="3609FC59"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3</w:t>
            </w:r>
          </w:p>
        </w:tc>
        <w:tc>
          <w:tcPr>
            <w:tcW w:w="1582" w:type="dxa"/>
            <w:tcBorders>
              <w:top w:val="nil"/>
              <w:left w:val="nil"/>
              <w:bottom w:val="single" w:sz="4" w:space="0" w:color="auto"/>
              <w:right w:val="single" w:sz="4" w:space="0" w:color="auto"/>
            </w:tcBorders>
            <w:shd w:val="clear" w:color="auto" w:fill="auto"/>
            <w:noWrap/>
            <w:vAlign w:val="bottom"/>
            <w:hideMark/>
          </w:tcPr>
          <w:p w14:paraId="3822AB03"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-34.446681</w:t>
            </w:r>
          </w:p>
        </w:tc>
        <w:tc>
          <w:tcPr>
            <w:tcW w:w="1418" w:type="dxa"/>
            <w:tcBorders>
              <w:top w:val="nil"/>
              <w:left w:val="nil"/>
              <w:bottom w:val="single" w:sz="4" w:space="0" w:color="auto"/>
              <w:right w:val="single" w:sz="4" w:space="0" w:color="auto"/>
            </w:tcBorders>
            <w:shd w:val="clear" w:color="auto" w:fill="auto"/>
            <w:noWrap/>
            <w:vAlign w:val="bottom"/>
            <w:hideMark/>
          </w:tcPr>
          <w:p w14:paraId="25077346"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139.609714</w:t>
            </w:r>
          </w:p>
        </w:tc>
      </w:tr>
      <w:tr w:rsidR="003E0791" w:rsidRPr="00404B26" w14:paraId="29D581A0" w14:textId="77777777" w:rsidTr="00B31C32">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6DD8A07" w14:textId="77777777" w:rsidR="003E0791" w:rsidRPr="00404B26" w:rsidRDefault="003E0791" w:rsidP="00B31C32">
            <w:pPr>
              <w:spacing w:before="0" w:after="0" w:line="240" w:lineRule="auto"/>
              <w:jc w:val="left"/>
              <w:rPr>
                <w:rFonts w:cs="Calibri"/>
                <w:kern w:val="0"/>
                <w:szCs w:val="21"/>
                <w:lang w:eastAsia="en-AU"/>
              </w:rPr>
            </w:pPr>
            <w:r w:rsidRPr="00404B26">
              <w:rPr>
                <w:rFonts w:cs="Calibri"/>
                <w:kern w:val="0"/>
                <w:szCs w:val="21"/>
                <w:lang w:eastAsia="en-AU"/>
              </w:rPr>
              <w:t>Lock 1</w:t>
            </w:r>
          </w:p>
        </w:tc>
        <w:tc>
          <w:tcPr>
            <w:tcW w:w="997" w:type="dxa"/>
            <w:tcBorders>
              <w:top w:val="nil"/>
              <w:left w:val="nil"/>
              <w:bottom w:val="single" w:sz="4" w:space="0" w:color="auto"/>
              <w:right w:val="single" w:sz="4" w:space="0" w:color="auto"/>
            </w:tcBorders>
            <w:shd w:val="clear" w:color="auto" w:fill="auto"/>
            <w:noWrap/>
            <w:vAlign w:val="bottom"/>
            <w:hideMark/>
          </w:tcPr>
          <w:p w14:paraId="3C04FB1F"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4</w:t>
            </w:r>
          </w:p>
        </w:tc>
        <w:tc>
          <w:tcPr>
            <w:tcW w:w="1582" w:type="dxa"/>
            <w:tcBorders>
              <w:top w:val="nil"/>
              <w:left w:val="nil"/>
              <w:bottom w:val="single" w:sz="4" w:space="0" w:color="auto"/>
              <w:right w:val="single" w:sz="4" w:space="0" w:color="auto"/>
            </w:tcBorders>
            <w:shd w:val="clear" w:color="auto" w:fill="auto"/>
            <w:noWrap/>
            <w:vAlign w:val="bottom"/>
            <w:hideMark/>
          </w:tcPr>
          <w:p w14:paraId="2622A02A"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-34.419635</w:t>
            </w:r>
          </w:p>
        </w:tc>
        <w:tc>
          <w:tcPr>
            <w:tcW w:w="1418" w:type="dxa"/>
            <w:tcBorders>
              <w:top w:val="nil"/>
              <w:left w:val="nil"/>
              <w:bottom w:val="single" w:sz="4" w:space="0" w:color="auto"/>
              <w:right w:val="single" w:sz="4" w:space="0" w:color="auto"/>
            </w:tcBorders>
            <w:shd w:val="clear" w:color="auto" w:fill="auto"/>
            <w:noWrap/>
            <w:vAlign w:val="bottom"/>
            <w:hideMark/>
          </w:tcPr>
          <w:p w14:paraId="1967452D"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139.613482</w:t>
            </w:r>
          </w:p>
        </w:tc>
      </w:tr>
      <w:tr w:rsidR="003E0791" w:rsidRPr="00404B26" w14:paraId="4A6541BB" w14:textId="77777777" w:rsidTr="00B31C32">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EDAAC64" w14:textId="77777777" w:rsidR="003E0791" w:rsidRPr="00404B26" w:rsidRDefault="003E0791" w:rsidP="00B31C32">
            <w:pPr>
              <w:spacing w:before="0" w:after="0" w:line="240" w:lineRule="auto"/>
              <w:jc w:val="left"/>
              <w:rPr>
                <w:rFonts w:cs="Calibri"/>
                <w:kern w:val="0"/>
                <w:szCs w:val="21"/>
                <w:lang w:eastAsia="en-AU"/>
              </w:rPr>
            </w:pPr>
            <w:r w:rsidRPr="00404B26">
              <w:rPr>
                <w:rFonts w:cs="Calibri"/>
                <w:kern w:val="0"/>
                <w:szCs w:val="21"/>
                <w:lang w:eastAsia="en-AU"/>
              </w:rPr>
              <w:t>Lock 1</w:t>
            </w:r>
          </w:p>
        </w:tc>
        <w:tc>
          <w:tcPr>
            <w:tcW w:w="997" w:type="dxa"/>
            <w:tcBorders>
              <w:top w:val="nil"/>
              <w:left w:val="nil"/>
              <w:bottom w:val="single" w:sz="4" w:space="0" w:color="auto"/>
              <w:right w:val="single" w:sz="4" w:space="0" w:color="auto"/>
            </w:tcBorders>
            <w:shd w:val="clear" w:color="auto" w:fill="auto"/>
            <w:noWrap/>
            <w:vAlign w:val="bottom"/>
            <w:hideMark/>
          </w:tcPr>
          <w:p w14:paraId="26146D4B"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5</w:t>
            </w:r>
          </w:p>
        </w:tc>
        <w:tc>
          <w:tcPr>
            <w:tcW w:w="1582" w:type="dxa"/>
            <w:tcBorders>
              <w:top w:val="nil"/>
              <w:left w:val="nil"/>
              <w:bottom w:val="single" w:sz="4" w:space="0" w:color="auto"/>
              <w:right w:val="single" w:sz="4" w:space="0" w:color="auto"/>
            </w:tcBorders>
            <w:shd w:val="clear" w:color="auto" w:fill="auto"/>
            <w:noWrap/>
            <w:vAlign w:val="bottom"/>
            <w:hideMark/>
          </w:tcPr>
          <w:p w14:paraId="78B19E8C"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-34.41855</w:t>
            </w:r>
          </w:p>
        </w:tc>
        <w:tc>
          <w:tcPr>
            <w:tcW w:w="1418" w:type="dxa"/>
            <w:tcBorders>
              <w:top w:val="nil"/>
              <w:left w:val="nil"/>
              <w:bottom w:val="single" w:sz="4" w:space="0" w:color="auto"/>
              <w:right w:val="single" w:sz="4" w:space="0" w:color="auto"/>
            </w:tcBorders>
            <w:shd w:val="clear" w:color="auto" w:fill="auto"/>
            <w:noWrap/>
            <w:vAlign w:val="bottom"/>
            <w:hideMark/>
          </w:tcPr>
          <w:p w14:paraId="511C6BED"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139.61395</w:t>
            </w:r>
          </w:p>
        </w:tc>
      </w:tr>
      <w:tr w:rsidR="003E0791" w:rsidRPr="00404B26" w14:paraId="0A865935" w14:textId="77777777" w:rsidTr="00B31C32">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9978C96" w14:textId="77777777" w:rsidR="003E0791" w:rsidRPr="00404B26" w:rsidRDefault="003E0791" w:rsidP="00B31C32">
            <w:pPr>
              <w:spacing w:before="0" w:after="0" w:line="240" w:lineRule="auto"/>
              <w:jc w:val="left"/>
              <w:rPr>
                <w:rFonts w:cs="Calibri"/>
                <w:kern w:val="0"/>
                <w:szCs w:val="21"/>
                <w:lang w:eastAsia="en-AU"/>
              </w:rPr>
            </w:pPr>
            <w:r w:rsidRPr="00404B26">
              <w:rPr>
                <w:rFonts w:cs="Calibri"/>
                <w:kern w:val="0"/>
                <w:szCs w:val="21"/>
                <w:lang w:eastAsia="en-AU"/>
              </w:rPr>
              <w:t>Lock 1</w:t>
            </w:r>
          </w:p>
        </w:tc>
        <w:tc>
          <w:tcPr>
            <w:tcW w:w="997" w:type="dxa"/>
            <w:tcBorders>
              <w:top w:val="nil"/>
              <w:left w:val="nil"/>
              <w:bottom w:val="single" w:sz="4" w:space="0" w:color="auto"/>
              <w:right w:val="single" w:sz="4" w:space="0" w:color="auto"/>
            </w:tcBorders>
            <w:shd w:val="clear" w:color="auto" w:fill="auto"/>
            <w:noWrap/>
            <w:vAlign w:val="bottom"/>
            <w:hideMark/>
          </w:tcPr>
          <w:p w14:paraId="35F90E51"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6</w:t>
            </w:r>
          </w:p>
        </w:tc>
        <w:tc>
          <w:tcPr>
            <w:tcW w:w="1582" w:type="dxa"/>
            <w:tcBorders>
              <w:top w:val="nil"/>
              <w:left w:val="nil"/>
              <w:bottom w:val="single" w:sz="4" w:space="0" w:color="auto"/>
              <w:right w:val="single" w:sz="4" w:space="0" w:color="auto"/>
            </w:tcBorders>
            <w:shd w:val="clear" w:color="auto" w:fill="auto"/>
            <w:noWrap/>
            <w:vAlign w:val="bottom"/>
            <w:hideMark/>
          </w:tcPr>
          <w:p w14:paraId="2EA6F944"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-34.391968</w:t>
            </w:r>
          </w:p>
        </w:tc>
        <w:tc>
          <w:tcPr>
            <w:tcW w:w="1418" w:type="dxa"/>
            <w:tcBorders>
              <w:top w:val="nil"/>
              <w:left w:val="nil"/>
              <w:bottom w:val="single" w:sz="4" w:space="0" w:color="auto"/>
              <w:right w:val="single" w:sz="4" w:space="0" w:color="auto"/>
            </w:tcBorders>
            <w:shd w:val="clear" w:color="auto" w:fill="auto"/>
            <w:noWrap/>
            <w:vAlign w:val="bottom"/>
            <w:hideMark/>
          </w:tcPr>
          <w:p w14:paraId="56B57640"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139.619028</w:t>
            </w:r>
          </w:p>
        </w:tc>
      </w:tr>
      <w:tr w:rsidR="003E0791" w:rsidRPr="00404B26" w14:paraId="045759D2" w14:textId="77777777" w:rsidTr="00B31C32">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F190591" w14:textId="77777777" w:rsidR="003E0791" w:rsidRPr="00404B26" w:rsidRDefault="003E0791" w:rsidP="00B31C32">
            <w:pPr>
              <w:spacing w:before="0" w:after="0" w:line="240" w:lineRule="auto"/>
              <w:jc w:val="left"/>
              <w:rPr>
                <w:rFonts w:cs="Calibri"/>
                <w:kern w:val="0"/>
                <w:szCs w:val="21"/>
                <w:lang w:eastAsia="en-AU"/>
              </w:rPr>
            </w:pPr>
            <w:r w:rsidRPr="00404B26">
              <w:rPr>
                <w:rFonts w:cs="Calibri"/>
                <w:kern w:val="0"/>
                <w:szCs w:val="21"/>
                <w:lang w:eastAsia="en-AU"/>
              </w:rPr>
              <w:t>Lock 4</w:t>
            </w:r>
          </w:p>
        </w:tc>
        <w:tc>
          <w:tcPr>
            <w:tcW w:w="997" w:type="dxa"/>
            <w:tcBorders>
              <w:top w:val="nil"/>
              <w:left w:val="nil"/>
              <w:bottom w:val="single" w:sz="4" w:space="0" w:color="auto"/>
              <w:right w:val="single" w:sz="4" w:space="0" w:color="auto"/>
            </w:tcBorders>
            <w:shd w:val="clear" w:color="auto" w:fill="auto"/>
            <w:noWrap/>
            <w:vAlign w:val="bottom"/>
            <w:hideMark/>
          </w:tcPr>
          <w:p w14:paraId="5DF7782C"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1</w:t>
            </w:r>
          </w:p>
        </w:tc>
        <w:tc>
          <w:tcPr>
            <w:tcW w:w="1582" w:type="dxa"/>
            <w:tcBorders>
              <w:top w:val="nil"/>
              <w:left w:val="nil"/>
              <w:bottom w:val="single" w:sz="4" w:space="0" w:color="auto"/>
              <w:right w:val="single" w:sz="4" w:space="0" w:color="auto"/>
            </w:tcBorders>
            <w:shd w:val="clear" w:color="auto" w:fill="auto"/>
            <w:noWrap/>
            <w:vAlign w:val="bottom"/>
            <w:hideMark/>
          </w:tcPr>
          <w:p w14:paraId="79CA0A6B"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-34.361848</w:t>
            </w:r>
          </w:p>
        </w:tc>
        <w:tc>
          <w:tcPr>
            <w:tcW w:w="1418" w:type="dxa"/>
            <w:tcBorders>
              <w:top w:val="nil"/>
              <w:left w:val="nil"/>
              <w:bottom w:val="single" w:sz="4" w:space="0" w:color="auto"/>
              <w:right w:val="single" w:sz="4" w:space="0" w:color="auto"/>
            </w:tcBorders>
            <w:shd w:val="clear" w:color="auto" w:fill="auto"/>
            <w:noWrap/>
            <w:vAlign w:val="bottom"/>
            <w:hideMark/>
          </w:tcPr>
          <w:p w14:paraId="56FEB44A"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140.565262</w:t>
            </w:r>
          </w:p>
        </w:tc>
      </w:tr>
      <w:tr w:rsidR="003E0791" w:rsidRPr="00404B26" w14:paraId="4E5505E9" w14:textId="77777777" w:rsidTr="00B31C32">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61D8616" w14:textId="77777777" w:rsidR="003E0791" w:rsidRPr="00404B26" w:rsidRDefault="003E0791" w:rsidP="00B31C32">
            <w:pPr>
              <w:spacing w:before="0" w:after="0" w:line="240" w:lineRule="auto"/>
              <w:jc w:val="left"/>
              <w:rPr>
                <w:rFonts w:cs="Calibri"/>
                <w:kern w:val="0"/>
                <w:szCs w:val="21"/>
                <w:lang w:eastAsia="en-AU"/>
              </w:rPr>
            </w:pPr>
            <w:r w:rsidRPr="00404B26">
              <w:rPr>
                <w:rFonts w:cs="Calibri"/>
                <w:kern w:val="0"/>
                <w:szCs w:val="21"/>
                <w:lang w:eastAsia="en-AU"/>
              </w:rPr>
              <w:t>Lock 4</w:t>
            </w:r>
          </w:p>
        </w:tc>
        <w:tc>
          <w:tcPr>
            <w:tcW w:w="997" w:type="dxa"/>
            <w:tcBorders>
              <w:top w:val="nil"/>
              <w:left w:val="nil"/>
              <w:bottom w:val="single" w:sz="4" w:space="0" w:color="auto"/>
              <w:right w:val="single" w:sz="4" w:space="0" w:color="auto"/>
            </w:tcBorders>
            <w:shd w:val="clear" w:color="auto" w:fill="auto"/>
            <w:noWrap/>
            <w:vAlign w:val="bottom"/>
            <w:hideMark/>
          </w:tcPr>
          <w:p w14:paraId="55ADC7B1"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2</w:t>
            </w:r>
          </w:p>
        </w:tc>
        <w:tc>
          <w:tcPr>
            <w:tcW w:w="1582" w:type="dxa"/>
            <w:tcBorders>
              <w:top w:val="nil"/>
              <w:left w:val="nil"/>
              <w:bottom w:val="single" w:sz="4" w:space="0" w:color="auto"/>
              <w:right w:val="single" w:sz="4" w:space="0" w:color="auto"/>
            </w:tcBorders>
            <w:shd w:val="clear" w:color="auto" w:fill="auto"/>
            <w:noWrap/>
            <w:vAlign w:val="bottom"/>
            <w:hideMark/>
          </w:tcPr>
          <w:p w14:paraId="06D2B901"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-34.355854</w:t>
            </w:r>
          </w:p>
        </w:tc>
        <w:tc>
          <w:tcPr>
            <w:tcW w:w="1418" w:type="dxa"/>
            <w:tcBorders>
              <w:top w:val="nil"/>
              <w:left w:val="nil"/>
              <w:bottom w:val="single" w:sz="4" w:space="0" w:color="auto"/>
              <w:right w:val="single" w:sz="4" w:space="0" w:color="auto"/>
            </w:tcBorders>
            <w:shd w:val="clear" w:color="auto" w:fill="auto"/>
            <w:noWrap/>
            <w:vAlign w:val="bottom"/>
            <w:hideMark/>
          </w:tcPr>
          <w:p w14:paraId="5D101DD3"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140.576385</w:t>
            </w:r>
          </w:p>
        </w:tc>
      </w:tr>
      <w:tr w:rsidR="003E0791" w:rsidRPr="00404B26" w14:paraId="005C4A23" w14:textId="77777777" w:rsidTr="00B31C32">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ED0A8D1" w14:textId="77777777" w:rsidR="003E0791" w:rsidRPr="00404B26" w:rsidRDefault="003E0791" w:rsidP="00B31C32">
            <w:pPr>
              <w:spacing w:before="0" w:after="0" w:line="240" w:lineRule="auto"/>
              <w:jc w:val="left"/>
              <w:rPr>
                <w:rFonts w:cs="Calibri"/>
                <w:kern w:val="0"/>
                <w:szCs w:val="21"/>
                <w:lang w:eastAsia="en-AU"/>
              </w:rPr>
            </w:pPr>
            <w:r w:rsidRPr="00404B26">
              <w:rPr>
                <w:rFonts w:cs="Calibri"/>
                <w:kern w:val="0"/>
                <w:szCs w:val="21"/>
                <w:lang w:eastAsia="en-AU"/>
              </w:rPr>
              <w:t>Lock 4</w:t>
            </w:r>
          </w:p>
        </w:tc>
        <w:tc>
          <w:tcPr>
            <w:tcW w:w="997" w:type="dxa"/>
            <w:tcBorders>
              <w:top w:val="nil"/>
              <w:left w:val="nil"/>
              <w:bottom w:val="single" w:sz="4" w:space="0" w:color="auto"/>
              <w:right w:val="single" w:sz="4" w:space="0" w:color="auto"/>
            </w:tcBorders>
            <w:shd w:val="clear" w:color="auto" w:fill="auto"/>
            <w:noWrap/>
            <w:vAlign w:val="bottom"/>
            <w:hideMark/>
          </w:tcPr>
          <w:p w14:paraId="15E9265B"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3</w:t>
            </w:r>
          </w:p>
        </w:tc>
        <w:tc>
          <w:tcPr>
            <w:tcW w:w="1582" w:type="dxa"/>
            <w:tcBorders>
              <w:top w:val="nil"/>
              <w:left w:val="nil"/>
              <w:bottom w:val="single" w:sz="4" w:space="0" w:color="auto"/>
              <w:right w:val="single" w:sz="4" w:space="0" w:color="auto"/>
            </w:tcBorders>
            <w:shd w:val="clear" w:color="auto" w:fill="auto"/>
            <w:noWrap/>
            <w:vAlign w:val="bottom"/>
            <w:hideMark/>
          </w:tcPr>
          <w:p w14:paraId="2C712F07"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-34.355763</w:t>
            </w:r>
          </w:p>
        </w:tc>
        <w:tc>
          <w:tcPr>
            <w:tcW w:w="1418" w:type="dxa"/>
            <w:tcBorders>
              <w:top w:val="nil"/>
              <w:left w:val="nil"/>
              <w:bottom w:val="single" w:sz="4" w:space="0" w:color="auto"/>
              <w:right w:val="single" w:sz="4" w:space="0" w:color="auto"/>
            </w:tcBorders>
            <w:shd w:val="clear" w:color="auto" w:fill="auto"/>
            <w:noWrap/>
            <w:vAlign w:val="bottom"/>
            <w:hideMark/>
          </w:tcPr>
          <w:p w14:paraId="0D25DB57"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140.568069</w:t>
            </w:r>
          </w:p>
        </w:tc>
      </w:tr>
      <w:tr w:rsidR="003E0791" w:rsidRPr="00404B26" w14:paraId="4EA6D9C7" w14:textId="77777777" w:rsidTr="00B31C32">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F94D6A9" w14:textId="77777777" w:rsidR="003E0791" w:rsidRPr="00404B26" w:rsidRDefault="003E0791" w:rsidP="00B31C32">
            <w:pPr>
              <w:spacing w:before="0" w:after="0" w:line="240" w:lineRule="auto"/>
              <w:jc w:val="left"/>
              <w:rPr>
                <w:rFonts w:cs="Calibri"/>
                <w:kern w:val="0"/>
                <w:szCs w:val="21"/>
                <w:lang w:eastAsia="en-AU"/>
              </w:rPr>
            </w:pPr>
            <w:r w:rsidRPr="00404B26">
              <w:rPr>
                <w:rFonts w:cs="Calibri"/>
                <w:kern w:val="0"/>
                <w:szCs w:val="21"/>
                <w:lang w:eastAsia="en-AU"/>
              </w:rPr>
              <w:t>Lock 4</w:t>
            </w:r>
          </w:p>
        </w:tc>
        <w:tc>
          <w:tcPr>
            <w:tcW w:w="997" w:type="dxa"/>
            <w:tcBorders>
              <w:top w:val="nil"/>
              <w:left w:val="nil"/>
              <w:bottom w:val="single" w:sz="4" w:space="0" w:color="auto"/>
              <w:right w:val="single" w:sz="4" w:space="0" w:color="auto"/>
            </w:tcBorders>
            <w:shd w:val="clear" w:color="auto" w:fill="auto"/>
            <w:noWrap/>
            <w:vAlign w:val="bottom"/>
            <w:hideMark/>
          </w:tcPr>
          <w:p w14:paraId="3BFC0935"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4</w:t>
            </w:r>
          </w:p>
        </w:tc>
        <w:tc>
          <w:tcPr>
            <w:tcW w:w="1582" w:type="dxa"/>
            <w:tcBorders>
              <w:top w:val="nil"/>
              <w:left w:val="nil"/>
              <w:bottom w:val="single" w:sz="4" w:space="0" w:color="auto"/>
              <w:right w:val="single" w:sz="4" w:space="0" w:color="auto"/>
            </w:tcBorders>
            <w:shd w:val="clear" w:color="auto" w:fill="auto"/>
            <w:noWrap/>
            <w:vAlign w:val="bottom"/>
            <w:hideMark/>
          </w:tcPr>
          <w:p w14:paraId="4EFA0933"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-34.350657</w:t>
            </w:r>
          </w:p>
        </w:tc>
        <w:tc>
          <w:tcPr>
            <w:tcW w:w="1418" w:type="dxa"/>
            <w:tcBorders>
              <w:top w:val="nil"/>
              <w:left w:val="nil"/>
              <w:bottom w:val="single" w:sz="4" w:space="0" w:color="auto"/>
              <w:right w:val="single" w:sz="4" w:space="0" w:color="auto"/>
            </w:tcBorders>
            <w:shd w:val="clear" w:color="auto" w:fill="auto"/>
            <w:noWrap/>
            <w:vAlign w:val="bottom"/>
            <w:hideMark/>
          </w:tcPr>
          <w:p w14:paraId="693FC649"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140.562584</w:t>
            </w:r>
          </w:p>
        </w:tc>
      </w:tr>
      <w:tr w:rsidR="003E0791" w:rsidRPr="00404B26" w14:paraId="580F2C57" w14:textId="77777777" w:rsidTr="00B31C32">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1FD7969" w14:textId="77777777" w:rsidR="003E0791" w:rsidRPr="00404B26" w:rsidRDefault="003E0791" w:rsidP="00B31C32">
            <w:pPr>
              <w:spacing w:before="0" w:after="0" w:line="240" w:lineRule="auto"/>
              <w:jc w:val="left"/>
              <w:rPr>
                <w:rFonts w:cs="Calibri"/>
                <w:kern w:val="0"/>
                <w:szCs w:val="21"/>
                <w:lang w:eastAsia="en-AU"/>
              </w:rPr>
            </w:pPr>
            <w:r w:rsidRPr="00404B26">
              <w:rPr>
                <w:rFonts w:cs="Calibri"/>
                <w:kern w:val="0"/>
                <w:szCs w:val="21"/>
                <w:lang w:eastAsia="en-AU"/>
              </w:rPr>
              <w:t>Lock 4</w:t>
            </w:r>
          </w:p>
        </w:tc>
        <w:tc>
          <w:tcPr>
            <w:tcW w:w="997" w:type="dxa"/>
            <w:tcBorders>
              <w:top w:val="nil"/>
              <w:left w:val="nil"/>
              <w:bottom w:val="single" w:sz="4" w:space="0" w:color="auto"/>
              <w:right w:val="single" w:sz="4" w:space="0" w:color="auto"/>
            </w:tcBorders>
            <w:shd w:val="clear" w:color="auto" w:fill="auto"/>
            <w:noWrap/>
            <w:vAlign w:val="bottom"/>
            <w:hideMark/>
          </w:tcPr>
          <w:p w14:paraId="2427B459"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5</w:t>
            </w:r>
          </w:p>
        </w:tc>
        <w:tc>
          <w:tcPr>
            <w:tcW w:w="1582" w:type="dxa"/>
            <w:tcBorders>
              <w:top w:val="nil"/>
              <w:left w:val="nil"/>
              <w:bottom w:val="single" w:sz="4" w:space="0" w:color="auto"/>
              <w:right w:val="single" w:sz="4" w:space="0" w:color="auto"/>
            </w:tcBorders>
            <w:shd w:val="clear" w:color="auto" w:fill="auto"/>
            <w:noWrap/>
            <w:vAlign w:val="bottom"/>
            <w:hideMark/>
          </w:tcPr>
          <w:p w14:paraId="223E6FE8"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-34.343043</w:t>
            </w:r>
          </w:p>
        </w:tc>
        <w:tc>
          <w:tcPr>
            <w:tcW w:w="1418" w:type="dxa"/>
            <w:tcBorders>
              <w:top w:val="nil"/>
              <w:left w:val="nil"/>
              <w:bottom w:val="single" w:sz="4" w:space="0" w:color="auto"/>
              <w:right w:val="single" w:sz="4" w:space="0" w:color="auto"/>
            </w:tcBorders>
            <w:shd w:val="clear" w:color="auto" w:fill="auto"/>
            <w:noWrap/>
            <w:vAlign w:val="bottom"/>
            <w:hideMark/>
          </w:tcPr>
          <w:p w14:paraId="5057EC40"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140.553056</w:t>
            </w:r>
          </w:p>
        </w:tc>
      </w:tr>
      <w:tr w:rsidR="003E0791" w:rsidRPr="00404B26" w14:paraId="312EB9FA" w14:textId="77777777" w:rsidTr="00B31C32">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924DE52" w14:textId="77777777" w:rsidR="003E0791" w:rsidRPr="00404B26" w:rsidRDefault="003E0791" w:rsidP="00B31C32">
            <w:pPr>
              <w:spacing w:before="0" w:after="0" w:line="240" w:lineRule="auto"/>
              <w:jc w:val="left"/>
              <w:rPr>
                <w:rFonts w:cs="Calibri"/>
                <w:kern w:val="0"/>
                <w:szCs w:val="21"/>
                <w:lang w:eastAsia="en-AU"/>
              </w:rPr>
            </w:pPr>
            <w:r w:rsidRPr="00404B26">
              <w:rPr>
                <w:rFonts w:cs="Calibri"/>
                <w:kern w:val="0"/>
                <w:szCs w:val="21"/>
                <w:lang w:eastAsia="en-AU"/>
              </w:rPr>
              <w:t>Lock 4</w:t>
            </w:r>
          </w:p>
        </w:tc>
        <w:tc>
          <w:tcPr>
            <w:tcW w:w="997" w:type="dxa"/>
            <w:tcBorders>
              <w:top w:val="nil"/>
              <w:left w:val="nil"/>
              <w:bottom w:val="single" w:sz="4" w:space="0" w:color="auto"/>
              <w:right w:val="single" w:sz="4" w:space="0" w:color="auto"/>
            </w:tcBorders>
            <w:shd w:val="clear" w:color="auto" w:fill="auto"/>
            <w:noWrap/>
            <w:vAlign w:val="bottom"/>
            <w:hideMark/>
          </w:tcPr>
          <w:p w14:paraId="7671CC06"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6</w:t>
            </w:r>
          </w:p>
        </w:tc>
        <w:tc>
          <w:tcPr>
            <w:tcW w:w="1582" w:type="dxa"/>
            <w:tcBorders>
              <w:top w:val="nil"/>
              <w:left w:val="nil"/>
              <w:bottom w:val="single" w:sz="4" w:space="0" w:color="auto"/>
              <w:right w:val="single" w:sz="4" w:space="0" w:color="auto"/>
            </w:tcBorders>
            <w:shd w:val="clear" w:color="auto" w:fill="auto"/>
            <w:noWrap/>
            <w:vAlign w:val="bottom"/>
            <w:hideMark/>
          </w:tcPr>
          <w:p w14:paraId="06ACF307"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-34.342492</w:t>
            </w:r>
          </w:p>
        </w:tc>
        <w:tc>
          <w:tcPr>
            <w:tcW w:w="1418" w:type="dxa"/>
            <w:tcBorders>
              <w:top w:val="nil"/>
              <w:left w:val="nil"/>
              <w:bottom w:val="single" w:sz="4" w:space="0" w:color="auto"/>
              <w:right w:val="single" w:sz="4" w:space="0" w:color="auto"/>
            </w:tcBorders>
            <w:shd w:val="clear" w:color="auto" w:fill="auto"/>
            <w:noWrap/>
            <w:vAlign w:val="bottom"/>
            <w:hideMark/>
          </w:tcPr>
          <w:p w14:paraId="33F3F5F0"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140.554519</w:t>
            </w:r>
          </w:p>
        </w:tc>
      </w:tr>
      <w:tr w:rsidR="003E0791" w:rsidRPr="00404B26" w14:paraId="0779A485" w14:textId="77777777" w:rsidTr="00B31C32">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8A171BA" w14:textId="77777777" w:rsidR="003E0791" w:rsidRPr="00404B26" w:rsidRDefault="003E0791" w:rsidP="00B31C32">
            <w:pPr>
              <w:spacing w:before="0" w:after="0" w:line="240" w:lineRule="auto"/>
              <w:jc w:val="left"/>
              <w:rPr>
                <w:rFonts w:cs="Calibri"/>
                <w:kern w:val="0"/>
                <w:szCs w:val="21"/>
                <w:lang w:eastAsia="en-AU"/>
              </w:rPr>
            </w:pPr>
            <w:r w:rsidRPr="00404B26">
              <w:rPr>
                <w:rFonts w:cs="Calibri"/>
                <w:kern w:val="0"/>
                <w:szCs w:val="21"/>
                <w:lang w:eastAsia="en-AU"/>
              </w:rPr>
              <w:t>Lock 6</w:t>
            </w:r>
          </w:p>
        </w:tc>
        <w:tc>
          <w:tcPr>
            <w:tcW w:w="997" w:type="dxa"/>
            <w:tcBorders>
              <w:top w:val="nil"/>
              <w:left w:val="nil"/>
              <w:bottom w:val="single" w:sz="4" w:space="0" w:color="auto"/>
              <w:right w:val="single" w:sz="4" w:space="0" w:color="auto"/>
            </w:tcBorders>
            <w:shd w:val="clear" w:color="auto" w:fill="auto"/>
            <w:noWrap/>
            <w:vAlign w:val="bottom"/>
            <w:hideMark/>
          </w:tcPr>
          <w:p w14:paraId="1494D878"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1</w:t>
            </w:r>
          </w:p>
        </w:tc>
        <w:tc>
          <w:tcPr>
            <w:tcW w:w="1582" w:type="dxa"/>
            <w:tcBorders>
              <w:top w:val="nil"/>
              <w:left w:val="nil"/>
              <w:bottom w:val="single" w:sz="4" w:space="0" w:color="auto"/>
              <w:right w:val="single" w:sz="4" w:space="0" w:color="auto"/>
            </w:tcBorders>
            <w:shd w:val="clear" w:color="auto" w:fill="auto"/>
            <w:noWrap/>
            <w:vAlign w:val="bottom"/>
            <w:hideMark/>
          </w:tcPr>
          <w:p w14:paraId="2D413CA6"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-34.021533</w:t>
            </w:r>
          </w:p>
        </w:tc>
        <w:tc>
          <w:tcPr>
            <w:tcW w:w="1418" w:type="dxa"/>
            <w:tcBorders>
              <w:top w:val="nil"/>
              <w:left w:val="nil"/>
              <w:bottom w:val="single" w:sz="4" w:space="0" w:color="auto"/>
              <w:right w:val="single" w:sz="4" w:space="0" w:color="auto"/>
            </w:tcBorders>
            <w:shd w:val="clear" w:color="auto" w:fill="auto"/>
            <w:noWrap/>
            <w:vAlign w:val="bottom"/>
            <w:hideMark/>
          </w:tcPr>
          <w:p w14:paraId="3AC089F7"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140.867416</w:t>
            </w:r>
          </w:p>
        </w:tc>
      </w:tr>
      <w:tr w:rsidR="003E0791" w:rsidRPr="00404B26" w14:paraId="07F979BD" w14:textId="77777777" w:rsidTr="00B31C32">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0A94959" w14:textId="77777777" w:rsidR="003E0791" w:rsidRPr="00404B26" w:rsidRDefault="003E0791" w:rsidP="00B31C32">
            <w:pPr>
              <w:spacing w:before="0" w:after="0" w:line="240" w:lineRule="auto"/>
              <w:jc w:val="left"/>
              <w:rPr>
                <w:rFonts w:cs="Calibri"/>
                <w:kern w:val="0"/>
                <w:szCs w:val="21"/>
                <w:lang w:eastAsia="en-AU"/>
              </w:rPr>
            </w:pPr>
            <w:r w:rsidRPr="00404B26">
              <w:rPr>
                <w:rFonts w:cs="Calibri"/>
                <w:kern w:val="0"/>
                <w:szCs w:val="21"/>
                <w:lang w:eastAsia="en-AU"/>
              </w:rPr>
              <w:t>Lock 6</w:t>
            </w:r>
          </w:p>
        </w:tc>
        <w:tc>
          <w:tcPr>
            <w:tcW w:w="997" w:type="dxa"/>
            <w:tcBorders>
              <w:top w:val="nil"/>
              <w:left w:val="nil"/>
              <w:bottom w:val="single" w:sz="4" w:space="0" w:color="auto"/>
              <w:right w:val="single" w:sz="4" w:space="0" w:color="auto"/>
            </w:tcBorders>
            <w:shd w:val="clear" w:color="auto" w:fill="auto"/>
            <w:noWrap/>
            <w:vAlign w:val="bottom"/>
            <w:hideMark/>
          </w:tcPr>
          <w:p w14:paraId="596FBCAA"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2</w:t>
            </w:r>
          </w:p>
        </w:tc>
        <w:tc>
          <w:tcPr>
            <w:tcW w:w="1582" w:type="dxa"/>
            <w:tcBorders>
              <w:top w:val="nil"/>
              <w:left w:val="nil"/>
              <w:bottom w:val="single" w:sz="4" w:space="0" w:color="auto"/>
              <w:right w:val="single" w:sz="4" w:space="0" w:color="auto"/>
            </w:tcBorders>
            <w:shd w:val="clear" w:color="auto" w:fill="auto"/>
            <w:noWrap/>
            <w:vAlign w:val="bottom"/>
            <w:hideMark/>
          </w:tcPr>
          <w:p w14:paraId="2EA59DBA"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-34.01918</w:t>
            </w:r>
          </w:p>
        </w:tc>
        <w:tc>
          <w:tcPr>
            <w:tcW w:w="1418" w:type="dxa"/>
            <w:tcBorders>
              <w:top w:val="nil"/>
              <w:left w:val="nil"/>
              <w:bottom w:val="single" w:sz="4" w:space="0" w:color="auto"/>
              <w:right w:val="single" w:sz="4" w:space="0" w:color="auto"/>
            </w:tcBorders>
            <w:shd w:val="clear" w:color="auto" w:fill="auto"/>
            <w:noWrap/>
            <w:vAlign w:val="bottom"/>
            <w:hideMark/>
          </w:tcPr>
          <w:p w14:paraId="22A0A57D"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140.876627</w:t>
            </w:r>
          </w:p>
        </w:tc>
      </w:tr>
      <w:tr w:rsidR="003E0791" w:rsidRPr="00404B26" w14:paraId="42BE98E1" w14:textId="77777777" w:rsidTr="00B31C32">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8C00C86" w14:textId="77777777" w:rsidR="003E0791" w:rsidRPr="00404B26" w:rsidRDefault="003E0791" w:rsidP="00B31C32">
            <w:pPr>
              <w:spacing w:before="0" w:after="0" w:line="240" w:lineRule="auto"/>
              <w:jc w:val="left"/>
              <w:rPr>
                <w:rFonts w:cs="Calibri"/>
                <w:kern w:val="0"/>
                <w:szCs w:val="21"/>
                <w:lang w:eastAsia="en-AU"/>
              </w:rPr>
            </w:pPr>
            <w:r w:rsidRPr="00404B26">
              <w:rPr>
                <w:rFonts w:cs="Calibri"/>
                <w:kern w:val="0"/>
                <w:szCs w:val="21"/>
                <w:lang w:eastAsia="en-AU"/>
              </w:rPr>
              <w:t>Lock 6</w:t>
            </w:r>
          </w:p>
        </w:tc>
        <w:tc>
          <w:tcPr>
            <w:tcW w:w="997" w:type="dxa"/>
            <w:tcBorders>
              <w:top w:val="nil"/>
              <w:left w:val="nil"/>
              <w:bottom w:val="single" w:sz="4" w:space="0" w:color="auto"/>
              <w:right w:val="single" w:sz="4" w:space="0" w:color="auto"/>
            </w:tcBorders>
            <w:shd w:val="clear" w:color="auto" w:fill="auto"/>
            <w:noWrap/>
            <w:vAlign w:val="bottom"/>
            <w:hideMark/>
          </w:tcPr>
          <w:p w14:paraId="4AAD2162"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3</w:t>
            </w:r>
          </w:p>
        </w:tc>
        <w:tc>
          <w:tcPr>
            <w:tcW w:w="1582" w:type="dxa"/>
            <w:tcBorders>
              <w:top w:val="nil"/>
              <w:left w:val="nil"/>
              <w:bottom w:val="single" w:sz="4" w:space="0" w:color="auto"/>
              <w:right w:val="single" w:sz="4" w:space="0" w:color="auto"/>
            </w:tcBorders>
            <w:shd w:val="clear" w:color="auto" w:fill="auto"/>
            <w:noWrap/>
            <w:vAlign w:val="bottom"/>
            <w:hideMark/>
          </w:tcPr>
          <w:p w14:paraId="6EE688FC"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-34.016288</w:t>
            </w:r>
          </w:p>
        </w:tc>
        <w:tc>
          <w:tcPr>
            <w:tcW w:w="1418" w:type="dxa"/>
            <w:tcBorders>
              <w:top w:val="nil"/>
              <w:left w:val="nil"/>
              <w:bottom w:val="single" w:sz="4" w:space="0" w:color="auto"/>
              <w:right w:val="single" w:sz="4" w:space="0" w:color="auto"/>
            </w:tcBorders>
            <w:shd w:val="clear" w:color="auto" w:fill="auto"/>
            <w:noWrap/>
            <w:vAlign w:val="bottom"/>
            <w:hideMark/>
          </w:tcPr>
          <w:p w14:paraId="1D222A54"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140.88713</w:t>
            </w:r>
          </w:p>
        </w:tc>
      </w:tr>
      <w:tr w:rsidR="003E0791" w:rsidRPr="00404B26" w14:paraId="5FEB0B10" w14:textId="77777777" w:rsidTr="00B31C32">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4FBCAB4" w14:textId="77777777" w:rsidR="003E0791" w:rsidRPr="00404B26" w:rsidRDefault="003E0791" w:rsidP="00B31C32">
            <w:pPr>
              <w:spacing w:before="0" w:after="0" w:line="240" w:lineRule="auto"/>
              <w:jc w:val="left"/>
              <w:rPr>
                <w:rFonts w:cs="Calibri"/>
                <w:kern w:val="0"/>
                <w:szCs w:val="21"/>
                <w:lang w:eastAsia="en-AU"/>
              </w:rPr>
            </w:pPr>
            <w:r w:rsidRPr="00404B26">
              <w:rPr>
                <w:rFonts w:cs="Calibri"/>
                <w:kern w:val="0"/>
                <w:szCs w:val="21"/>
                <w:lang w:eastAsia="en-AU"/>
              </w:rPr>
              <w:t>Lock 6</w:t>
            </w:r>
          </w:p>
        </w:tc>
        <w:tc>
          <w:tcPr>
            <w:tcW w:w="997" w:type="dxa"/>
            <w:tcBorders>
              <w:top w:val="nil"/>
              <w:left w:val="nil"/>
              <w:bottom w:val="single" w:sz="4" w:space="0" w:color="auto"/>
              <w:right w:val="single" w:sz="4" w:space="0" w:color="auto"/>
            </w:tcBorders>
            <w:shd w:val="clear" w:color="auto" w:fill="auto"/>
            <w:noWrap/>
            <w:vAlign w:val="bottom"/>
            <w:hideMark/>
          </w:tcPr>
          <w:p w14:paraId="6A9C227F"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4</w:t>
            </w:r>
          </w:p>
        </w:tc>
        <w:tc>
          <w:tcPr>
            <w:tcW w:w="1582" w:type="dxa"/>
            <w:tcBorders>
              <w:top w:val="nil"/>
              <w:left w:val="nil"/>
              <w:bottom w:val="single" w:sz="4" w:space="0" w:color="auto"/>
              <w:right w:val="single" w:sz="4" w:space="0" w:color="auto"/>
            </w:tcBorders>
            <w:shd w:val="clear" w:color="auto" w:fill="auto"/>
            <w:noWrap/>
            <w:vAlign w:val="bottom"/>
            <w:hideMark/>
          </w:tcPr>
          <w:p w14:paraId="02E44A71"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-33.997601</w:t>
            </w:r>
          </w:p>
        </w:tc>
        <w:tc>
          <w:tcPr>
            <w:tcW w:w="1418" w:type="dxa"/>
            <w:tcBorders>
              <w:top w:val="nil"/>
              <w:left w:val="nil"/>
              <w:bottom w:val="single" w:sz="4" w:space="0" w:color="auto"/>
              <w:right w:val="single" w:sz="4" w:space="0" w:color="auto"/>
            </w:tcBorders>
            <w:shd w:val="clear" w:color="auto" w:fill="auto"/>
            <w:noWrap/>
            <w:vAlign w:val="bottom"/>
            <w:hideMark/>
          </w:tcPr>
          <w:p w14:paraId="0B087E89"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140.879789</w:t>
            </w:r>
          </w:p>
        </w:tc>
      </w:tr>
      <w:tr w:rsidR="003E0791" w:rsidRPr="00404B26" w14:paraId="43CE2A5B" w14:textId="77777777" w:rsidTr="00B31C32">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714459C" w14:textId="77777777" w:rsidR="003E0791" w:rsidRPr="00404B26" w:rsidRDefault="003E0791" w:rsidP="00B31C32">
            <w:pPr>
              <w:spacing w:before="0" w:after="0" w:line="240" w:lineRule="auto"/>
              <w:jc w:val="left"/>
              <w:rPr>
                <w:rFonts w:cs="Calibri"/>
                <w:kern w:val="0"/>
                <w:szCs w:val="21"/>
                <w:lang w:eastAsia="en-AU"/>
              </w:rPr>
            </w:pPr>
            <w:r w:rsidRPr="00404B26">
              <w:rPr>
                <w:rFonts w:cs="Calibri"/>
                <w:kern w:val="0"/>
                <w:szCs w:val="21"/>
                <w:lang w:eastAsia="en-AU"/>
              </w:rPr>
              <w:t>Lock 6</w:t>
            </w:r>
          </w:p>
        </w:tc>
        <w:tc>
          <w:tcPr>
            <w:tcW w:w="997" w:type="dxa"/>
            <w:tcBorders>
              <w:top w:val="nil"/>
              <w:left w:val="nil"/>
              <w:bottom w:val="single" w:sz="4" w:space="0" w:color="auto"/>
              <w:right w:val="single" w:sz="4" w:space="0" w:color="auto"/>
            </w:tcBorders>
            <w:shd w:val="clear" w:color="auto" w:fill="auto"/>
            <w:noWrap/>
            <w:vAlign w:val="bottom"/>
            <w:hideMark/>
          </w:tcPr>
          <w:p w14:paraId="3FBF564D"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5</w:t>
            </w:r>
          </w:p>
        </w:tc>
        <w:tc>
          <w:tcPr>
            <w:tcW w:w="1582" w:type="dxa"/>
            <w:tcBorders>
              <w:top w:val="nil"/>
              <w:left w:val="nil"/>
              <w:bottom w:val="single" w:sz="4" w:space="0" w:color="auto"/>
              <w:right w:val="single" w:sz="4" w:space="0" w:color="auto"/>
            </w:tcBorders>
            <w:shd w:val="clear" w:color="auto" w:fill="auto"/>
            <w:noWrap/>
            <w:vAlign w:val="bottom"/>
            <w:hideMark/>
          </w:tcPr>
          <w:p w14:paraId="2A5E9FA4"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-33.995581</w:t>
            </w:r>
          </w:p>
        </w:tc>
        <w:tc>
          <w:tcPr>
            <w:tcW w:w="1418" w:type="dxa"/>
            <w:tcBorders>
              <w:top w:val="nil"/>
              <w:left w:val="nil"/>
              <w:bottom w:val="single" w:sz="4" w:space="0" w:color="auto"/>
              <w:right w:val="single" w:sz="4" w:space="0" w:color="auto"/>
            </w:tcBorders>
            <w:shd w:val="clear" w:color="auto" w:fill="auto"/>
            <w:noWrap/>
            <w:vAlign w:val="bottom"/>
            <w:hideMark/>
          </w:tcPr>
          <w:p w14:paraId="0B1F1DFD"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140.880611</w:t>
            </w:r>
          </w:p>
        </w:tc>
      </w:tr>
      <w:tr w:rsidR="003E0791" w:rsidRPr="00404B26" w14:paraId="3EDC0CB3" w14:textId="77777777" w:rsidTr="00B31C32">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73BCEC8" w14:textId="77777777" w:rsidR="003E0791" w:rsidRPr="00404B26" w:rsidRDefault="003E0791" w:rsidP="00B31C32">
            <w:pPr>
              <w:spacing w:before="0" w:after="0" w:line="240" w:lineRule="auto"/>
              <w:jc w:val="left"/>
              <w:rPr>
                <w:rFonts w:cs="Calibri"/>
                <w:kern w:val="0"/>
                <w:szCs w:val="21"/>
                <w:lang w:eastAsia="en-AU"/>
              </w:rPr>
            </w:pPr>
            <w:r w:rsidRPr="00404B26">
              <w:rPr>
                <w:rFonts w:cs="Calibri"/>
                <w:kern w:val="0"/>
                <w:szCs w:val="21"/>
                <w:lang w:eastAsia="en-AU"/>
              </w:rPr>
              <w:t>Lock 6</w:t>
            </w:r>
          </w:p>
        </w:tc>
        <w:tc>
          <w:tcPr>
            <w:tcW w:w="997" w:type="dxa"/>
            <w:tcBorders>
              <w:top w:val="nil"/>
              <w:left w:val="nil"/>
              <w:bottom w:val="single" w:sz="4" w:space="0" w:color="auto"/>
              <w:right w:val="single" w:sz="4" w:space="0" w:color="auto"/>
            </w:tcBorders>
            <w:shd w:val="clear" w:color="auto" w:fill="auto"/>
            <w:noWrap/>
            <w:vAlign w:val="bottom"/>
            <w:hideMark/>
          </w:tcPr>
          <w:p w14:paraId="2C78B3D0"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6</w:t>
            </w:r>
          </w:p>
        </w:tc>
        <w:tc>
          <w:tcPr>
            <w:tcW w:w="1582" w:type="dxa"/>
            <w:tcBorders>
              <w:top w:val="nil"/>
              <w:left w:val="nil"/>
              <w:bottom w:val="single" w:sz="4" w:space="0" w:color="auto"/>
              <w:right w:val="single" w:sz="4" w:space="0" w:color="auto"/>
            </w:tcBorders>
            <w:shd w:val="clear" w:color="auto" w:fill="auto"/>
            <w:noWrap/>
            <w:vAlign w:val="bottom"/>
            <w:hideMark/>
          </w:tcPr>
          <w:p w14:paraId="2D96EE48"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-33.994623</w:t>
            </w:r>
          </w:p>
        </w:tc>
        <w:tc>
          <w:tcPr>
            <w:tcW w:w="1418" w:type="dxa"/>
            <w:tcBorders>
              <w:top w:val="nil"/>
              <w:left w:val="nil"/>
              <w:bottom w:val="single" w:sz="4" w:space="0" w:color="auto"/>
              <w:right w:val="single" w:sz="4" w:space="0" w:color="auto"/>
            </w:tcBorders>
            <w:shd w:val="clear" w:color="auto" w:fill="auto"/>
            <w:noWrap/>
            <w:vAlign w:val="bottom"/>
            <w:hideMark/>
          </w:tcPr>
          <w:p w14:paraId="12401115" w14:textId="77777777" w:rsidR="003E0791" w:rsidRPr="00404B26" w:rsidRDefault="003E0791" w:rsidP="00B31C32">
            <w:pPr>
              <w:spacing w:before="0" w:after="0" w:line="240" w:lineRule="auto"/>
              <w:jc w:val="center"/>
              <w:rPr>
                <w:rFonts w:cs="Calibri"/>
                <w:kern w:val="0"/>
                <w:szCs w:val="21"/>
                <w:lang w:eastAsia="en-AU"/>
              </w:rPr>
            </w:pPr>
            <w:r w:rsidRPr="00404B26">
              <w:rPr>
                <w:rFonts w:cs="Calibri"/>
                <w:kern w:val="0"/>
                <w:szCs w:val="21"/>
                <w:lang w:eastAsia="en-AU"/>
              </w:rPr>
              <w:t>140.882183</w:t>
            </w:r>
          </w:p>
        </w:tc>
      </w:tr>
    </w:tbl>
    <w:p w14:paraId="18943037" w14:textId="77777777" w:rsidR="003E0791" w:rsidRDefault="003E0791" w:rsidP="00C12050">
      <w:pPr>
        <w:pStyle w:val="Caption"/>
      </w:pPr>
    </w:p>
    <w:p w14:paraId="0F9640DD" w14:textId="77777777" w:rsidR="002F0EE3" w:rsidRDefault="002F0EE3" w:rsidP="00C12050">
      <w:pPr>
        <w:pStyle w:val="Caption"/>
      </w:pPr>
    </w:p>
    <w:p w14:paraId="35D02C30" w14:textId="77777777" w:rsidR="002F0EE3" w:rsidRDefault="002F0EE3">
      <w:pPr>
        <w:spacing w:before="0" w:after="160" w:line="259" w:lineRule="auto"/>
        <w:jc w:val="left"/>
        <w:rPr>
          <w:b/>
          <w:bCs/>
          <w:color w:val="auto"/>
          <w:sz w:val="20"/>
          <w:szCs w:val="18"/>
        </w:rPr>
      </w:pPr>
      <w:r>
        <w:br w:type="page"/>
      </w:r>
    </w:p>
    <w:p w14:paraId="0609CE66" w14:textId="0420E4F6" w:rsidR="00C12050" w:rsidRDefault="00C12050" w:rsidP="00C12050">
      <w:pPr>
        <w:pStyle w:val="Caption"/>
      </w:pPr>
      <w:r>
        <w:t>Table D</w:t>
      </w:r>
      <w:r w:rsidR="00065DAD">
        <w:t>2</w:t>
      </w:r>
      <w:r>
        <w:t xml:space="preserve">. </w:t>
      </w:r>
      <w:r w:rsidRPr="00851B51">
        <w:t xml:space="preserve">Species list, functional classification, life history strategy, conservation status (state conservation status from listings in Barker </w:t>
      </w:r>
      <w:r w:rsidRPr="00BE1769">
        <w:rPr>
          <w:i/>
          <w:iCs/>
        </w:rPr>
        <w:t>et al.</w:t>
      </w:r>
      <w:r w:rsidRPr="00851B51">
        <w:t xml:space="preserve"> </w:t>
      </w:r>
      <w:r w:rsidR="00BE1769">
        <w:t>(</w:t>
      </w:r>
      <w:r w:rsidRPr="00851B51">
        <w:t>2005</w:t>
      </w:r>
      <w:r w:rsidR="00BE1769">
        <w:t>)</w:t>
      </w:r>
      <w:r w:rsidRPr="00851B51">
        <w:t xml:space="preserve"> (*denotes exotic species, **denotes proclaimed pest plant in South Australia, # denotes listed as rare in South Australia). </w:t>
      </w:r>
    </w:p>
    <w:tbl>
      <w:tblPr>
        <w:tblW w:w="8882" w:type="dxa"/>
        <w:jc w:val="center"/>
        <w:tblCellMar>
          <w:left w:w="0" w:type="dxa"/>
          <w:right w:w="0" w:type="dxa"/>
        </w:tblCellMar>
        <w:tblLook w:val="04A0" w:firstRow="1" w:lastRow="0" w:firstColumn="1" w:lastColumn="0" w:noHBand="0" w:noVBand="1"/>
      </w:tblPr>
      <w:tblGrid>
        <w:gridCol w:w="2122"/>
        <w:gridCol w:w="1984"/>
        <w:gridCol w:w="1276"/>
        <w:gridCol w:w="1696"/>
        <w:gridCol w:w="1804"/>
      </w:tblGrid>
      <w:tr w:rsidR="00C12050" w14:paraId="6D633790" w14:textId="77777777" w:rsidTr="002F0EE3">
        <w:trPr>
          <w:trHeight w:val="276"/>
          <w:tblHeader/>
          <w:jc w:val="center"/>
        </w:trPr>
        <w:tc>
          <w:tcPr>
            <w:tcW w:w="2122"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13FC532" w14:textId="77777777" w:rsidR="00C12050" w:rsidRDefault="00C12050" w:rsidP="00B31C32">
            <w:pPr>
              <w:spacing w:before="0" w:after="0" w:line="240" w:lineRule="auto"/>
              <w:jc w:val="left"/>
              <w:rPr>
                <w:rFonts w:cs="Calibri"/>
                <w:b/>
                <w:bCs/>
                <w:kern w:val="0"/>
                <w:sz w:val="19"/>
                <w:szCs w:val="19"/>
              </w:rPr>
            </w:pPr>
            <w:r>
              <w:rPr>
                <w:rFonts w:cs="Calibri"/>
                <w:b/>
                <w:bCs/>
                <w:sz w:val="19"/>
                <w:szCs w:val="19"/>
              </w:rPr>
              <w:t>Species</w:t>
            </w:r>
          </w:p>
        </w:tc>
        <w:tc>
          <w:tcPr>
            <w:tcW w:w="1984"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67CD419" w14:textId="77777777" w:rsidR="00C12050" w:rsidRDefault="00C12050" w:rsidP="00B31C32">
            <w:pPr>
              <w:spacing w:before="0" w:after="0"/>
              <w:jc w:val="center"/>
              <w:rPr>
                <w:rFonts w:cs="Calibri"/>
                <w:b/>
                <w:bCs/>
                <w:sz w:val="19"/>
                <w:szCs w:val="19"/>
              </w:rPr>
            </w:pPr>
            <w:r>
              <w:rPr>
                <w:rFonts w:cs="Calibri"/>
                <w:b/>
                <w:bCs/>
                <w:sz w:val="19"/>
                <w:szCs w:val="19"/>
              </w:rPr>
              <w:t>Family</w:t>
            </w:r>
          </w:p>
        </w:tc>
        <w:tc>
          <w:tcPr>
            <w:tcW w:w="1276"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DE1A11E" w14:textId="77777777" w:rsidR="00C12050" w:rsidRDefault="00C12050" w:rsidP="00B31C32">
            <w:pPr>
              <w:spacing w:before="0" w:after="0"/>
              <w:jc w:val="center"/>
              <w:rPr>
                <w:rFonts w:cs="Calibri"/>
                <w:b/>
                <w:bCs/>
                <w:sz w:val="19"/>
                <w:szCs w:val="19"/>
              </w:rPr>
            </w:pPr>
            <w:r>
              <w:rPr>
                <w:rFonts w:cs="Calibri"/>
                <w:b/>
                <w:bCs/>
                <w:sz w:val="19"/>
                <w:szCs w:val="19"/>
              </w:rPr>
              <w:t>Status</w:t>
            </w:r>
          </w:p>
        </w:tc>
        <w:tc>
          <w:tcPr>
            <w:tcW w:w="1696"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3EED42B" w14:textId="77777777" w:rsidR="00C12050" w:rsidRDefault="00C12050" w:rsidP="00B31C32">
            <w:pPr>
              <w:spacing w:before="0" w:after="0"/>
              <w:jc w:val="center"/>
              <w:rPr>
                <w:rFonts w:cs="Calibri"/>
                <w:b/>
                <w:bCs/>
                <w:sz w:val="19"/>
                <w:szCs w:val="19"/>
              </w:rPr>
            </w:pPr>
            <w:r>
              <w:rPr>
                <w:rFonts w:cs="Calibri"/>
                <w:b/>
                <w:bCs/>
                <w:sz w:val="19"/>
                <w:szCs w:val="19"/>
              </w:rPr>
              <w:t>Life history strategy/growth form</w:t>
            </w:r>
          </w:p>
        </w:tc>
        <w:tc>
          <w:tcPr>
            <w:tcW w:w="1804"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C4E280C" w14:textId="77777777" w:rsidR="00C12050" w:rsidRDefault="00C12050" w:rsidP="00B31C32">
            <w:pPr>
              <w:spacing w:before="0" w:after="0"/>
              <w:jc w:val="center"/>
              <w:rPr>
                <w:rFonts w:cs="Calibri"/>
                <w:b/>
                <w:bCs/>
                <w:sz w:val="19"/>
                <w:szCs w:val="19"/>
              </w:rPr>
            </w:pPr>
            <w:r>
              <w:rPr>
                <w:rFonts w:cs="Calibri"/>
                <w:b/>
                <w:bCs/>
                <w:sz w:val="19"/>
                <w:szCs w:val="19"/>
              </w:rPr>
              <w:t>Functional Group</w:t>
            </w:r>
          </w:p>
        </w:tc>
      </w:tr>
      <w:tr w:rsidR="00C12050" w14:paraId="344DA5E7"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2577C09" w14:textId="77777777" w:rsidR="00C12050" w:rsidRDefault="00C12050" w:rsidP="00B31C32">
            <w:pPr>
              <w:spacing w:before="0" w:after="0"/>
              <w:jc w:val="left"/>
              <w:rPr>
                <w:rFonts w:cs="Calibri"/>
                <w:i/>
                <w:iCs/>
                <w:sz w:val="19"/>
                <w:szCs w:val="19"/>
              </w:rPr>
            </w:pPr>
            <w:r>
              <w:rPr>
                <w:rFonts w:cs="Calibri"/>
                <w:i/>
                <w:iCs/>
                <w:sz w:val="19"/>
                <w:szCs w:val="19"/>
              </w:rPr>
              <w:t xml:space="preserve">Acacia </w:t>
            </w:r>
            <w:proofErr w:type="spellStart"/>
            <w:r>
              <w:rPr>
                <w:rFonts w:cs="Calibri"/>
                <w:i/>
                <w:iCs/>
                <w:sz w:val="19"/>
                <w:szCs w:val="19"/>
              </w:rPr>
              <w:t>stenophylla</w:t>
            </w:r>
            <w:proofErr w:type="spellEnd"/>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13E2E53" w14:textId="77777777" w:rsidR="00C12050" w:rsidRDefault="00C12050" w:rsidP="00B31C32">
            <w:pPr>
              <w:spacing w:before="0" w:after="0"/>
              <w:jc w:val="center"/>
              <w:rPr>
                <w:rFonts w:cs="Calibri"/>
                <w:sz w:val="19"/>
                <w:szCs w:val="19"/>
              </w:rPr>
            </w:pPr>
            <w:r>
              <w:rPr>
                <w:rFonts w:cs="Calibri"/>
                <w:sz w:val="19"/>
                <w:szCs w:val="19"/>
              </w:rPr>
              <w:t>Fabaceae</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98403D1" w14:textId="77777777" w:rsidR="00C12050" w:rsidRDefault="00C12050" w:rsidP="00B31C32">
            <w:pPr>
              <w:spacing w:before="0" w:after="0"/>
              <w:jc w:val="center"/>
              <w:rPr>
                <w:rFonts w:cs="Calibri"/>
                <w:sz w:val="19"/>
                <w:szCs w:val="19"/>
              </w:rPr>
            </w:pPr>
            <w:r>
              <w:rPr>
                <w:rFonts w:cs="Calibri"/>
                <w:sz w:val="19"/>
                <w:szCs w:val="19"/>
              </w:rPr>
              <w:t>Native</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8931E5A" w14:textId="77777777" w:rsidR="00C12050" w:rsidRDefault="00C12050" w:rsidP="00B31C32">
            <w:pPr>
              <w:spacing w:before="0" w:after="0"/>
              <w:jc w:val="center"/>
              <w:rPr>
                <w:rFonts w:cs="Calibri"/>
                <w:sz w:val="19"/>
                <w:szCs w:val="19"/>
              </w:rPr>
            </w:pPr>
            <w:r>
              <w:rPr>
                <w:rFonts w:cs="Calibri"/>
                <w:sz w:val="19"/>
                <w:szCs w:val="19"/>
              </w:rPr>
              <w:t>Perennial tree</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F0029BB" w14:textId="77777777" w:rsidR="00C12050" w:rsidRDefault="00C12050" w:rsidP="00B31C32">
            <w:pPr>
              <w:spacing w:before="0" w:after="0"/>
              <w:jc w:val="center"/>
              <w:rPr>
                <w:rFonts w:cs="Calibri"/>
                <w:sz w:val="19"/>
                <w:szCs w:val="19"/>
              </w:rPr>
            </w:pPr>
            <w:r>
              <w:rPr>
                <w:rFonts w:cs="Calibri"/>
                <w:sz w:val="19"/>
                <w:szCs w:val="19"/>
              </w:rPr>
              <w:t>Amphibious</w:t>
            </w:r>
          </w:p>
        </w:tc>
      </w:tr>
      <w:tr w:rsidR="00C12050" w14:paraId="64C4E018"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1E266E3" w14:textId="77777777" w:rsidR="00C12050" w:rsidRDefault="00C12050" w:rsidP="00B31C32">
            <w:pPr>
              <w:spacing w:before="0" w:after="0"/>
              <w:jc w:val="left"/>
              <w:rPr>
                <w:rFonts w:cs="Calibri"/>
                <w:i/>
                <w:iCs/>
                <w:sz w:val="19"/>
                <w:szCs w:val="19"/>
              </w:rPr>
            </w:pPr>
            <w:r>
              <w:rPr>
                <w:rFonts w:cs="Calibri"/>
                <w:i/>
                <w:iCs/>
                <w:sz w:val="19"/>
                <w:szCs w:val="19"/>
              </w:rPr>
              <w:t xml:space="preserve">Alternanthera </w:t>
            </w:r>
            <w:proofErr w:type="spellStart"/>
            <w:r>
              <w:rPr>
                <w:rFonts w:cs="Calibri"/>
                <w:i/>
                <w:iCs/>
                <w:sz w:val="19"/>
                <w:szCs w:val="19"/>
              </w:rPr>
              <w:t>denticulata</w:t>
            </w:r>
            <w:proofErr w:type="spellEnd"/>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591CF63" w14:textId="77777777" w:rsidR="00C12050" w:rsidRDefault="00C12050" w:rsidP="00B31C32">
            <w:pPr>
              <w:spacing w:before="0" w:after="0"/>
              <w:jc w:val="center"/>
              <w:rPr>
                <w:rFonts w:cs="Calibri"/>
                <w:sz w:val="19"/>
                <w:szCs w:val="19"/>
              </w:rPr>
            </w:pPr>
            <w:proofErr w:type="spellStart"/>
            <w:r>
              <w:rPr>
                <w:rFonts w:cs="Calibri"/>
                <w:sz w:val="19"/>
                <w:szCs w:val="19"/>
              </w:rPr>
              <w:t>Amaranthaceae</w:t>
            </w:r>
            <w:proofErr w:type="spellEnd"/>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5CDAFED" w14:textId="77777777" w:rsidR="00C12050" w:rsidRDefault="00C12050" w:rsidP="00B31C32">
            <w:pPr>
              <w:spacing w:before="0" w:after="0"/>
              <w:jc w:val="center"/>
              <w:rPr>
                <w:rFonts w:cs="Calibri"/>
                <w:sz w:val="19"/>
                <w:szCs w:val="19"/>
              </w:rPr>
            </w:pPr>
            <w:r>
              <w:rPr>
                <w:rFonts w:cs="Calibri"/>
                <w:sz w:val="19"/>
                <w:szCs w:val="19"/>
              </w:rPr>
              <w:t>Native</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EE30251" w14:textId="77777777" w:rsidR="00C12050" w:rsidRDefault="00C12050" w:rsidP="00B31C32">
            <w:pPr>
              <w:spacing w:before="0" w:after="0"/>
              <w:jc w:val="center"/>
              <w:rPr>
                <w:rFonts w:cs="Calibri"/>
                <w:sz w:val="19"/>
                <w:szCs w:val="19"/>
              </w:rPr>
            </w:pPr>
            <w:r>
              <w:rPr>
                <w:rFonts w:cs="Calibri"/>
                <w:sz w:val="19"/>
                <w:szCs w:val="19"/>
              </w:rPr>
              <w:t>Annual herb</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5DCDADB" w14:textId="77777777" w:rsidR="00C12050" w:rsidRDefault="00C12050" w:rsidP="00B31C32">
            <w:pPr>
              <w:spacing w:before="0" w:after="0"/>
              <w:jc w:val="center"/>
              <w:rPr>
                <w:rFonts w:cs="Calibri"/>
                <w:sz w:val="19"/>
                <w:szCs w:val="19"/>
              </w:rPr>
            </w:pPr>
            <w:r>
              <w:rPr>
                <w:rFonts w:cs="Calibri"/>
                <w:sz w:val="19"/>
                <w:szCs w:val="19"/>
              </w:rPr>
              <w:t>Flood dependent</w:t>
            </w:r>
          </w:p>
        </w:tc>
      </w:tr>
      <w:tr w:rsidR="00C12050" w14:paraId="056B46DD"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FD5DF11" w14:textId="77777777" w:rsidR="00C12050" w:rsidRDefault="00C12050" w:rsidP="00B31C32">
            <w:pPr>
              <w:spacing w:before="0" w:after="0"/>
              <w:jc w:val="left"/>
              <w:rPr>
                <w:rFonts w:cs="Calibri"/>
                <w:i/>
                <w:iCs/>
                <w:sz w:val="19"/>
                <w:szCs w:val="19"/>
              </w:rPr>
            </w:pPr>
            <w:proofErr w:type="spellStart"/>
            <w:r>
              <w:rPr>
                <w:rFonts w:cs="Calibri"/>
                <w:i/>
                <w:iCs/>
                <w:sz w:val="19"/>
                <w:szCs w:val="19"/>
              </w:rPr>
              <w:t>Ammannia</w:t>
            </w:r>
            <w:proofErr w:type="spellEnd"/>
            <w:r>
              <w:rPr>
                <w:rFonts w:cs="Calibri"/>
                <w:i/>
                <w:iCs/>
                <w:sz w:val="19"/>
                <w:szCs w:val="19"/>
              </w:rPr>
              <w:t xml:space="preserve"> multiflora</w:t>
            </w:r>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ADB9405" w14:textId="77777777" w:rsidR="00C12050" w:rsidRDefault="00C12050" w:rsidP="00B31C32">
            <w:pPr>
              <w:spacing w:before="0" w:after="0"/>
              <w:jc w:val="center"/>
              <w:rPr>
                <w:rFonts w:cs="Calibri"/>
                <w:sz w:val="19"/>
                <w:szCs w:val="19"/>
              </w:rPr>
            </w:pPr>
            <w:proofErr w:type="spellStart"/>
            <w:r>
              <w:rPr>
                <w:rFonts w:cs="Calibri"/>
                <w:sz w:val="19"/>
                <w:szCs w:val="19"/>
              </w:rPr>
              <w:t>Lythraceae</w:t>
            </w:r>
            <w:proofErr w:type="spellEnd"/>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4CA85F7" w14:textId="77777777" w:rsidR="00C12050" w:rsidRDefault="00C12050" w:rsidP="00B31C32">
            <w:pPr>
              <w:spacing w:before="0" w:after="0"/>
              <w:jc w:val="center"/>
              <w:rPr>
                <w:rFonts w:cs="Calibri"/>
                <w:sz w:val="19"/>
                <w:szCs w:val="19"/>
              </w:rPr>
            </w:pPr>
            <w:r>
              <w:rPr>
                <w:rFonts w:cs="Calibri"/>
                <w:sz w:val="19"/>
                <w:szCs w:val="19"/>
              </w:rPr>
              <w:t>Native</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8824233" w14:textId="77777777" w:rsidR="00C12050" w:rsidRDefault="00C12050" w:rsidP="00B31C32">
            <w:pPr>
              <w:spacing w:before="0" w:after="0"/>
              <w:jc w:val="center"/>
              <w:rPr>
                <w:rFonts w:cs="Calibri"/>
                <w:sz w:val="19"/>
                <w:szCs w:val="19"/>
              </w:rPr>
            </w:pPr>
            <w:r>
              <w:rPr>
                <w:rFonts w:cs="Calibri"/>
                <w:sz w:val="19"/>
                <w:szCs w:val="19"/>
              </w:rPr>
              <w:t>Annual herb</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83286D4" w14:textId="77777777" w:rsidR="00C12050" w:rsidRDefault="00C12050" w:rsidP="00B31C32">
            <w:pPr>
              <w:spacing w:before="0" w:after="0"/>
              <w:jc w:val="center"/>
              <w:rPr>
                <w:rFonts w:cs="Calibri"/>
                <w:sz w:val="19"/>
                <w:szCs w:val="19"/>
              </w:rPr>
            </w:pPr>
            <w:r>
              <w:rPr>
                <w:rFonts w:cs="Calibri"/>
                <w:sz w:val="19"/>
                <w:szCs w:val="19"/>
              </w:rPr>
              <w:t>Flood dependent</w:t>
            </w:r>
          </w:p>
        </w:tc>
      </w:tr>
      <w:tr w:rsidR="00C12050" w14:paraId="4E9D275E"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F8A4993" w14:textId="77777777" w:rsidR="00C12050" w:rsidRDefault="00C12050" w:rsidP="00B31C32">
            <w:pPr>
              <w:spacing w:before="0" w:after="0"/>
              <w:jc w:val="left"/>
              <w:rPr>
                <w:rFonts w:cs="Calibri"/>
                <w:i/>
                <w:iCs/>
                <w:sz w:val="19"/>
                <w:szCs w:val="19"/>
              </w:rPr>
            </w:pPr>
            <w:r>
              <w:rPr>
                <w:rFonts w:cs="Calibri"/>
                <w:i/>
                <w:iCs/>
                <w:sz w:val="19"/>
                <w:szCs w:val="19"/>
              </w:rPr>
              <w:t>Apium graveolens*</w:t>
            </w:r>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7357C91" w14:textId="77777777" w:rsidR="00C12050" w:rsidRDefault="00C12050" w:rsidP="00B31C32">
            <w:pPr>
              <w:spacing w:before="0" w:after="0"/>
              <w:jc w:val="center"/>
              <w:rPr>
                <w:rFonts w:cs="Calibri"/>
                <w:sz w:val="19"/>
                <w:szCs w:val="19"/>
              </w:rPr>
            </w:pPr>
            <w:proofErr w:type="spellStart"/>
            <w:r>
              <w:rPr>
                <w:rFonts w:cs="Calibri"/>
                <w:sz w:val="19"/>
                <w:szCs w:val="19"/>
              </w:rPr>
              <w:t>Apiaceae</w:t>
            </w:r>
            <w:proofErr w:type="spellEnd"/>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9F8C3BB" w14:textId="77777777" w:rsidR="00C12050" w:rsidRDefault="00C12050" w:rsidP="00B31C32">
            <w:pPr>
              <w:spacing w:before="0" w:after="0"/>
              <w:jc w:val="center"/>
              <w:rPr>
                <w:rFonts w:cs="Calibri"/>
                <w:sz w:val="19"/>
                <w:szCs w:val="19"/>
              </w:rPr>
            </w:pPr>
            <w:r>
              <w:rPr>
                <w:rFonts w:cs="Calibri"/>
                <w:sz w:val="19"/>
                <w:szCs w:val="19"/>
              </w:rPr>
              <w:t>Exotic, Naturalised</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779BCEB" w14:textId="77777777" w:rsidR="00C12050" w:rsidRDefault="00C12050" w:rsidP="00B31C32">
            <w:pPr>
              <w:spacing w:before="0" w:after="0"/>
              <w:jc w:val="center"/>
              <w:rPr>
                <w:rFonts w:cs="Calibri"/>
                <w:sz w:val="19"/>
                <w:szCs w:val="19"/>
              </w:rPr>
            </w:pPr>
            <w:r>
              <w:rPr>
                <w:rFonts w:cs="Calibri"/>
                <w:sz w:val="19"/>
                <w:szCs w:val="19"/>
              </w:rPr>
              <w:t>Annual herb</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45150FF" w14:textId="77777777" w:rsidR="00C12050" w:rsidRDefault="00C12050" w:rsidP="00B31C32">
            <w:pPr>
              <w:spacing w:before="0" w:after="0"/>
              <w:jc w:val="center"/>
              <w:rPr>
                <w:rFonts w:cs="Calibri"/>
                <w:sz w:val="19"/>
                <w:szCs w:val="19"/>
              </w:rPr>
            </w:pPr>
            <w:r>
              <w:rPr>
                <w:rFonts w:cs="Calibri"/>
                <w:sz w:val="19"/>
                <w:szCs w:val="19"/>
              </w:rPr>
              <w:t>Terrestrial</w:t>
            </w:r>
          </w:p>
        </w:tc>
      </w:tr>
      <w:tr w:rsidR="00C12050" w14:paraId="59B1B292"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DFC2E17" w14:textId="77777777" w:rsidR="00C12050" w:rsidRDefault="00C12050" w:rsidP="00B31C32">
            <w:pPr>
              <w:spacing w:before="0" w:after="0"/>
              <w:jc w:val="left"/>
              <w:rPr>
                <w:rFonts w:cs="Calibri"/>
                <w:i/>
                <w:iCs/>
                <w:sz w:val="19"/>
                <w:szCs w:val="19"/>
              </w:rPr>
            </w:pPr>
            <w:r>
              <w:rPr>
                <w:rFonts w:cs="Calibri"/>
                <w:i/>
                <w:iCs/>
                <w:sz w:val="19"/>
                <w:szCs w:val="19"/>
              </w:rPr>
              <w:t xml:space="preserve">Atriplex </w:t>
            </w:r>
            <w:proofErr w:type="spellStart"/>
            <w:r>
              <w:rPr>
                <w:rFonts w:cs="Calibri"/>
                <w:i/>
                <w:iCs/>
                <w:sz w:val="19"/>
                <w:szCs w:val="19"/>
              </w:rPr>
              <w:t>suberecta</w:t>
            </w:r>
            <w:proofErr w:type="spellEnd"/>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E812C9A" w14:textId="77777777" w:rsidR="00C12050" w:rsidRDefault="00C12050" w:rsidP="00B31C32">
            <w:pPr>
              <w:spacing w:before="0" w:after="0"/>
              <w:jc w:val="center"/>
              <w:rPr>
                <w:rFonts w:cs="Calibri"/>
                <w:sz w:val="19"/>
                <w:szCs w:val="19"/>
              </w:rPr>
            </w:pPr>
            <w:r>
              <w:rPr>
                <w:rFonts w:cs="Calibri"/>
                <w:sz w:val="19"/>
                <w:szCs w:val="19"/>
              </w:rPr>
              <w:t>Chenopodiaceae</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C9900B6" w14:textId="77777777" w:rsidR="00C12050" w:rsidRDefault="00C12050" w:rsidP="00B31C32">
            <w:pPr>
              <w:spacing w:before="0" w:after="0"/>
              <w:jc w:val="center"/>
              <w:rPr>
                <w:rFonts w:cs="Calibri"/>
                <w:sz w:val="19"/>
                <w:szCs w:val="19"/>
              </w:rPr>
            </w:pPr>
            <w:r>
              <w:rPr>
                <w:rFonts w:cs="Calibri"/>
                <w:sz w:val="19"/>
                <w:szCs w:val="19"/>
              </w:rPr>
              <w:t>Native</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4BD2E1F" w14:textId="77777777" w:rsidR="00C12050" w:rsidRDefault="00C12050" w:rsidP="00B31C32">
            <w:pPr>
              <w:spacing w:before="0" w:after="0"/>
              <w:jc w:val="center"/>
              <w:rPr>
                <w:rFonts w:cs="Calibri"/>
                <w:sz w:val="19"/>
                <w:szCs w:val="19"/>
              </w:rPr>
            </w:pPr>
            <w:r>
              <w:rPr>
                <w:rFonts w:cs="Calibri"/>
                <w:sz w:val="19"/>
                <w:szCs w:val="19"/>
              </w:rPr>
              <w:t>Annual herb</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89F133D" w14:textId="77777777" w:rsidR="00C12050" w:rsidRDefault="00C12050" w:rsidP="00B31C32">
            <w:pPr>
              <w:spacing w:before="0" w:after="0"/>
              <w:jc w:val="center"/>
              <w:rPr>
                <w:rFonts w:cs="Calibri"/>
                <w:sz w:val="19"/>
                <w:szCs w:val="19"/>
              </w:rPr>
            </w:pPr>
            <w:r>
              <w:rPr>
                <w:rFonts w:cs="Calibri"/>
                <w:sz w:val="19"/>
                <w:szCs w:val="19"/>
              </w:rPr>
              <w:t>Flood dependent</w:t>
            </w:r>
          </w:p>
        </w:tc>
      </w:tr>
      <w:tr w:rsidR="00C12050" w14:paraId="5FB53D4B"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11C79B6" w14:textId="77777777" w:rsidR="00C12050" w:rsidRDefault="00C12050" w:rsidP="00B31C32">
            <w:pPr>
              <w:spacing w:before="0" w:after="0"/>
              <w:jc w:val="left"/>
              <w:rPr>
                <w:rFonts w:cs="Calibri"/>
                <w:i/>
                <w:iCs/>
                <w:sz w:val="19"/>
                <w:szCs w:val="19"/>
              </w:rPr>
            </w:pPr>
            <w:proofErr w:type="spellStart"/>
            <w:r>
              <w:rPr>
                <w:rFonts w:cs="Calibri"/>
                <w:i/>
                <w:iCs/>
                <w:sz w:val="19"/>
                <w:szCs w:val="19"/>
              </w:rPr>
              <w:t>Bolboschoenus</w:t>
            </w:r>
            <w:proofErr w:type="spellEnd"/>
            <w:r>
              <w:rPr>
                <w:rFonts w:cs="Calibri"/>
                <w:i/>
                <w:iCs/>
                <w:sz w:val="19"/>
                <w:szCs w:val="19"/>
              </w:rPr>
              <w:t xml:space="preserve"> </w:t>
            </w:r>
            <w:proofErr w:type="spellStart"/>
            <w:r>
              <w:rPr>
                <w:rFonts w:cs="Calibri"/>
                <w:i/>
                <w:iCs/>
                <w:sz w:val="19"/>
                <w:szCs w:val="19"/>
              </w:rPr>
              <w:t>caldwellii</w:t>
            </w:r>
            <w:proofErr w:type="spellEnd"/>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C75F976" w14:textId="77777777" w:rsidR="00C12050" w:rsidRDefault="00C12050" w:rsidP="00B31C32">
            <w:pPr>
              <w:spacing w:before="0" w:after="0"/>
              <w:jc w:val="center"/>
              <w:rPr>
                <w:rFonts w:cs="Calibri"/>
                <w:sz w:val="19"/>
                <w:szCs w:val="19"/>
              </w:rPr>
            </w:pPr>
            <w:proofErr w:type="spellStart"/>
            <w:r>
              <w:rPr>
                <w:rFonts w:cs="Calibri"/>
                <w:sz w:val="19"/>
                <w:szCs w:val="19"/>
              </w:rPr>
              <w:t>Cyperaceae</w:t>
            </w:r>
            <w:proofErr w:type="spellEnd"/>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4EFDC24" w14:textId="77777777" w:rsidR="00C12050" w:rsidRDefault="00C12050" w:rsidP="00B31C32">
            <w:pPr>
              <w:spacing w:before="0" w:after="0"/>
              <w:jc w:val="center"/>
              <w:rPr>
                <w:rFonts w:cs="Calibri"/>
                <w:sz w:val="19"/>
                <w:szCs w:val="19"/>
              </w:rPr>
            </w:pPr>
            <w:r>
              <w:rPr>
                <w:rFonts w:cs="Calibri"/>
                <w:sz w:val="19"/>
                <w:szCs w:val="19"/>
              </w:rPr>
              <w:t>Native</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0DD145E" w14:textId="77777777" w:rsidR="00C12050" w:rsidRDefault="00C12050" w:rsidP="00B31C32">
            <w:pPr>
              <w:spacing w:before="0" w:after="0"/>
              <w:jc w:val="center"/>
              <w:rPr>
                <w:rFonts w:cs="Calibri"/>
                <w:sz w:val="19"/>
                <w:szCs w:val="19"/>
              </w:rPr>
            </w:pPr>
            <w:r>
              <w:rPr>
                <w:rFonts w:cs="Calibri"/>
                <w:sz w:val="19"/>
                <w:szCs w:val="19"/>
              </w:rPr>
              <w:t>Perennial sedge</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C6311F8" w14:textId="77777777" w:rsidR="00C12050" w:rsidRDefault="00C12050" w:rsidP="00B31C32">
            <w:pPr>
              <w:spacing w:before="0" w:after="0"/>
              <w:jc w:val="center"/>
              <w:rPr>
                <w:rFonts w:cs="Calibri"/>
                <w:sz w:val="19"/>
                <w:szCs w:val="19"/>
              </w:rPr>
            </w:pPr>
            <w:r>
              <w:rPr>
                <w:rFonts w:cs="Calibri"/>
                <w:sz w:val="19"/>
                <w:szCs w:val="19"/>
              </w:rPr>
              <w:t>Emergent</w:t>
            </w:r>
          </w:p>
        </w:tc>
      </w:tr>
      <w:tr w:rsidR="00C12050" w14:paraId="728C853A"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6FD5D28" w14:textId="77777777" w:rsidR="00C12050" w:rsidRDefault="00C12050" w:rsidP="00B31C32">
            <w:pPr>
              <w:spacing w:before="0" w:after="0"/>
              <w:jc w:val="left"/>
              <w:rPr>
                <w:rFonts w:cs="Calibri"/>
                <w:i/>
                <w:iCs/>
                <w:sz w:val="19"/>
                <w:szCs w:val="19"/>
              </w:rPr>
            </w:pPr>
            <w:r>
              <w:rPr>
                <w:rFonts w:cs="Calibri"/>
                <w:i/>
                <w:iCs/>
                <w:sz w:val="19"/>
                <w:szCs w:val="19"/>
              </w:rPr>
              <w:t xml:space="preserve">Brachyscome </w:t>
            </w:r>
            <w:proofErr w:type="spellStart"/>
            <w:r>
              <w:rPr>
                <w:rFonts w:cs="Calibri"/>
                <w:i/>
                <w:iCs/>
                <w:sz w:val="19"/>
                <w:szCs w:val="19"/>
              </w:rPr>
              <w:t>paludicola</w:t>
            </w:r>
            <w:proofErr w:type="spellEnd"/>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0EBAB7D" w14:textId="77777777" w:rsidR="00C12050" w:rsidRDefault="00C12050" w:rsidP="00B31C32">
            <w:pPr>
              <w:spacing w:before="0" w:after="0"/>
              <w:jc w:val="center"/>
              <w:rPr>
                <w:rFonts w:cs="Calibri"/>
                <w:sz w:val="19"/>
                <w:szCs w:val="19"/>
              </w:rPr>
            </w:pPr>
            <w:r>
              <w:rPr>
                <w:rFonts w:cs="Calibri"/>
                <w:sz w:val="19"/>
                <w:szCs w:val="19"/>
              </w:rPr>
              <w:t>Asteraceae</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C1E99B9" w14:textId="77777777" w:rsidR="00C12050" w:rsidRDefault="00C12050" w:rsidP="00B31C32">
            <w:pPr>
              <w:spacing w:before="0" w:after="0"/>
              <w:jc w:val="center"/>
              <w:rPr>
                <w:rFonts w:cs="Calibri"/>
                <w:sz w:val="19"/>
                <w:szCs w:val="19"/>
              </w:rPr>
            </w:pPr>
            <w:r>
              <w:rPr>
                <w:rFonts w:cs="Calibri"/>
                <w:sz w:val="19"/>
                <w:szCs w:val="19"/>
              </w:rPr>
              <w:t>Native</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CFC3AB4" w14:textId="77777777" w:rsidR="00C12050" w:rsidRDefault="00C12050" w:rsidP="00B31C32">
            <w:pPr>
              <w:spacing w:before="0" w:after="0"/>
              <w:jc w:val="center"/>
              <w:rPr>
                <w:rFonts w:cs="Calibri"/>
                <w:sz w:val="19"/>
                <w:szCs w:val="19"/>
              </w:rPr>
            </w:pPr>
            <w:r>
              <w:rPr>
                <w:rFonts w:cs="Calibri"/>
                <w:sz w:val="19"/>
                <w:szCs w:val="19"/>
              </w:rPr>
              <w:t>Annual herb</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364F15F" w14:textId="77777777" w:rsidR="00C12050" w:rsidRDefault="00C12050" w:rsidP="00B31C32">
            <w:pPr>
              <w:spacing w:before="0" w:after="0"/>
              <w:jc w:val="center"/>
              <w:rPr>
                <w:rFonts w:cs="Calibri"/>
                <w:sz w:val="19"/>
                <w:szCs w:val="19"/>
              </w:rPr>
            </w:pPr>
            <w:r>
              <w:rPr>
                <w:rFonts w:cs="Calibri"/>
                <w:sz w:val="19"/>
                <w:szCs w:val="19"/>
              </w:rPr>
              <w:t>Flood dependent</w:t>
            </w:r>
          </w:p>
        </w:tc>
      </w:tr>
      <w:tr w:rsidR="00C12050" w14:paraId="6F745DF1"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3DFF95C" w14:textId="77777777" w:rsidR="00C12050" w:rsidRDefault="00C12050" w:rsidP="00B31C32">
            <w:pPr>
              <w:spacing w:before="0" w:after="0"/>
              <w:jc w:val="left"/>
              <w:rPr>
                <w:rFonts w:cs="Calibri"/>
                <w:i/>
                <w:iCs/>
                <w:sz w:val="19"/>
                <w:szCs w:val="19"/>
              </w:rPr>
            </w:pPr>
            <w:r>
              <w:rPr>
                <w:rFonts w:cs="Calibri"/>
                <w:i/>
                <w:iCs/>
                <w:sz w:val="19"/>
                <w:szCs w:val="19"/>
              </w:rPr>
              <w:t xml:space="preserve">Callistemon </w:t>
            </w:r>
            <w:proofErr w:type="spellStart"/>
            <w:r>
              <w:rPr>
                <w:rFonts w:cs="Calibri"/>
                <w:i/>
                <w:iCs/>
                <w:sz w:val="19"/>
                <w:szCs w:val="19"/>
              </w:rPr>
              <w:t>brachyandrus</w:t>
            </w:r>
            <w:proofErr w:type="spellEnd"/>
            <w:r>
              <w:rPr>
                <w:rFonts w:cs="Calibri"/>
                <w:i/>
                <w:iCs/>
                <w:sz w:val="19"/>
                <w:szCs w:val="19"/>
              </w:rPr>
              <w:t>#</w:t>
            </w:r>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26DF87F" w14:textId="77777777" w:rsidR="00C12050" w:rsidRDefault="00C12050" w:rsidP="00B31C32">
            <w:pPr>
              <w:spacing w:before="0" w:after="0"/>
              <w:jc w:val="center"/>
              <w:rPr>
                <w:rFonts w:cs="Calibri"/>
                <w:sz w:val="19"/>
                <w:szCs w:val="19"/>
              </w:rPr>
            </w:pPr>
            <w:proofErr w:type="spellStart"/>
            <w:r>
              <w:rPr>
                <w:rFonts w:cs="Calibri"/>
                <w:sz w:val="19"/>
                <w:szCs w:val="19"/>
              </w:rPr>
              <w:t>Myrtaceae</w:t>
            </w:r>
            <w:proofErr w:type="spellEnd"/>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FE2CAD9" w14:textId="77777777" w:rsidR="00C12050" w:rsidRDefault="00C12050" w:rsidP="00B31C32">
            <w:pPr>
              <w:spacing w:before="0" w:after="0"/>
              <w:jc w:val="center"/>
              <w:rPr>
                <w:rFonts w:cs="Calibri"/>
                <w:sz w:val="19"/>
                <w:szCs w:val="19"/>
              </w:rPr>
            </w:pPr>
            <w:r>
              <w:rPr>
                <w:rFonts w:cs="Calibri"/>
                <w:sz w:val="19"/>
                <w:szCs w:val="19"/>
              </w:rPr>
              <w:t>Native, Rare in South Australia</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A8CAED6" w14:textId="77777777" w:rsidR="00C12050" w:rsidRDefault="00C12050" w:rsidP="00B31C32">
            <w:pPr>
              <w:spacing w:before="0" w:after="0"/>
              <w:jc w:val="center"/>
              <w:rPr>
                <w:rFonts w:cs="Calibri"/>
                <w:sz w:val="19"/>
                <w:szCs w:val="19"/>
              </w:rPr>
            </w:pPr>
            <w:r>
              <w:rPr>
                <w:rFonts w:cs="Calibri"/>
                <w:sz w:val="19"/>
                <w:szCs w:val="19"/>
              </w:rPr>
              <w:t>Perennial shrub</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21C36EF" w14:textId="77777777" w:rsidR="00C12050" w:rsidRDefault="00C12050" w:rsidP="00B31C32">
            <w:pPr>
              <w:spacing w:before="0" w:after="0"/>
              <w:jc w:val="center"/>
              <w:rPr>
                <w:rFonts w:cs="Calibri"/>
                <w:sz w:val="19"/>
                <w:szCs w:val="19"/>
              </w:rPr>
            </w:pPr>
            <w:r>
              <w:rPr>
                <w:rFonts w:cs="Calibri"/>
                <w:sz w:val="19"/>
                <w:szCs w:val="19"/>
              </w:rPr>
              <w:t>Amphibious</w:t>
            </w:r>
          </w:p>
        </w:tc>
      </w:tr>
      <w:tr w:rsidR="00C12050" w14:paraId="59D11B73"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E44CEB3" w14:textId="77777777" w:rsidR="00C12050" w:rsidRDefault="00C12050" w:rsidP="00B31C32">
            <w:pPr>
              <w:spacing w:before="0" w:after="0"/>
              <w:jc w:val="left"/>
              <w:rPr>
                <w:rFonts w:cs="Calibri"/>
                <w:i/>
                <w:iCs/>
                <w:sz w:val="19"/>
                <w:szCs w:val="19"/>
              </w:rPr>
            </w:pPr>
            <w:r>
              <w:rPr>
                <w:rFonts w:cs="Calibri"/>
                <w:i/>
                <w:iCs/>
                <w:sz w:val="19"/>
                <w:szCs w:val="19"/>
              </w:rPr>
              <w:t xml:space="preserve">Centaurea </w:t>
            </w:r>
            <w:proofErr w:type="spellStart"/>
            <w:r>
              <w:rPr>
                <w:rFonts w:cs="Calibri"/>
                <w:i/>
                <w:iCs/>
                <w:sz w:val="19"/>
                <w:szCs w:val="19"/>
              </w:rPr>
              <w:t>calcitrapa</w:t>
            </w:r>
            <w:proofErr w:type="spellEnd"/>
            <w:r>
              <w:rPr>
                <w:rFonts w:cs="Calibri"/>
                <w:i/>
                <w:iCs/>
                <w:sz w:val="19"/>
                <w:szCs w:val="19"/>
              </w:rPr>
              <w:t>*</w:t>
            </w:r>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0BA9574" w14:textId="77777777" w:rsidR="00C12050" w:rsidRDefault="00C12050" w:rsidP="00B31C32">
            <w:pPr>
              <w:spacing w:before="0" w:after="0"/>
              <w:jc w:val="center"/>
              <w:rPr>
                <w:rFonts w:cs="Calibri"/>
                <w:sz w:val="19"/>
                <w:szCs w:val="19"/>
              </w:rPr>
            </w:pPr>
            <w:r>
              <w:rPr>
                <w:rFonts w:cs="Calibri"/>
                <w:sz w:val="19"/>
                <w:szCs w:val="19"/>
              </w:rPr>
              <w:t>Asteraceae</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104303F" w14:textId="77777777" w:rsidR="00C12050" w:rsidRDefault="00C12050" w:rsidP="00B31C32">
            <w:pPr>
              <w:spacing w:before="0" w:after="0"/>
              <w:jc w:val="center"/>
              <w:rPr>
                <w:rFonts w:cs="Calibri"/>
                <w:sz w:val="19"/>
                <w:szCs w:val="19"/>
              </w:rPr>
            </w:pPr>
            <w:r>
              <w:rPr>
                <w:rFonts w:cs="Calibri"/>
                <w:sz w:val="19"/>
                <w:szCs w:val="19"/>
              </w:rPr>
              <w:t>Exotic, Naturalised</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8BBC80F" w14:textId="77777777" w:rsidR="00C12050" w:rsidRDefault="00C12050" w:rsidP="00B31C32">
            <w:pPr>
              <w:spacing w:before="0" w:after="0"/>
              <w:jc w:val="center"/>
              <w:rPr>
                <w:rFonts w:cs="Calibri"/>
                <w:sz w:val="19"/>
                <w:szCs w:val="19"/>
              </w:rPr>
            </w:pPr>
            <w:r>
              <w:rPr>
                <w:rFonts w:cs="Calibri"/>
                <w:sz w:val="19"/>
                <w:szCs w:val="19"/>
              </w:rPr>
              <w:t>Annual herb</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6F6EC39" w14:textId="77777777" w:rsidR="00C12050" w:rsidRDefault="00C12050" w:rsidP="00B31C32">
            <w:pPr>
              <w:spacing w:before="0" w:after="0"/>
              <w:jc w:val="center"/>
              <w:rPr>
                <w:rFonts w:cs="Calibri"/>
                <w:sz w:val="19"/>
                <w:szCs w:val="19"/>
              </w:rPr>
            </w:pPr>
            <w:r>
              <w:rPr>
                <w:rFonts w:cs="Calibri"/>
                <w:sz w:val="19"/>
                <w:szCs w:val="19"/>
              </w:rPr>
              <w:t>Terrestrial</w:t>
            </w:r>
          </w:p>
        </w:tc>
      </w:tr>
      <w:tr w:rsidR="00C12050" w14:paraId="22ECCB4A"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616F553" w14:textId="77777777" w:rsidR="00C12050" w:rsidRDefault="00C12050" w:rsidP="00B31C32">
            <w:pPr>
              <w:spacing w:before="0" w:after="0"/>
              <w:jc w:val="left"/>
              <w:rPr>
                <w:rFonts w:cs="Calibri"/>
                <w:i/>
                <w:iCs/>
                <w:sz w:val="19"/>
                <w:szCs w:val="19"/>
              </w:rPr>
            </w:pPr>
            <w:proofErr w:type="spellStart"/>
            <w:r>
              <w:rPr>
                <w:rFonts w:cs="Calibri"/>
                <w:i/>
                <w:iCs/>
                <w:sz w:val="19"/>
                <w:szCs w:val="19"/>
              </w:rPr>
              <w:t>Centipeda</w:t>
            </w:r>
            <w:proofErr w:type="spellEnd"/>
            <w:r>
              <w:rPr>
                <w:rFonts w:cs="Calibri"/>
                <w:i/>
                <w:iCs/>
                <w:sz w:val="19"/>
                <w:szCs w:val="19"/>
              </w:rPr>
              <w:t xml:space="preserve"> minima</w:t>
            </w:r>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9CE563A" w14:textId="77777777" w:rsidR="00C12050" w:rsidRDefault="00C12050" w:rsidP="00B31C32">
            <w:pPr>
              <w:spacing w:before="0" w:after="0"/>
              <w:jc w:val="center"/>
              <w:rPr>
                <w:rFonts w:cs="Calibri"/>
                <w:sz w:val="19"/>
                <w:szCs w:val="19"/>
              </w:rPr>
            </w:pPr>
            <w:r>
              <w:rPr>
                <w:rFonts w:cs="Calibri"/>
                <w:sz w:val="19"/>
                <w:szCs w:val="19"/>
              </w:rPr>
              <w:t>Asteraceae</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BCEF08B" w14:textId="77777777" w:rsidR="00C12050" w:rsidRDefault="00C12050" w:rsidP="00B31C32">
            <w:pPr>
              <w:spacing w:before="0" w:after="0"/>
              <w:jc w:val="center"/>
              <w:rPr>
                <w:rFonts w:cs="Calibri"/>
                <w:sz w:val="19"/>
                <w:szCs w:val="19"/>
              </w:rPr>
            </w:pPr>
            <w:r>
              <w:rPr>
                <w:rFonts w:cs="Calibri"/>
                <w:sz w:val="19"/>
                <w:szCs w:val="19"/>
              </w:rPr>
              <w:t>Native</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CEEFFE7" w14:textId="77777777" w:rsidR="00C12050" w:rsidRDefault="00C12050" w:rsidP="00B31C32">
            <w:pPr>
              <w:spacing w:before="0" w:after="0"/>
              <w:jc w:val="center"/>
              <w:rPr>
                <w:rFonts w:cs="Calibri"/>
                <w:sz w:val="19"/>
                <w:szCs w:val="19"/>
              </w:rPr>
            </w:pPr>
            <w:r>
              <w:rPr>
                <w:rFonts w:cs="Calibri"/>
                <w:sz w:val="19"/>
                <w:szCs w:val="19"/>
              </w:rPr>
              <w:t>Annual herb</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7DC210E" w14:textId="77777777" w:rsidR="00C12050" w:rsidRDefault="00C12050" w:rsidP="00B31C32">
            <w:pPr>
              <w:spacing w:before="0" w:after="0"/>
              <w:jc w:val="center"/>
              <w:rPr>
                <w:rFonts w:cs="Calibri"/>
                <w:sz w:val="19"/>
                <w:szCs w:val="19"/>
              </w:rPr>
            </w:pPr>
            <w:r>
              <w:rPr>
                <w:rFonts w:cs="Calibri"/>
                <w:sz w:val="19"/>
                <w:szCs w:val="19"/>
              </w:rPr>
              <w:t>Flood dependent</w:t>
            </w:r>
          </w:p>
        </w:tc>
      </w:tr>
      <w:tr w:rsidR="00C12050" w14:paraId="7F64FAEF"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13F8802" w14:textId="77777777" w:rsidR="00C12050" w:rsidRDefault="00C12050" w:rsidP="00B31C32">
            <w:pPr>
              <w:spacing w:before="0" w:after="0"/>
              <w:jc w:val="left"/>
              <w:rPr>
                <w:rFonts w:cs="Calibri"/>
                <w:i/>
                <w:iCs/>
                <w:sz w:val="19"/>
                <w:szCs w:val="19"/>
              </w:rPr>
            </w:pPr>
            <w:r>
              <w:rPr>
                <w:rFonts w:cs="Calibri"/>
                <w:i/>
                <w:iCs/>
                <w:sz w:val="19"/>
                <w:szCs w:val="19"/>
              </w:rPr>
              <w:t xml:space="preserve">Cyperus </w:t>
            </w:r>
            <w:proofErr w:type="spellStart"/>
            <w:r>
              <w:rPr>
                <w:rFonts w:cs="Calibri"/>
                <w:i/>
                <w:iCs/>
                <w:sz w:val="19"/>
                <w:szCs w:val="19"/>
              </w:rPr>
              <w:t>gymnocaulos</w:t>
            </w:r>
            <w:proofErr w:type="spellEnd"/>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D51A26C" w14:textId="77777777" w:rsidR="00C12050" w:rsidRDefault="00C12050" w:rsidP="00B31C32">
            <w:pPr>
              <w:spacing w:before="0" w:after="0"/>
              <w:jc w:val="center"/>
              <w:rPr>
                <w:rFonts w:cs="Calibri"/>
                <w:sz w:val="19"/>
                <w:szCs w:val="19"/>
              </w:rPr>
            </w:pPr>
            <w:proofErr w:type="spellStart"/>
            <w:r>
              <w:rPr>
                <w:rFonts w:cs="Calibri"/>
                <w:sz w:val="19"/>
                <w:szCs w:val="19"/>
              </w:rPr>
              <w:t>Cyperaceae</w:t>
            </w:r>
            <w:proofErr w:type="spellEnd"/>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FD0E014" w14:textId="77777777" w:rsidR="00C12050" w:rsidRDefault="00C12050" w:rsidP="00B31C32">
            <w:pPr>
              <w:spacing w:before="0" w:after="0"/>
              <w:jc w:val="center"/>
              <w:rPr>
                <w:rFonts w:cs="Calibri"/>
                <w:sz w:val="19"/>
                <w:szCs w:val="19"/>
              </w:rPr>
            </w:pPr>
            <w:r>
              <w:rPr>
                <w:rFonts w:cs="Calibri"/>
                <w:sz w:val="19"/>
                <w:szCs w:val="19"/>
              </w:rPr>
              <w:t>Native</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B3126BE" w14:textId="77777777" w:rsidR="00C12050" w:rsidRDefault="00C12050" w:rsidP="00B31C32">
            <w:pPr>
              <w:spacing w:before="0" w:after="0"/>
              <w:jc w:val="center"/>
              <w:rPr>
                <w:rFonts w:cs="Calibri"/>
                <w:sz w:val="19"/>
                <w:szCs w:val="19"/>
              </w:rPr>
            </w:pPr>
            <w:r>
              <w:rPr>
                <w:rFonts w:cs="Calibri"/>
                <w:sz w:val="19"/>
                <w:szCs w:val="19"/>
              </w:rPr>
              <w:t>Perennial sedge</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7A8522B" w14:textId="77777777" w:rsidR="00C12050" w:rsidRDefault="00C12050" w:rsidP="00B31C32">
            <w:pPr>
              <w:spacing w:before="0" w:after="0"/>
              <w:jc w:val="center"/>
              <w:rPr>
                <w:rFonts w:cs="Calibri"/>
                <w:sz w:val="19"/>
                <w:szCs w:val="19"/>
              </w:rPr>
            </w:pPr>
            <w:r>
              <w:rPr>
                <w:rFonts w:cs="Calibri"/>
                <w:sz w:val="19"/>
                <w:szCs w:val="19"/>
              </w:rPr>
              <w:t>Amphibious</w:t>
            </w:r>
          </w:p>
        </w:tc>
      </w:tr>
      <w:tr w:rsidR="00C12050" w14:paraId="39C129F6"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FFB8F52" w14:textId="77777777" w:rsidR="00C12050" w:rsidRDefault="00C12050" w:rsidP="00B31C32">
            <w:pPr>
              <w:spacing w:before="0" w:after="0"/>
              <w:jc w:val="left"/>
              <w:rPr>
                <w:rFonts w:cs="Calibri"/>
                <w:i/>
                <w:iCs/>
                <w:sz w:val="19"/>
                <w:szCs w:val="19"/>
              </w:rPr>
            </w:pPr>
            <w:proofErr w:type="spellStart"/>
            <w:r>
              <w:rPr>
                <w:rFonts w:cs="Calibri"/>
                <w:i/>
                <w:iCs/>
                <w:sz w:val="19"/>
                <w:szCs w:val="19"/>
              </w:rPr>
              <w:t>Dittrichia</w:t>
            </w:r>
            <w:proofErr w:type="spellEnd"/>
            <w:r>
              <w:rPr>
                <w:rFonts w:cs="Calibri"/>
                <w:i/>
                <w:iCs/>
                <w:sz w:val="19"/>
                <w:szCs w:val="19"/>
              </w:rPr>
              <w:t xml:space="preserve"> graveolens*</w:t>
            </w:r>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0B6173A" w14:textId="77777777" w:rsidR="00C12050" w:rsidRDefault="00C12050" w:rsidP="00B31C32">
            <w:pPr>
              <w:spacing w:before="0" w:after="0"/>
              <w:jc w:val="center"/>
              <w:rPr>
                <w:rFonts w:cs="Calibri"/>
                <w:sz w:val="19"/>
                <w:szCs w:val="19"/>
              </w:rPr>
            </w:pPr>
            <w:r>
              <w:rPr>
                <w:rFonts w:cs="Calibri"/>
                <w:sz w:val="19"/>
                <w:szCs w:val="19"/>
              </w:rPr>
              <w:t>Asteraceae</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4A5EF1F" w14:textId="77777777" w:rsidR="00C12050" w:rsidRDefault="00C12050" w:rsidP="00B31C32">
            <w:pPr>
              <w:spacing w:before="0" w:after="0"/>
              <w:jc w:val="center"/>
              <w:rPr>
                <w:rFonts w:cs="Calibri"/>
                <w:sz w:val="19"/>
                <w:szCs w:val="19"/>
              </w:rPr>
            </w:pPr>
            <w:r>
              <w:rPr>
                <w:rFonts w:cs="Calibri"/>
                <w:sz w:val="19"/>
                <w:szCs w:val="19"/>
              </w:rPr>
              <w:t>Exotic, Naturalised</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CD37D69" w14:textId="77777777" w:rsidR="00C12050" w:rsidRDefault="00C12050" w:rsidP="00B31C32">
            <w:pPr>
              <w:spacing w:before="0" w:after="0"/>
              <w:jc w:val="center"/>
              <w:rPr>
                <w:rFonts w:cs="Calibri"/>
                <w:sz w:val="19"/>
                <w:szCs w:val="19"/>
              </w:rPr>
            </w:pPr>
            <w:r>
              <w:rPr>
                <w:rFonts w:cs="Calibri"/>
                <w:sz w:val="19"/>
                <w:szCs w:val="19"/>
              </w:rPr>
              <w:t>Annual herb</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87EF670" w14:textId="77777777" w:rsidR="00C12050" w:rsidRDefault="00C12050" w:rsidP="00B31C32">
            <w:pPr>
              <w:spacing w:before="0" w:after="0"/>
              <w:jc w:val="center"/>
              <w:rPr>
                <w:rFonts w:cs="Calibri"/>
                <w:sz w:val="19"/>
                <w:szCs w:val="19"/>
              </w:rPr>
            </w:pPr>
            <w:r>
              <w:rPr>
                <w:rFonts w:cs="Calibri"/>
                <w:sz w:val="19"/>
                <w:szCs w:val="19"/>
              </w:rPr>
              <w:t>Terrestrial</w:t>
            </w:r>
          </w:p>
        </w:tc>
      </w:tr>
      <w:tr w:rsidR="00C12050" w14:paraId="5A0FDAD8"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273A533" w14:textId="77777777" w:rsidR="00C12050" w:rsidRDefault="00C12050" w:rsidP="00B31C32">
            <w:pPr>
              <w:spacing w:before="0" w:after="0"/>
              <w:jc w:val="left"/>
              <w:rPr>
                <w:rFonts w:cs="Calibri"/>
                <w:i/>
                <w:iCs/>
                <w:sz w:val="19"/>
                <w:szCs w:val="19"/>
              </w:rPr>
            </w:pPr>
            <w:r>
              <w:rPr>
                <w:rFonts w:cs="Calibri"/>
                <w:i/>
                <w:iCs/>
                <w:sz w:val="19"/>
                <w:szCs w:val="19"/>
              </w:rPr>
              <w:t xml:space="preserve">Duma </w:t>
            </w:r>
            <w:proofErr w:type="spellStart"/>
            <w:r>
              <w:rPr>
                <w:rFonts w:cs="Calibri"/>
                <w:i/>
                <w:iCs/>
                <w:sz w:val="19"/>
                <w:szCs w:val="19"/>
              </w:rPr>
              <w:t>florulenta</w:t>
            </w:r>
            <w:proofErr w:type="spellEnd"/>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9955F68" w14:textId="77777777" w:rsidR="00C12050" w:rsidRDefault="00C12050" w:rsidP="00B31C32">
            <w:pPr>
              <w:spacing w:before="0" w:after="0"/>
              <w:jc w:val="center"/>
              <w:rPr>
                <w:rFonts w:cs="Calibri"/>
                <w:sz w:val="19"/>
                <w:szCs w:val="19"/>
              </w:rPr>
            </w:pPr>
            <w:proofErr w:type="spellStart"/>
            <w:r>
              <w:rPr>
                <w:rFonts w:cs="Calibri"/>
                <w:sz w:val="19"/>
                <w:szCs w:val="19"/>
              </w:rPr>
              <w:t>Polygonaceae</w:t>
            </w:r>
            <w:proofErr w:type="spellEnd"/>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279F65E" w14:textId="77777777" w:rsidR="00C12050" w:rsidRDefault="00C12050" w:rsidP="00B31C32">
            <w:pPr>
              <w:spacing w:before="0" w:after="0"/>
              <w:jc w:val="center"/>
              <w:rPr>
                <w:rFonts w:cs="Calibri"/>
                <w:sz w:val="19"/>
                <w:szCs w:val="19"/>
              </w:rPr>
            </w:pPr>
            <w:r>
              <w:rPr>
                <w:rFonts w:cs="Calibri"/>
                <w:sz w:val="19"/>
                <w:szCs w:val="19"/>
              </w:rPr>
              <w:t>Native</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BED48F8" w14:textId="77777777" w:rsidR="00C12050" w:rsidRDefault="00C12050" w:rsidP="00B31C32">
            <w:pPr>
              <w:spacing w:before="0" w:after="0"/>
              <w:jc w:val="center"/>
              <w:rPr>
                <w:rFonts w:cs="Calibri"/>
                <w:sz w:val="19"/>
                <w:szCs w:val="19"/>
              </w:rPr>
            </w:pPr>
            <w:r>
              <w:rPr>
                <w:rFonts w:cs="Calibri"/>
                <w:sz w:val="19"/>
                <w:szCs w:val="19"/>
              </w:rPr>
              <w:t>Perennial shrub</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9151D40" w14:textId="77777777" w:rsidR="00C12050" w:rsidRDefault="00C12050" w:rsidP="00B31C32">
            <w:pPr>
              <w:spacing w:before="0" w:after="0"/>
              <w:jc w:val="center"/>
              <w:rPr>
                <w:rFonts w:cs="Calibri"/>
                <w:sz w:val="19"/>
                <w:szCs w:val="19"/>
              </w:rPr>
            </w:pPr>
            <w:r>
              <w:rPr>
                <w:rFonts w:cs="Calibri"/>
                <w:sz w:val="19"/>
                <w:szCs w:val="19"/>
              </w:rPr>
              <w:t>Amphibious</w:t>
            </w:r>
          </w:p>
        </w:tc>
      </w:tr>
      <w:tr w:rsidR="00C12050" w14:paraId="37BB2415"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D4B6BF5" w14:textId="77777777" w:rsidR="00C12050" w:rsidRDefault="00C12050" w:rsidP="00B31C32">
            <w:pPr>
              <w:spacing w:before="0" w:after="0"/>
              <w:jc w:val="left"/>
              <w:rPr>
                <w:rFonts w:cs="Calibri"/>
                <w:i/>
                <w:iCs/>
                <w:sz w:val="19"/>
                <w:szCs w:val="19"/>
              </w:rPr>
            </w:pPr>
            <w:proofErr w:type="spellStart"/>
            <w:r>
              <w:rPr>
                <w:rFonts w:cs="Calibri"/>
                <w:i/>
                <w:iCs/>
                <w:sz w:val="19"/>
                <w:szCs w:val="19"/>
              </w:rPr>
              <w:t>Einadia</w:t>
            </w:r>
            <w:proofErr w:type="spellEnd"/>
            <w:r>
              <w:rPr>
                <w:rFonts w:cs="Calibri"/>
                <w:i/>
                <w:iCs/>
                <w:sz w:val="19"/>
                <w:szCs w:val="19"/>
              </w:rPr>
              <w:t xml:space="preserve"> nutans</w:t>
            </w:r>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1796787" w14:textId="77777777" w:rsidR="00C12050" w:rsidRDefault="00C12050" w:rsidP="00B31C32">
            <w:pPr>
              <w:spacing w:before="0" w:after="0"/>
              <w:jc w:val="center"/>
              <w:rPr>
                <w:rFonts w:cs="Calibri"/>
                <w:sz w:val="19"/>
                <w:szCs w:val="19"/>
              </w:rPr>
            </w:pPr>
            <w:r>
              <w:rPr>
                <w:rFonts w:cs="Calibri"/>
                <w:sz w:val="19"/>
                <w:szCs w:val="19"/>
              </w:rPr>
              <w:t>Chenopodiaceae</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985717E" w14:textId="77777777" w:rsidR="00C12050" w:rsidRDefault="00C12050" w:rsidP="00B31C32">
            <w:pPr>
              <w:spacing w:before="0" w:after="0"/>
              <w:jc w:val="center"/>
              <w:rPr>
                <w:rFonts w:cs="Calibri"/>
                <w:sz w:val="19"/>
                <w:szCs w:val="19"/>
              </w:rPr>
            </w:pPr>
            <w:r>
              <w:rPr>
                <w:rFonts w:cs="Calibri"/>
                <w:sz w:val="19"/>
                <w:szCs w:val="19"/>
              </w:rPr>
              <w:t>Native</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F5FEB9B" w14:textId="77777777" w:rsidR="00C12050" w:rsidRDefault="00C12050" w:rsidP="00B31C32">
            <w:pPr>
              <w:spacing w:before="0" w:after="0"/>
              <w:jc w:val="center"/>
              <w:rPr>
                <w:rFonts w:cs="Calibri"/>
                <w:sz w:val="19"/>
                <w:szCs w:val="19"/>
              </w:rPr>
            </w:pPr>
            <w:r>
              <w:rPr>
                <w:rFonts w:cs="Calibri"/>
                <w:sz w:val="19"/>
                <w:szCs w:val="19"/>
              </w:rPr>
              <w:t>Perennial sub-shrub</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DDE644F" w14:textId="77777777" w:rsidR="00C12050" w:rsidRDefault="00C12050" w:rsidP="00B31C32">
            <w:pPr>
              <w:spacing w:before="0" w:after="0"/>
              <w:jc w:val="center"/>
              <w:rPr>
                <w:rFonts w:cs="Calibri"/>
                <w:sz w:val="19"/>
                <w:szCs w:val="19"/>
              </w:rPr>
            </w:pPr>
            <w:r>
              <w:rPr>
                <w:rFonts w:cs="Calibri"/>
                <w:sz w:val="19"/>
                <w:szCs w:val="19"/>
              </w:rPr>
              <w:t>Terrestrial</w:t>
            </w:r>
          </w:p>
        </w:tc>
      </w:tr>
      <w:tr w:rsidR="00C12050" w14:paraId="4D989AC0"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1641D5C" w14:textId="77777777" w:rsidR="00C12050" w:rsidRDefault="00C12050" w:rsidP="00B31C32">
            <w:pPr>
              <w:spacing w:before="0" w:after="0"/>
              <w:jc w:val="left"/>
              <w:rPr>
                <w:rFonts w:cs="Calibri"/>
                <w:i/>
                <w:iCs/>
                <w:sz w:val="19"/>
                <w:szCs w:val="19"/>
              </w:rPr>
            </w:pPr>
            <w:r>
              <w:rPr>
                <w:rFonts w:cs="Calibri"/>
                <w:i/>
                <w:iCs/>
                <w:sz w:val="19"/>
                <w:szCs w:val="19"/>
              </w:rPr>
              <w:t>Eleocharis acuta</w:t>
            </w:r>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8C72333" w14:textId="77777777" w:rsidR="00C12050" w:rsidRDefault="00C12050" w:rsidP="00B31C32">
            <w:pPr>
              <w:spacing w:before="0" w:after="0"/>
              <w:jc w:val="center"/>
              <w:rPr>
                <w:rFonts w:cs="Calibri"/>
                <w:sz w:val="19"/>
                <w:szCs w:val="19"/>
              </w:rPr>
            </w:pPr>
            <w:proofErr w:type="spellStart"/>
            <w:r>
              <w:rPr>
                <w:rFonts w:cs="Calibri"/>
                <w:sz w:val="19"/>
                <w:szCs w:val="19"/>
              </w:rPr>
              <w:t>Cyperaceae</w:t>
            </w:r>
            <w:proofErr w:type="spellEnd"/>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A9E07A9" w14:textId="77777777" w:rsidR="00C12050" w:rsidRDefault="00C12050" w:rsidP="00B31C32">
            <w:pPr>
              <w:spacing w:before="0" w:after="0"/>
              <w:jc w:val="center"/>
              <w:rPr>
                <w:rFonts w:cs="Calibri"/>
                <w:sz w:val="19"/>
                <w:szCs w:val="19"/>
              </w:rPr>
            </w:pPr>
            <w:r>
              <w:rPr>
                <w:rFonts w:cs="Calibri"/>
                <w:sz w:val="19"/>
                <w:szCs w:val="19"/>
              </w:rPr>
              <w:t>Native</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B98B7B6" w14:textId="77777777" w:rsidR="00C12050" w:rsidRDefault="00C12050" w:rsidP="00B31C32">
            <w:pPr>
              <w:spacing w:before="0" w:after="0"/>
              <w:jc w:val="center"/>
              <w:rPr>
                <w:rFonts w:cs="Calibri"/>
                <w:sz w:val="19"/>
                <w:szCs w:val="19"/>
              </w:rPr>
            </w:pPr>
            <w:r>
              <w:rPr>
                <w:rFonts w:cs="Calibri"/>
                <w:sz w:val="19"/>
                <w:szCs w:val="19"/>
              </w:rPr>
              <w:t>Perennial sedge</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CCC885F" w14:textId="77777777" w:rsidR="00C12050" w:rsidRDefault="00C12050" w:rsidP="00B31C32">
            <w:pPr>
              <w:spacing w:before="0" w:after="0"/>
              <w:jc w:val="center"/>
              <w:rPr>
                <w:rFonts w:cs="Calibri"/>
                <w:sz w:val="19"/>
                <w:szCs w:val="19"/>
              </w:rPr>
            </w:pPr>
            <w:r>
              <w:rPr>
                <w:rFonts w:cs="Calibri"/>
                <w:sz w:val="19"/>
                <w:szCs w:val="19"/>
              </w:rPr>
              <w:t>Emergent</w:t>
            </w:r>
          </w:p>
        </w:tc>
      </w:tr>
      <w:tr w:rsidR="00C12050" w14:paraId="52401FCB"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2758380" w14:textId="77777777" w:rsidR="00C12050" w:rsidRDefault="00C12050" w:rsidP="00B31C32">
            <w:pPr>
              <w:spacing w:before="0" w:after="0"/>
              <w:jc w:val="left"/>
              <w:rPr>
                <w:rFonts w:cs="Calibri"/>
                <w:i/>
                <w:iCs/>
                <w:sz w:val="19"/>
                <w:szCs w:val="19"/>
              </w:rPr>
            </w:pPr>
            <w:proofErr w:type="spellStart"/>
            <w:r>
              <w:rPr>
                <w:rFonts w:cs="Calibri"/>
                <w:i/>
                <w:iCs/>
                <w:sz w:val="19"/>
                <w:szCs w:val="19"/>
              </w:rPr>
              <w:t>Enchylaena</w:t>
            </w:r>
            <w:proofErr w:type="spellEnd"/>
            <w:r>
              <w:rPr>
                <w:rFonts w:cs="Calibri"/>
                <w:i/>
                <w:iCs/>
                <w:sz w:val="19"/>
                <w:szCs w:val="19"/>
              </w:rPr>
              <w:t xml:space="preserve"> tomentosa</w:t>
            </w:r>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142B7D8" w14:textId="77777777" w:rsidR="00C12050" w:rsidRDefault="00C12050" w:rsidP="00B31C32">
            <w:pPr>
              <w:spacing w:before="0" w:after="0"/>
              <w:jc w:val="center"/>
              <w:rPr>
                <w:rFonts w:cs="Calibri"/>
                <w:sz w:val="19"/>
                <w:szCs w:val="19"/>
              </w:rPr>
            </w:pPr>
            <w:r>
              <w:rPr>
                <w:rFonts w:cs="Calibri"/>
                <w:sz w:val="19"/>
                <w:szCs w:val="19"/>
              </w:rPr>
              <w:t>Chenopodiaceae</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7939424" w14:textId="77777777" w:rsidR="00C12050" w:rsidRDefault="00C12050" w:rsidP="00B31C32">
            <w:pPr>
              <w:spacing w:before="0" w:after="0"/>
              <w:jc w:val="center"/>
              <w:rPr>
                <w:rFonts w:cs="Calibri"/>
                <w:sz w:val="19"/>
                <w:szCs w:val="19"/>
              </w:rPr>
            </w:pPr>
            <w:r>
              <w:rPr>
                <w:rFonts w:cs="Calibri"/>
                <w:sz w:val="19"/>
                <w:szCs w:val="19"/>
              </w:rPr>
              <w:t>Native</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3A6E52C" w14:textId="77777777" w:rsidR="00C12050" w:rsidRDefault="00C12050" w:rsidP="00B31C32">
            <w:pPr>
              <w:spacing w:before="0" w:after="0"/>
              <w:jc w:val="center"/>
              <w:rPr>
                <w:rFonts w:cs="Calibri"/>
                <w:sz w:val="19"/>
                <w:szCs w:val="19"/>
              </w:rPr>
            </w:pPr>
            <w:r>
              <w:rPr>
                <w:rFonts w:cs="Calibri"/>
                <w:sz w:val="19"/>
                <w:szCs w:val="19"/>
              </w:rPr>
              <w:t>Perennial sub-shrub</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4B29664" w14:textId="77777777" w:rsidR="00C12050" w:rsidRDefault="00C12050" w:rsidP="00B31C32">
            <w:pPr>
              <w:spacing w:before="0" w:after="0"/>
              <w:jc w:val="center"/>
              <w:rPr>
                <w:rFonts w:cs="Calibri"/>
                <w:sz w:val="19"/>
                <w:szCs w:val="19"/>
              </w:rPr>
            </w:pPr>
            <w:r>
              <w:rPr>
                <w:rFonts w:cs="Calibri"/>
                <w:sz w:val="19"/>
                <w:szCs w:val="19"/>
              </w:rPr>
              <w:t>Terrestrial</w:t>
            </w:r>
          </w:p>
        </w:tc>
      </w:tr>
      <w:tr w:rsidR="00C12050" w14:paraId="29CEA189"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11081B2" w14:textId="77777777" w:rsidR="00C12050" w:rsidRDefault="00C12050" w:rsidP="00B31C32">
            <w:pPr>
              <w:spacing w:before="0" w:after="0"/>
              <w:jc w:val="left"/>
              <w:rPr>
                <w:rFonts w:cs="Calibri"/>
                <w:i/>
                <w:iCs/>
                <w:sz w:val="19"/>
                <w:szCs w:val="19"/>
              </w:rPr>
            </w:pPr>
            <w:r>
              <w:rPr>
                <w:rFonts w:cs="Calibri"/>
                <w:i/>
                <w:iCs/>
                <w:sz w:val="19"/>
                <w:szCs w:val="19"/>
              </w:rPr>
              <w:t xml:space="preserve">Erigeron </w:t>
            </w:r>
            <w:proofErr w:type="spellStart"/>
            <w:r>
              <w:rPr>
                <w:rFonts w:cs="Calibri"/>
                <w:i/>
                <w:iCs/>
                <w:sz w:val="19"/>
                <w:szCs w:val="19"/>
              </w:rPr>
              <w:t>bonariensis</w:t>
            </w:r>
            <w:proofErr w:type="spellEnd"/>
            <w:r>
              <w:rPr>
                <w:rFonts w:cs="Calibri"/>
                <w:i/>
                <w:iCs/>
                <w:sz w:val="19"/>
                <w:szCs w:val="19"/>
              </w:rPr>
              <w:t>*</w:t>
            </w:r>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14C400F" w14:textId="77777777" w:rsidR="00C12050" w:rsidRDefault="00C12050" w:rsidP="00B31C32">
            <w:pPr>
              <w:spacing w:before="0" w:after="0"/>
              <w:jc w:val="center"/>
              <w:rPr>
                <w:rFonts w:cs="Calibri"/>
                <w:sz w:val="19"/>
                <w:szCs w:val="19"/>
              </w:rPr>
            </w:pPr>
            <w:r>
              <w:rPr>
                <w:rFonts w:cs="Calibri"/>
                <w:sz w:val="19"/>
                <w:szCs w:val="19"/>
              </w:rPr>
              <w:t>Asteraceae</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5427AB6" w14:textId="77777777" w:rsidR="00C12050" w:rsidRDefault="00C12050" w:rsidP="00B31C32">
            <w:pPr>
              <w:spacing w:before="0" w:after="0"/>
              <w:jc w:val="center"/>
              <w:rPr>
                <w:rFonts w:cs="Calibri"/>
                <w:sz w:val="19"/>
                <w:szCs w:val="19"/>
              </w:rPr>
            </w:pPr>
            <w:r>
              <w:rPr>
                <w:rFonts w:cs="Calibri"/>
                <w:sz w:val="19"/>
                <w:szCs w:val="19"/>
              </w:rPr>
              <w:t>Exotic, Naturalised</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26A4F7E" w14:textId="77777777" w:rsidR="00C12050" w:rsidRDefault="00C12050" w:rsidP="00B31C32">
            <w:pPr>
              <w:spacing w:before="0" w:after="0"/>
              <w:jc w:val="center"/>
              <w:rPr>
                <w:rFonts w:cs="Calibri"/>
                <w:sz w:val="19"/>
                <w:szCs w:val="19"/>
              </w:rPr>
            </w:pPr>
            <w:r>
              <w:rPr>
                <w:rFonts w:cs="Calibri"/>
                <w:sz w:val="19"/>
                <w:szCs w:val="19"/>
              </w:rPr>
              <w:t>Annual herb</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378512B" w14:textId="77777777" w:rsidR="00C12050" w:rsidRDefault="00C12050" w:rsidP="00B31C32">
            <w:pPr>
              <w:spacing w:before="0" w:after="0"/>
              <w:jc w:val="center"/>
              <w:rPr>
                <w:rFonts w:cs="Calibri"/>
                <w:sz w:val="19"/>
                <w:szCs w:val="19"/>
              </w:rPr>
            </w:pPr>
            <w:r>
              <w:rPr>
                <w:rFonts w:cs="Calibri"/>
                <w:sz w:val="19"/>
                <w:szCs w:val="19"/>
              </w:rPr>
              <w:t>Terrestrial</w:t>
            </w:r>
          </w:p>
        </w:tc>
      </w:tr>
      <w:tr w:rsidR="00C12050" w14:paraId="78AF8CB4"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717C01C" w14:textId="77777777" w:rsidR="00C12050" w:rsidRDefault="00C12050" w:rsidP="00B31C32">
            <w:pPr>
              <w:spacing w:before="0" w:after="0"/>
              <w:jc w:val="left"/>
              <w:rPr>
                <w:rFonts w:cs="Calibri"/>
                <w:i/>
                <w:iCs/>
                <w:sz w:val="19"/>
                <w:szCs w:val="19"/>
              </w:rPr>
            </w:pPr>
            <w:r>
              <w:rPr>
                <w:rFonts w:cs="Calibri"/>
                <w:i/>
                <w:iCs/>
                <w:sz w:val="19"/>
                <w:szCs w:val="19"/>
              </w:rPr>
              <w:t>Eucalyptus camaldulensis</w:t>
            </w:r>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531ECFA" w14:textId="77777777" w:rsidR="00C12050" w:rsidRDefault="00C12050" w:rsidP="00B31C32">
            <w:pPr>
              <w:spacing w:before="0" w:after="0"/>
              <w:jc w:val="center"/>
              <w:rPr>
                <w:rFonts w:cs="Calibri"/>
                <w:sz w:val="19"/>
                <w:szCs w:val="19"/>
              </w:rPr>
            </w:pPr>
            <w:proofErr w:type="spellStart"/>
            <w:r>
              <w:rPr>
                <w:rFonts w:cs="Calibri"/>
                <w:sz w:val="19"/>
                <w:szCs w:val="19"/>
              </w:rPr>
              <w:t>Myrtaceae</w:t>
            </w:r>
            <w:proofErr w:type="spellEnd"/>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75D27EF" w14:textId="77777777" w:rsidR="00C12050" w:rsidRDefault="00C12050" w:rsidP="00B31C32">
            <w:pPr>
              <w:spacing w:before="0" w:after="0"/>
              <w:jc w:val="center"/>
              <w:rPr>
                <w:rFonts w:cs="Calibri"/>
                <w:sz w:val="19"/>
                <w:szCs w:val="19"/>
              </w:rPr>
            </w:pPr>
            <w:r>
              <w:rPr>
                <w:rFonts w:cs="Calibri"/>
                <w:sz w:val="19"/>
                <w:szCs w:val="19"/>
              </w:rPr>
              <w:t>Native</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BD1D1FE" w14:textId="77777777" w:rsidR="00C12050" w:rsidRDefault="00C12050" w:rsidP="00B31C32">
            <w:pPr>
              <w:spacing w:before="0" w:after="0"/>
              <w:jc w:val="center"/>
              <w:rPr>
                <w:rFonts w:cs="Calibri"/>
                <w:sz w:val="19"/>
                <w:szCs w:val="19"/>
              </w:rPr>
            </w:pPr>
            <w:r>
              <w:rPr>
                <w:rFonts w:cs="Calibri"/>
                <w:sz w:val="19"/>
                <w:szCs w:val="19"/>
              </w:rPr>
              <w:t>Perennial tree</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B71D2C5" w14:textId="77777777" w:rsidR="00C12050" w:rsidRDefault="00C12050" w:rsidP="00B31C32">
            <w:pPr>
              <w:spacing w:before="0" w:after="0"/>
              <w:jc w:val="center"/>
              <w:rPr>
                <w:rFonts w:cs="Calibri"/>
                <w:sz w:val="19"/>
                <w:szCs w:val="19"/>
              </w:rPr>
            </w:pPr>
            <w:r>
              <w:rPr>
                <w:rFonts w:cs="Calibri"/>
                <w:sz w:val="19"/>
                <w:szCs w:val="19"/>
              </w:rPr>
              <w:t>Amphibious</w:t>
            </w:r>
          </w:p>
        </w:tc>
      </w:tr>
      <w:tr w:rsidR="00C12050" w14:paraId="32AD6C20"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1B5DDFD" w14:textId="77777777" w:rsidR="00C12050" w:rsidRDefault="00C12050" w:rsidP="00B31C32">
            <w:pPr>
              <w:spacing w:before="0" w:after="0"/>
              <w:jc w:val="left"/>
              <w:rPr>
                <w:rFonts w:cs="Calibri"/>
                <w:i/>
                <w:iCs/>
                <w:sz w:val="19"/>
                <w:szCs w:val="19"/>
              </w:rPr>
            </w:pPr>
            <w:r>
              <w:rPr>
                <w:rFonts w:cs="Calibri"/>
                <w:i/>
                <w:iCs/>
                <w:sz w:val="19"/>
                <w:szCs w:val="19"/>
              </w:rPr>
              <w:t xml:space="preserve">Euphorbia </w:t>
            </w:r>
            <w:proofErr w:type="spellStart"/>
            <w:r>
              <w:rPr>
                <w:rFonts w:cs="Calibri"/>
                <w:i/>
                <w:iCs/>
                <w:sz w:val="19"/>
                <w:szCs w:val="19"/>
              </w:rPr>
              <w:t>drummondii</w:t>
            </w:r>
            <w:proofErr w:type="spellEnd"/>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911EB7B" w14:textId="77777777" w:rsidR="00C12050" w:rsidRDefault="00C12050" w:rsidP="00B31C32">
            <w:pPr>
              <w:spacing w:before="0" w:after="0"/>
              <w:jc w:val="center"/>
              <w:rPr>
                <w:rFonts w:cs="Calibri"/>
                <w:sz w:val="19"/>
                <w:szCs w:val="19"/>
              </w:rPr>
            </w:pPr>
            <w:proofErr w:type="spellStart"/>
            <w:r>
              <w:rPr>
                <w:rFonts w:cs="Calibri"/>
                <w:sz w:val="19"/>
                <w:szCs w:val="19"/>
              </w:rPr>
              <w:t>Euphorbiaceae</w:t>
            </w:r>
            <w:proofErr w:type="spellEnd"/>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F83ACD7" w14:textId="77777777" w:rsidR="00C12050" w:rsidRDefault="00C12050" w:rsidP="00B31C32">
            <w:pPr>
              <w:spacing w:before="0" w:after="0"/>
              <w:jc w:val="center"/>
              <w:rPr>
                <w:rFonts w:cs="Calibri"/>
                <w:sz w:val="19"/>
                <w:szCs w:val="19"/>
              </w:rPr>
            </w:pPr>
            <w:r>
              <w:rPr>
                <w:rFonts w:cs="Calibri"/>
                <w:sz w:val="19"/>
                <w:szCs w:val="19"/>
              </w:rPr>
              <w:t>Native</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98ABF2B" w14:textId="77777777" w:rsidR="00C12050" w:rsidRDefault="00C12050" w:rsidP="00B31C32">
            <w:pPr>
              <w:spacing w:before="0" w:after="0"/>
              <w:jc w:val="center"/>
              <w:rPr>
                <w:rFonts w:cs="Calibri"/>
                <w:sz w:val="19"/>
                <w:szCs w:val="19"/>
              </w:rPr>
            </w:pPr>
            <w:r>
              <w:rPr>
                <w:rFonts w:cs="Calibri"/>
                <w:sz w:val="19"/>
                <w:szCs w:val="19"/>
              </w:rPr>
              <w:t>Annual herb</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AD4D99E" w14:textId="77777777" w:rsidR="00C12050" w:rsidRDefault="00C12050" w:rsidP="00B31C32">
            <w:pPr>
              <w:spacing w:before="0" w:after="0"/>
              <w:jc w:val="center"/>
              <w:rPr>
                <w:rFonts w:cs="Calibri"/>
                <w:sz w:val="19"/>
                <w:szCs w:val="19"/>
              </w:rPr>
            </w:pPr>
            <w:r>
              <w:rPr>
                <w:rFonts w:cs="Calibri"/>
                <w:sz w:val="19"/>
                <w:szCs w:val="19"/>
              </w:rPr>
              <w:t>Flood dependent</w:t>
            </w:r>
          </w:p>
        </w:tc>
      </w:tr>
      <w:tr w:rsidR="00C12050" w14:paraId="6E92BAF2"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219C66A" w14:textId="77777777" w:rsidR="00C12050" w:rsidRDefault="00C12050" w:rsidP="00B31C32">
            <w:pPr>
              <w:spacing w:before="0" w:after="0"/>
              <w:jc w:val="left"/>
              <w:rPr>
                <w:rFonts w:cs="Calibri"/>
                <w:i/>
                <w:iCs/>
                <w:sz w:val="19"/>
                <w:szCs w:val="19"/>
              </w:rPr>
            </w:pPr>
            <w:r>
              <w:rPr>
                <w:rFonts w:cs="Calibri"/>
                <w:i/>
                <w:iCs/>
                <w:sz w:val="19"/>
                <w:szCs w:val="19"/>
              </w:rPr>
              <w:t xml:space="preserve">Gazania </w:t>
            </w:r>
            <w:proofErr w:type="spellStart"/>
            <w:r>
              <w:rPr>
                <w:rFonts w:cs="Calibri"/>
                <w:i/>
                <w:iCs/>
                <w:sz w:val="19"/>
                <w:szCs w:val="19"/>
              </w:rPr>
              <w:t>rigens</w:t>
            </w:r>
            <w:proofErr w:type="spellEnd"/>
            <w:r>
              <w:rPr>
                <w:rFonts w:cs="Calibri"/>
                <w:i/>
                <w:iCs/>
                <w:sz w:val="19"/>
                <w:szCs w:val="19"/>
              </w:rPr>
              <w:t>**</w:t>
            </w:r>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1DDB296" w14:textId="77777777" w:rsidR="00C12050" w:rsidRDefault="00C12050" w:rsidP="00B31C32">
            <w:pPr>
              <w:spacing w:before="0" w:after="0"/>
              <w:jc w:val="center"/>
              <w:rPr>
                <w:rFonts w:cs="Calibri"/>
                <w:sz w:val="19"/>
                <w:szCs w:val="19"/>
              </w:rPr>
            </w:pPr>
            <w:r>
              <w:rPr>
                <w:rFonts w:cs="Calibri"/>
                <w:sz w:val="19"/>
                <w:szCs w:val="19"/>
              </w:rPr>
              <w:t>Asteraceae</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1191BC7" w14:textId="77777777" w:rsidR="00C12050" w:rsidRDefault="00C12050" w:rsidP="00B31C32">
            <w:pPr>
              <w:spacing w:before="0" w:after="0"/>
              <w:jc w:val="center"/>
              <w:rPr>
                <w:rFonts w:cs="Calibri"/>
                <w:sz w:val="19"/>
                <w:szCs w:val="19"/>
              </w:rPr>
            </w:pPr>
            <w:r>
              <w:rPr>
                <w:rFonts w:cs="Calibri"/>
                <w:sz w:val="19"/>
                <w:szCs w:val="19"/>
              </w:rPr>
              <w:t>Exotic, Declared Pest Plant in South Australia</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B4B81BA" w14:textId="77777777" w:rsidR="00C12050" w:rsidRDefault="00C12050" w:rsidP="00B31C32">
            <w:pPr>
              <w:spacing w:before="0" w:after="0"/>
              <w:jc w:val="center"/>
              <w:rPr>
                <w:rFonts w:cs="Calibri"/>
                <w:sz w:val="19"/>
                <w:szCs w:val="19"/>
              </w:rPr>
            </w:pPr>
            <w:r>
              <w:rPr>
                <w:rFonts w:cs="Calibri"/>
                <w:sz w:val="19"/>
                <w:szCs w:val="19"/>
              </w:rPr>
              <w:t>Perennial herb</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ABC8DA5" w14:textId="77777777" w:rsidR="00C12050" w:rsidRDefault="00C12050" w:rsidP="00B31C32">
            <w:pPr>
              <w:spacing w:before="0" w:after="0"/>
              <w:jc w:val="center"/>
              <w:rPr>
                <w:rFonts w:cs="Calibri"/>
                <w:sz w:val="19"/>
                <w:szCs w:val="19"/>
              </w:rPr>
            </w:pPr>
            <w:r>
              <w:rPr>
                <w:rFonts w:cs="Calibri"/>
                <w:sz w:val="19"/>
                <w:szCs w:val="19"/>
              </w:rPr>
              <w:t>Terrestrial</w:t>
            </w:r>
          </w:p>
        </w:tc>
      </w:tr>
      <w:tr w:rsidR="00C12050" w14:paraId="1528E305"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E1AC51C" w14:textId="77777777" w:rsidR="00C12050" w:rsidRDefault="00C12050" w:rsidP="00B31C32">
            <w:pPr>
              <w:spacing w:before="0" w:after="0"/>
              <w:jc w:val="left"/>
              <w:rPr>
                <w:rFonts w:cs="Calibri"/>
                <w:i/>
                <w:iCs/>
                <w:sz w:val="19"/>
                <w:szCs w:val="19"/>
              </w:rPr>
            </w:pPr>
            <w:proofErr w:type="spellStart"/>
            <w:r>
              <w:rPr>
                <w:rFonts w:cs="Calibri"/>
                <w:i/>
                <w:iCs/>
                <w:sz w:val="19"/>
                <w:szCs w:val="19"/>
              </w:rPr>
              <w:t>Glinus</w:t>
            </w:r>
            <w:proofErr w:type="spellEnd"/>
            <w:r>
              <w:rPr>
                <w:rFonts w:cs="Calibri"/>
                <w:i/>
                <w:iCs/>
                <w:sz w:val="19"/>
                <w:szCs w:val="19"/>
              </w:rPr>
              <w:t xml:space="preserve"> </w:t>
            </w:r>
            <w:proofErr w:type="spellStart"/>
            <w:r>
              <w:rPr>
                <w:rFonts w:cs="Calibri"/>
                <w:i/>
                <w:iCs/>
                <w:sz w:val="19"/>
                <w:szCs w:val="19"/>
              </w:rPr>
              <w:t>lotoides</w:t>
            </w:r>
            <w:proofErr w:type="spellEnd"/>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4088BEE" w14:textId="77777777" w:rsidR="00C12050" w:rsidRDefault="00C12050" w:rsidP="00B31C32">
            <w:pPr>
              <w:spacing w:before="0" w:after="0"/>
              <w:jc w:val="center"/>
              <w:rPr>
                <w:rFonts w:cs="Calibri"/>
                <w:sz w:val="19"/>
                <w:szCs w:val="19"/>
              </w:rPr>
            </w:pPr>
            <w:proofErr w:type="spellStart"/>
            <w:r>
              <w:rPr>
                <w:rFonts w:cs="Calibri"/>
                <w:sz w:val="19"/>
                <w:szCs w:val="19"/>
              </w:rPr>
              <w:t>Aizoaceae</w:t>
            </w:r>
            <w:proofErr w:type="spellEnd"/>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6ECEB3F" w14:textId="77777777" w:rsidR="00C12050" w:rsidRDefault="00C12050" w:rsidP="00B31C32">
            <w:pPr>
              <w:spacing w:before="0" w:after="0"/>
              <w:jc w:val="center"/>
              <w:rPr>
                <w:rFonts w:cs="Calibri"/>
                <w:sz w:val="19"/>
                <w:szCs w:val="19"/>
              </w:rPr>
            </w:pPr>
            <w:r>
              <w:rPr>
                <w:rFonts w:cs="Calibri"/>
                <w:sz w:val="19"/>
                <w:szCs w:val="19"/>
              </w:rPr>
              <w:t>Native</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A09BC29" w14:textId="77777777" w:rsidR="00C12050" w:rsidRDefault="00C12050" w:rsidP="00B31C32">
            <w:pPr>
              <w:spacing w:before="0" w:after="0"/>
              <w:jc w:val="center"/>
              <w:rPr>
                <w:rFonts w:cs="Calibri"/>
                <w:sz w:val="19"/>
                <w:szCs w:val="19"/>
              </w:rPr>
            </w:pPr>
            <w:r>
              <w:rPr>
                <w:rFonts w:cs="Calibri"/>
                <w:sz w:val="19"/>
                <w:szCs w:val="19"/>
              </w:rPr>
              <w:t>Annual herb</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284366E" w14:textId="77777777" w:rsidR="00C12050" w:rsidRDefault="00C12050" w:rsidP="00B31C32">
            <w:pPr>
              <w:spacing w:before="0" w:after="0"/>
              <w:jc w:val="center"/>
              <w:rPr>
                <w:rFonts w:cs="Calibri"/>
                <w:sz w:val="19"/>
                <w:szCs w:val="19"/>
              </w:rPr>
            </w:pPr>
            <w:r>
              <w:rPr>
                <w:rFonts w:cs="Calibri"/>
                <w:sz w:val="19"/>
                <w:szCs w:val="19"/>
              </w:rPr>
              <w:t>Flood dependent</w:t>
            </w:r>
          </w:p>
        </w:tc>
      </w:tr>
      <w:tr w:rsidR="00C12050" w14:paraId="564244AA"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C99EE1D" w14:textId="77777777" w:rsidR="00C12050" w:rsidRDefault="00C12050" w:rsidP="00B31C32">
            <w:pPr>
              <w:spacing w:before="0" w:after="0"/>
              <w:jc w:val="left"/>
              <w:rPr>
                <w:rFonts w:cs="Calibri"/>
                <w:i/>
                <w:iCs/>
                <w:sz w:val="19"/>
                <w:szCs w:val="19"/>
              </w:rPr>
            </w:pPr>
            <w:r>
              <w:rPr>
                <w:rFonts w:cs="Calibri"/>
                <w:i/>
                <w:iCs/>
                <w:sz w:val="19"/>
                <w:szCs w:val="19"/>
              </w:rPr>
              <w:t xml:space="preserve">Glycyrrhiza </w:t>
            </w:r>
            <w:proofErr w:type="spellStart"/>
            <w:r>
              <w:rPr>
                <w:rFonts w:cs="Calibri"/>
                <w:i/>
                <w:iCs/>
                <w:sz w:val="19"/>
                <w:szCs w:val="19"/>
              </w:rPr>
              <w:t>acanthocarpa</w:t>
            </w:r>
            <w:proofErr w:type="spellEnd"/>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850AA53" w14:textId="77777777" w:rsidR="00C12050" w:rsidRDefault="00C12050" w:rsidP="00B31C32">
            <w:pPr>
              <w:spacing w:before="0" w:after="0"/>
              <w:jc w:val="center"/>
              <w:rPr>
                <w:rFonts w:cs="Calibri"/>
                <w:sz w:val="19"/>
                <w:szCs w:val="19"/>
              </w:rPr>
            </w:pPr>
            <w:r>
              <w:rPr>
                <w:rFonts w:cs="Calibri"/>
                <w:sz w:val="19"/>
                <w:szCs w:val="19"/>
              </w:rPr>
              <w:t>Fabaceae</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9A2F92F" w14:textId="77777777" w:rsidR="00C12050" w:rsidRDefault="00C12050" w:rsidP="00B31C32">
            <w:pPr>
              <w:spacing w:before="0" w:after="0"/>
              <w:jc w:val="center"/>
              <w:rPr>
                <w:rFonts w:cs="Calibri"/>
                <w:sz w:val="19"/>
                <w:szCs w:val="19"/>
              </w:rPr>
            </w:pPr>
            <w:r>
              <w:rPr>
                <w:rFonts w:cs="Calibri"/>
                <w:sz w:val="19"/>
                <w:szCs w:val="19"/>
              </w:rPr>
              <w:t>Native</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C3E6168" w14:textId="77777777" w:rsidR="00C12050" w:rsidRDefault="00C12050" w:rsidP="00B31C32">
            <w:pPr>
              <w:spacing w:before="0" w:after="0"/>
              <w:jc w:val="center"/>
              <w:rPr>
                <w:rFonts w:cs="Calibri"/>
                <w:sz w:val="19"/>
                <w:szCs w:val="19"/>
              </w:rPr>
            </w:pPr>
            <w:r>
              <w:rPr>
                <w:rFonts w:cs="Calibri"/>
                <w:sz w:val="19"/>
                <w:szCs w:val="19"/>
              </w:rPr>
              <w:t>Annual herb</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02BAABF" w14:textId="77777777" w:rsidR="00C12050" w:rsidRDefault="00C12050" w:rsidP="00B31C32">
            <w:pPr>
              <w:spacing w:before="0" w:after="0"/>
              <w:jc w:val="center"/>
              <w:rPr>
                <w:rFonts w:cs="Calibri"/>
                <w:sz w:val="19"/>
                <w:szCs w:val="19"/>
              </w:rPr>
            </w:pPr>
            <w:r>
              <w:rPr>
                <w:rFonts w:cs="Calibri"/>
                <w:sz w:val="19"/>
                <w:szCs w:val="19"/>
              </w:rPr>
              <w:t>Flood dependent</w:t>
            </w:r>
          </w:p>
        </w:tc>
      </w:tr>
      <w:tr w:rsidR="00C12050" w14:paraId="4228C75A"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7512186" w14:textId="77777777" w:rsidR="00C12050" w:rsidRDefault="00C12050" w:rsidP="00B31C32">
            <w:pPr>
              <w:spacing w:before="0" w:after="0"/>
              <w:jc w:val="left"/>
              <w:rPr>
                <w:rFonts w:cs="Calibri"/>
                <w:i/>
                <w:iCs/>
                <w:sz w:val="19"/>
                <w:szCs w:val="19"/>
              </w:rPr>
            </w:pPr>
            <w:proofErr w:type="spellStart"/>
            <w:r>
              <w:rPr>
                <w:rFonts w:cs="Calibri"/>
                <w:i/>
                <w:iCs/>
                <w:sz w:val="19"/>
                <w:szCs w:val="19"/>
              </w:rPr>
              <w:t>Haloragis</w:t>
            </w:r>
            <w:proofErr w:type="spellEnd"/>
            <w:r>
              <w:rPr>
                <w:rFonts w:cs="Calibri"/>
                <w:i/>
                <w:iCs/>
                <w:sz w:val="19"/>
                <w:szCs w:val="19"/>
              </w:rPr>
              <w:t xml:space="preserve"> aspera</w:t>
            </w:r>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E7FDD83" w14:textId="77777777" w:rsidR="00C12050" w:rsidRDefault="00C12050" w:rsidP="00B31C32">
            <w:pPr>
              <w:spacing w:before="0" w:after="0"/>
              <w:jc w:val="center"/>
              <w:rPr>
                <w:rFonts w:cs="Calibri"/>
                <w:sz w:val="19"/>
                <w:szCs w:val="19"/>
              </w:rPr>
            </w:pPr>
            <w:proofErr w:type="spellStart"/>
            <w:r>
              <w:rPr>
                <w:rFonts w:cs="Calibri"/>
                <w:sz w:val="19"/>
                <w:szCs w:val="19"/>
              </w:rPr>
              <w:t>Haloragaceae</w:t>
            </w:r>
            <w:proofErr w:type="spellEnd"/>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A61972C" w14:textId="77777777" w:rsidR="00C12050" w:rsidRDefault="00C12050" w:rsidP="00B31C32">
            <w:pPr>
              <w:spacing w:before="0" w:after="0"/>
              <w:jc w:val="center"/>
              <w:rPr>
                <w:rFonts w:cs="Calibri"/>
                <w:sz w:val="19"/>
                <w:szCs w:val="19"/>
              </w:rPr>
            </w:pPr>
            <w:r>
              <w:rPr>
                <w:rFonts w:cs="Calibri"/>
                <w:sz w:val="19"/>
                <w:szCs w:val="19"/>
              </w:rPr>
              <w:t>Native</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CF14FBE" w14:textId="77777777" w:rsidR="00C12050" w:rsidRDefault="00C12050" w:rsidP="00B31C32">
            <w:pPr>
              <w:spacing w:before="0" w:after="0"/>
              <w:jc w:val="center"/>
              <w:rPr>
                <w:rFonts w:cs="Calibri"/>
                <w:sz w:val="19"/>
                <w:szCs w:val="19"/>
              </w:rPr>
            </w:pPr>
            <w:r>
              <w:rPr>
                <w:rFonts w:cs="Calibri"/>
                <w:sz w:val="19"/>
                <w:szCs w:val="19"/>
              </w:rPr>
              <w:t>Perennial herb</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08D2749" w14:textId="77777777" w:rsidR="00C12050" w:rsidRDefault="00C12050" w:rsidP="00B31C32">
            <w:pPr>
              <w:spacing w:before="0" w:after="0"/>
              <w:jc w:val="center"/>
              <w:rPr>
                <w:rFonts w:cs="Calibri"/>
                <w:sz w:val="19"/>
                <w:szCs w:val="19"/>
              </w:rPr>
            </w:pPr>
            <w:r>
              <w:rPr>
                <w:rFonts w:cs="Calibri"/>
                <w:sz w:val="19"/>
                <w:szCs w:val="19"/>
              </w:rPr>
              <w:t>Flood dependent</w:t>
            </w:r>
          </w:p>
        </w:tc>
      </w:tr>
      <w:tr w:rsidR="00C12050" w14:paraId="745596D9"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174AB81" w14:textId="77777777" w:rsidR="00C12050" w:rsidRDefault="00C12050" w:rsidP="00B31C32">
            <w:pPr>
              <w:spacing w:before="0" w:after="0"/>
              <w:jc w:val="left"/>
              <w:rPr>
                <w:rFonts w:cs="Calibri"/>
                <w:i/>
                <w:iCs/>
                <w:sz w:val="19"/>
                <w:szCs w:val="19"/>
              </w:rPr>
            </w:pPr>
            <w:proofErr w:type="spellStart"/>
            <w:r>
              <w:rPr>
                <w:rFonts w:cs="Calibri"/>
                <w:i/>
                <w:iCs/>
                <w:sz w:val="19"/>
                <w:szCs w:val="19"/>
              </w:rPr>
              <w:t>Heliotropium</w:t>
            </w:r>
            <w:proofErr w:type="spellEnd"/>
            <w:r>
              <w:rPr>
                <w:rFonts w:cs="Calibri"/>
                <w:i/>
                <w:iCs/>
                <w:sz w:val="19"/>
                <w:szCs w:val="19"/>
              </w:rPr>
              <w:t xml:space="preserve"> </w:t>
            </w:r>
            <w:proofErr w:type="spellStart"/>
            <w:r>
              <w:rPr>
                <w:rFonts w:cs="Calibri"/>
                <w:i/>
                <w:iCs/>
                <w:sz w:val="19"/>
                <w:szCs w:val="19"/>
              </w:rPr>
              <w:t>curassavicum</w:t>
            </w:r>
            <w:proofErr w:type="spellEnd"/>
            <w:r>
              <w:rPr>
                <w:rFonts w:cs="Calibri"/>
                <w:i/>
                <w:iCs/>
                <w:sz w:val="19"/>
                <w:szCs w:val="19"/>
              </w:rPr>
              <w:t>*</w:t>
            </w:r>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3E430B4" w14:textId="77777777" w:rsidR="00C12050" w:rsidRDefault="00C12050" w:rsidP="00B31C32">
            <w:pPr>
              <w:spacing w:before="0" w:after="0"/>
              <w:jc w:val="center"/>
              <w:rPr>
                <w:rFonts w:cs="Calibri"/>
                <w:sz w:val="19"/>
                <w:szCs w:val="19"/>
              </w:rPr>
            </w:pPr>
            <w:r>
              <w:rPr>
                <w:rFonts w:cs="Calibri"/>
                <w:sz w:val="19"/>
                <w:szCs w:val="19"/>
              </w:rPr>
              <w:t>Boraginaceae</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42D561D" w14:textId="77777777" w:rsidR="00C12050" w:rsidRDefault="00C12050" w:rsidP="00B31C32">
            <w:pPr>
              <w:spacing w:before="0" w:after="0"/>
              <w:jc w:val="center"/>
              <w:rPr>
                <w:rFonts w:cs="Calibri"/>
                <w:sz w:val="19"/>
                <w:szCs w:val="19"/>
              </w:rPr>
            </w:pPr>
            <w:r>
              <w:rPr>
                <w:rFonts w:cs="Calibri"/>
                <w:sz w:val="19"/>
                <w:szCs w:val="19"/>
              </w:rPr>
              <w:t>Exotic, Naturalised</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A4D5F85" w14:textId="77777777" w:rsidR="00C12050" w:rsidRDefault="00C12050" w:rsidP="00B31C32">
            <w:pPr>
              <w:spacing w:before="0" w:after="0"/>
              <w:jc w:val="center"/>
              <w:rPr>
                <w:rFonts w:cs="Calibri"/>
                <w:sz w:val="19"/>
                <w:szCs w:val="19"/>
              </w:rPr>
            </w:pPr>
            <w:r>
              <w:rPr>
                <w:rFonts w:cs="Calibri"/>
                <w:sz w:val="19"/>
                <w:szCs w:val="19"/>
              </w:rPr>
              <w:t>Annual herb</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55621A6" w14:textId="77777777" w:rsidR="00C12050" w:rsidRDefault="00C12050" w:rsidP="00B31C32">
            <w:pPr>
              <w:spacing w:before="0" w:after="0"/>
              <w:jc w:val="center"/>
              <w:rPr>
                <w:rFonts w:cs="Calibri"/>
                <w:sz w:val="19"/>
                <w:szCs w:val="19"/>
              </w:rPr>
            </w:pPr>
            <w:r>
              <w:rPr>
                <w:rFonts w:cs="Calibri"/>
                <w:sz w:val="19"/>
                <w:szCs w:val="19"/>
              </w:rPr>
              <w:t>Terrestrial</w:t>
            </w:r>
          </w:p>
        </w:tc>
      </w:tr>
      <w:tr w:rsidR="00C12050" w14:paraId="1DEA4FA9"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288EFDB" w14:textId="77777777" w:rsidR="00C12050" w:rsidRDefault="00C12050" w:rsidP="00B31C32">
            <w:pPr>
              <w:spacing w:before="0" w:after="0"/>
              <w:jc w:val="left"/>
              <w:rPr>
                <w:rFonts w:cs="Calibri"/>
                <w:i/>
                <w:iCs/>
                <w:sz w:val="19"/>
                <w:szCs w:val="19"/>
              </w:rPr>
            </w:pPr>
            <w:proofErr w:type="spellStart"/>
            <w:r>
              <w:rPr>
                <w:rFonts w:cs="Calibri"/>
                <w:i/>
                <w:iCs/>
                <w:sz w:val="19"/>
                <w:szCs w:val="19"/>
              </w:rPr>
              <w:t>Heliotropium</w:t>
            </w:r>
            <w:proofErr w:type="spellEnd"/>
            <w:r>
              <w:rPr>
                <w:rFonts w:cs="Calibri"/>
                <w:i/>
                <w:iCs/>
                <w:sz w:val="19"/>
                <w:szCs w:val="19"/>
              </w:rPr>
              <w:t xml:space="preserve"> </w:t>
            </w:r>
            <w:proofErr w:type="spellStart"/>
            <w:r>
              <w:rPr>
                <w:rFonts w:cs="Calibri"/>
                <w:i/>
                <w:iCs/>
                <w:sz w:val="19"/>
                <w:szCs w:val="19"/>
              </w:rPr>
              <w:t>europaeum</w:t>
            </w:r>
            <w:proofErr w:type="spellEnd"/>
            <w:r>
              <w:rPr>
                <w:rFonts w:cs="Calibri"/>
                <w:i/>
                <w:iCs/>
                <w:sz w:val="19"/>
                <w:szCs w:val="19"/>
              </w:rPr>
              <w:t>*</w:t>
            </w:r>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A666320" w14:textId="77777777" w:rsidR="00C12050" w:rsidRDefault="00C12050" w:rsidP="00B31C32">
            <w:pPr>
              <w:spacing w:before="0" w:after="0"/>
              <w:jc w:val="center"/>
              <w:rPr>
                <w:rFonts w:cs="Calibri"/>
                <w:sz w:val="19"/>
                <w:szCs w:val="19"/>
              </w:rPr>
            </w:pPr>
            <w:r>
              <w:rPr>
                <w:rFonts w:cs="Calibri"/>
                <w:sz w:val="19"/>
                <w:szCs w:val="19"/>
              </w:rPr>
              <w:t>Boraginaceae</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4F58FCD" w14:textId="77777777" w:rsidR="00C12050" w:rsidRDefault="00C12050" w:rsidP="00B31C32">
            <w:pPr>
              <w:spacing w:before="0" w:after="0"/>
              <w:jc w:val="center"/>
              <w:rPr>
                <w:rFonts w:cs="Calibri"/>
                <w:sz w:val="19"/>
                <w:szCs w:val="19"/>
              </w:rPr>
            </w:pPr>
            <w:r>
              <w:rPr>
                <w:rFonts w:cs="Calibri"/>
                <w:sz w:val="19"/>
                <w:szCs w:val="19"/>
              </w:rPr>
              <w:t>Exotic, Naturalised</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B9A88C2" w14:textId="77777777" w:rsidR="00C12050" w:rsidRDefault="00C12050" w:rsidP="00B31C32">
            <w:pPr>
              <w:spacing w:before="0" w:after="0"/>
              <w:jc w:val="center"/>
              <w:rPr>
                <w:rFonts w:cs="Calibri"/>
                <w:sz w:val="19"/>
                <w:szCs w:val="19"/>
              </w:rPr>
            </w:pPr>
            <w:r>
              <w:rPr>
                <w:rFonts w:cs="Calibri"/>
                <w:sz w:val="19"/>
                <w:szCs w:val="19"/>
              </w:rPr>
              <w:t>Annual herb</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27D59CA" w14:textId="77777777" w:rsidR="00C12050" w:rsidRDefault="00C12050" w:rsidP="00B31C32">
            <w:pPr>
              <w:spacing w:before="0" w:after="0"/>
              <w:jc w:val="center"/>
              <w:rPr>
                <w:rFonts w:cs="Calibri"/>
                <w:sz w:val="19"/>
                <w:szCs w:val="19"/>
              </w:rPr>
            </w:pPr>
            <w:r>
              <w:rPr>
                <w:rFonts w:cs="Calibri"/>
                <w:sz w:val="19"/>
                <w:szCs w:val="19"/>
              </w:rPr>
              <w:t>Terrestrial</w:t>
            </w:r>
          </w:p>
        </w:tc>
      </w:tr>
      <w:tr w:rsidR="00C12050" w14:paraId="3717ACCB"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0FEBF7E" w14:textId="77777777" w:rsidR="00C12050" w:rsidRDefault="00C12050" w:rsidP="00B31C32">
            <w:pPr>
              <w:spacing w:before="0" w:after="0"/>
              <w:jc w:val="left"/>
              <w:rPr>
                <w:rFonts w:cs="Calibri"/>
                <w:i/>
                <w:iCs/>
                <w:sz w:val="19"/>
                <w:szCs w:val="19"/>
              </w:rPr>
            </w:pPr>
            <w:proofErr w:type="spellStart"/>
            <w:r>
              <w:rPr>
                <w:rFonts w:cs="Calibri"/>
                <w:i/>
                <w:iCs/>
                <w:sz w:val="19"/>
                <w:szCs w:val="19"/>
              </w:rPr>
              <w:t>Isoetopsis</w:t>
            </w:r>
            <w:proofErr w:type="spellEnd"/>
            <w:r>
              <w:rPr>
                <w:rFonts w:cs="Calibri"/>
                <w:i/>
                <w:iCs/>
                <w:sz w:val="19"/>
                <w:szCs w:val="19"/>
              </w:rPr>
              <w:t xml:space="preserve"> </w:t>
            </w:r>
            <w:proofErr w:type="spellStart"/>
            <w:r>
              <w:rPr>
                <w:rFonts w:cs="Calibri"/>
                <w:i/>
                <w:iCs/>
                <w:sz w:val="19"/>
                <w:szCs w:val="19"/>
              </w:rPr>
              <w:t>graminifolia</w:t>
            </w:r>
            <w:proofErr w:type="spellEnd"/>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8051EFE" w14:textId="77777777" w:rsidR="00C12050" w:rsidRDefault="00C12050" w:rsidP="00B31C32">
            <w:pPr>
              <w:spacing w:before="0" w:after="0"/>
              <w:jc w:val="center"/>
              <w:rPr>
                <w:rFonts w:cs="Calibri"/>
                <w:sz w:val="19"/>
                <w:szCs w:val="19"/>
              </w:rPr>
            </w:pPr>
            <w:r>
              <w:rPr>
                <w:rFonts w:cs="Calibri"/>
                <w:sz w:val="19"/>
                <w:szCs w:val="19"/>
              </w:rPr>
              <w:t>Asteraceae</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7829E0F" w14:textId="77777777" w:rsidR="00C12050" w:rsidRDefault="00C12050" w:rsidP="00B31C32">
            <w:pPr>
              <w:spacing w:before="0" w:after="0"/>
              <w:jc w:val="center"/>
              <w:rPr>
                <w:rFonts w:cs="Calibri"/>
                <w:sz w:val="19"/>
                <w:szCs w:val="19"/>
              </w:rPr>
            </w:pPr>
            <w:r>
              <w:rPr>
                <w:rFonts w:cs="Calibri"/>
                <w:sz w:val="19"/>
                <w:szCs w:val="19"/>
              </w:rPr>
              <w:t>Native</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8F69098" w14:textId="77777777" w:rsidR="00C12050" w:rsidRDefault="00C12050" w:rsidP="00B31C32">
            <w:pPr>
              <w:spacing w:before="0" w:after="0"/>
              <w:jc w:val="center"/>
              <w:rPr>
                <w:rFonts w:cs="Calibri"/>
                <w:sz w:val="19"/>
                <w:szCs w:val="19"/>
              </w:rPr>
            </w:pPr>
            <w:r>
              <w:rPr>
                <w:rFonts w:cs="Calibri"/>
                <w:sz w:val="19"/>
                <w:szCs w:val="19"/>
              </w:rPr>
              <w:t>Annual herb</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6160DAF" w14:textId="77777777" w:rsidR="00C12050" w:rsidRDefault="00C12050" w:rsidP="00B31C32">
            <w:pPr>
              <w:spacing w:before="0" w:after="0"/>
              <w:jc w:val="center"/>
              <w:rPr>
                <w:rFonts w:cs="Calibri"/>
                <w:sz w:val="19"/>
                <w:szCs w:val="19"/>
              </w:rPr>
            </w:pPr>
            <w:r>
              <w:rPr>
                <w:rFonts w:cs="Calibri"/>
                <w:sz w:val="19"/>
                <w:szCs w:val="19"/>
              </w:rPr>
              <w:t>Flood dependent</w:t>
            </w:r>
          </w:p>
        </w:tc>
      </w:tr>
      <w:tr w:rsidR="00C12050" w14:paraId="06A6315A"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24CC6C2" w14:textId="77777777" w:rsidR="00C12050" w:rsidRDefault="00C12050" w:rsidP="00B31C32">
            <w:pPr>
              <w:spacing w:before="0" w:after="0"/>
              <w:jc w:val="left"/>
              <w:rPr>
                <w:rFonts w:cs="Calibri"/>
                <w:i/>
                <w:iCs/>
                <w:sz w:val="19"/>
                <w:szCs w:val="19"/>
              </w:rPr>
            </w:pPr>
            <w:proofErr w:type="spellStart"/>
            <w:r>
              <w:rPr>
                <w:rFonts w:cs="Calibri"/>
                <w:i/>
                <w:iCs/>
                <w:sz w:val="19"/>
                <w:szCs w:val="19"/>
              </w:rPr>
              <w:t>Isolepis</w:t>
            </w:r>
            <w:proofErr w:type="spellEnd"/>
            <w:r>
              <w:rPr>
                <w:rFonts w:cs="Calibri"/>
                <w:i/>
                <w:iCs/>
                <w:sz w:val="19"/>
                <w:szCs w:val="19"/>
              </w:rPr>
              <w:t xml:space="preserve"> </w:t>
            </w:r>
            <w:proofErr w:type="spellStart"/>
            <w:r>
              <w:rPr>
                <w:rFonts w:cs="Calibri"/>
                <w:i/>
                <w:iCs/>
                <w:sz w:val="19"/>
                <w:szCs w:val="19"/>
              </w:rPr>
              <w:t>australiensis</w:t>
            </w:r>
            <w:proofErr w:type="spellEnd"/>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671C03D" w14:textId="77777777" w:rsidR="00C12050" w:rsidRDefault="00C12050" w:rsidP="00B31C32">
            <w:pPr>
              <w:spacing w:before="0" w:after="0"/>
              <w:jc w:val="center"/>
              <w:rPr>
                <w:rFonts w:cs="Calibri"/>
                <w:sz w:val="19"/>
                <w:szCs w:val="19"/>
              </w:rPr>
            </w:pPr>
            <w:proofErr w:type="spellStart"/>
            <w:r>
              <w:rPr>
                <w:rFonts w:cs="Calibri"/>
                <w:sz w:val="19"/>
                <w:szCs w:val="19"/>
              </w:rPr>
              <w:t>Cyperaceae</w:t>
            </w:r>
            <w:proofErr w:type="spellEnd"/>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4E8D41B" w14:textId="77777777" w:rsidR="00C12050" w:rsidRDefault="00C12050" w:rsidP="00B31C32">
            <w:pPr>
              <w:spacing w:before="0" w:after="0"/>
              <w:jc w:val="center"/>
              <w:rPr>
                <w:rFonts w:cs="Calibri"/>
                <w:sz w:val="19"/>
                <w:szCs w:val="19"/>
              </w:rPr>
            </w:pPr>
            <w:r>
              <w:rPr>
                <w:rFonts w:cs="Calibri"/>
                <w:sz w:val="19"/>
                <w:szCs w:val="19"/>
              </w:rPr>
              <w:t>Native</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31DD1AB" w14:textId="77777777" w:rsidR="00C12050" w:rsidRDefault="00C12050" w:rsidP="00B31C32">
            <w:pPr>
              <w:spacing w:before="0" w:after="0"/>
              <w:jc w:val="center"/>
              <w:rPr>
                <w:rFonts w:cs="Calibri"/>
                <w:sz w:val="19"/>
                <w:szCs w:val="19"/>
              </w:rPr>
            </w:pPr>
            <w:r>
              <w:rPr>
                <w:rFonts w:cs="Calibri"/>
                <w:sz w:val="19"/>
                <w:szCs w:val="19"/>
              </w:rPr>
              <w:t>Perennial herb</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A01805C" w14:textId="77777777" w:rsidR="00C12050" w:rsidRDefault="00C12050" w:rsidP="00B31C32">
            <w:pPr>
              <w:spacing w:before="0" w:after="0"/>
              <w:jc w:val="center"/>
              <w:rPr>
                <w:rFonts w:cs="Calibri"/>
                <w:sz w:val="19"/>
                <w:szCs w:val="19"/>
              </w:rPr>
            </w:pPr>
            <w:r>
              <w:rPr>
                <w:rFonts w:cs="Calibri"/>
                <w:sz w:val="19"/>
                <w:szCs w:val="19"/>
              </w:rPr>
              <w:t>Amphibious</w:t>
            </w:r>
          </w:p>
        </w:tc>
      </w:tr>
      <w:tr w:rsidR="00C12050" w14:paraId="67BF06D3"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0BFFAB3" w14:textId="77777777" w:rsidR="00C12050" w:rsidRDefault="00C12050" w:rsidP="00B31C32">
            <w:pPr>
              <w:spacing w:before="0" w:after="0"/>
              <w:jc w:val="left"/>
              <w:rPr>
                <w:rFonts w:cs="Calibri"/>
                <w:i/>
                <w:iCs/>
                <w:sz w:val="19"/>
                <w:szCs w:val="19"/>
              </w:rPr>
            </w:pPr>
            <w:r>
              <w:rPr>
                <w:rFonts w:cs="Calibri"/>
                <w:i/>
                <w:iCs/>
                <w:sz w:val="19"/>
                <w:szCs w:val="19"/>
              </w:rPr>
              <w:t xml:space="preserve">Juncus </w:t>
            </w:r>
            <w:proofErr w:type="spellStart"/>
            <w:r>
              <w:rPr>
                <w:rFonts w:cs="Calibri"/>
                <w:i/>
                <w:iCs/>
                <w:sz w:val="19"/>
                <w:szCs w:val="19"/>
              </w:rPr>
              <w:t>usitatus</w:t>
            </w:r>
            <w:proofErr w:type="spellEnd"/>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00176EC" w14:textId="77777777" w:rsidR="00C12050" w:rsidRDefault="00C12050" w:rsidP="00B31C32">
            <w:pPr>
              <w:spacing w:before="0" w:after="0"/>
              <w:jc w:val="center"/>
              <w:rPr>
                <w:rFonts w:cs="Calibri"/>
                <w:sz w:val="19"/>
                <w:szCs w:val="19"/>
              </w:rPr>
            </w:pPr>
            <w:proofErr w:type="spellStart"/>
            <w:r>
              <w:rPr>
                <w:rFonts w:cs="Calibri"/>
                <w:sz w:val="19"/>
                <w:szCs w:val="19"/>
              </w:rPr>
              <w:t>Juncaeae</w:t>
            </w:r>
            <w:proofErr w:type="spellEnd"/>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33C2A07" w14:textId="77777777" w:rsidR="00C12050" w:rsidRDefault="00C12050" w:rsidP="00B31C32">
            <w:pPr>
              <w:spacing w:before="0" w:after="0"/>
              <w:jc w:val="center"/>
              <w:rPr>
                <w:rFonts w:cs="Calibri"/>
                <w:sz w:val="19"/>
                <w:szCs w:val="19"/>
              </w:rPr>
            </w:pPr>
            <w:r>
              <w:rPr>
                <w:rFonts w:cs="Calibri"/>
                <w:sz w:val="19"/>
                <w:szCs w:val="19"/>
              </w:rPr>
              <w:t>Native</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62536C5" w14:textId="77777777" w:rsidR="00C12050" w:rsidRDefault="00C12050" w:rsidP="00B31C32">
            <w:pPr>
              <w:spacing w:before="0" w:after="0"/>
              <w:jc w:val="center"/>
              <w:rPr>
                <w:rFonts w:cs="Calibri"/>
                <w:sz w:val="19"/>
                <w:szCs w:val="19"/>
              </w:rPr>
            </w:pPr>
            <w:r>
              <w:rPr>
                <w:rFonts w:cs="Calibri"/>
                <w:sz w:val="19"/>
                <w:szCs w:val="19"/>
              </w:rPr>
              <w:t>Perennial rush</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CB2F072" w14:textId="77777777" w:rsidR="00C12050" w:rsidRDefault="00C12050" w:rsidP="00B31C32">
            <w:pPr>
              <w:spacing w:before="0" w:after="0"/>
              <w:jc w:val="center"/>
              <w:rPr>
                <w:rFonts w:cs="Calibri"/>
                <w:sz w:val="19"/>
                <w:szCs w:val="19"/>
              </w:rPr>
            </w:pPr>
            <w:r>
              <w:rPr>
                <w:rFonts w:cs="Calibri"/>
                <w:sz w:val="19"/>
                <w:szCs w:val="19"/>
              </w:rPr>
              <w:t>Amphibious</w:t>
            </w:r>
          </w:p>
        </w:tc>
      </w:tr>
      <w:tr w:rsidR="00C12050" w14:paraId="633A333D"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675BC72" w14:textId="77777777" w:rsidR="00C12050" w:rsidRDefault="00C12050" w:rsidP="00B31C32">
            <w:pPr>
              <w:spacing w:before="0" w:after="0"/>
              <w:jc w:val="left"/>
              <w:rPr>
                <w:rFonts w:cs="Calibri"/>
                <w:i/>
                <w:iCs/>
                <w:sz w:val="19"/>
                <w:szCs w:val="19"/>
              </w:rPr>
            </w:pPr>
            <w:proofErr w:type="spellStart"/>
            <w:r>
              <w:rPr>
                <w:rFonts w:cs="Calibri"/>
                <w:i/>
                <w:iCs/>
                <w:sz w:val="19"/>
                <w:szCs w:val="19"/>
              </w:rPr>
              <w:t>Lachnagrostis</w:t>
            </w:r>
            <w:proofErr w:type="spellEnd"/>
            <w:r>
              <w:rPr>
                <w:rFonts w:cs="Calibri"/>
                <w:i/>
                <w:iCs/>
                <w:sz w:val="19"/>
                <w:szCs w:val="19"/>
              </w:rPr>
              <w:t xml:space="preserve"> </w:t>
            </w:r>
            <w:proofErr w:type="spellStart"/>
            <w:r>
              <w:rPr>
                <w:rFonts w:cs="Calibri"/>
                <w:i/>
                <w:iCs/>
                <w:sz w:val="19"/>
                <w:szCs w:val="19"/>
              </w:rPr>
              <w:t>filiformis</w:t>
            </w:r>
            <w:proofErr w:type="spellEnd"/>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DCB3B8E" w14:textId="77777777" w:rsidR="00C12050" w:rsidRDefault="00C12050" w:rsidP="00B31C32">
            <w:pPr>
              <w:spacing w:before="0" w:after="0"/>
              <w:jc w:val="center"/>
              <w:rPr>
                <w:rFonts w:cs="Calibri"/>
                <w:sz w:val="19"/>
                <w:szCs w:val="19"/>
              </w:rPr>
            </w:pPr>
            <w:proofErr w:type="spellStart"/>
            <w:r>
              <w:rPr>
                <w:rFonts w:cs="Calibri"/>
                <w:sz w:val="19"/>
                <w:szCs w:val="19"/>
              </w:rPr>
              <w:t>Poaceae</w:t>
            </w:r>
            <w:proofErr w:type="spellEnd"/>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8B87DC5" w14:textId="77777777" w:rsidR="00C12050" w:rsidRDefault="00C12050" w:rsidP="00B31C32">
            <w:pPr>
              <w:spacing w:before="0" w:after="0"/>
              <w:jc w:val="center"/>
              <w:rPr>
                <w:rFonts w:cs="Calibri"/>
                <w:sz w:val="19"/>
                <w:szCs w:val="19"/>
              </w:rPr>
            </w:pPr>
            <w:r>
              <w:rPr>
                <w:rFonts w:cs="Calibri"/>
                <w:sz w:val="19"/>
                <w:szCs w:val="19"/>
              </w:rPr>
              <w:t>Native</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8BDB778" w14:textId="77777777" w:rsidR="00C12050" w:rsidRDefault="00C12050" w:rsidP="00B31C32">
            <w:pPr>
              <w:spacing w:before="0" w:after="0"/>
              <w:jc w:val="center"/>
              <w:rPr>
                <w:rFonts w:cs="Calibri"/>
                <w:sz w:val="19"/>
                <w:szCs w:val="19"/>
              </w:rPr>
            </w:pPr>
            <w:r>
              <w:rPr>
                <w:rFonts w:cs="Calibri"/>
                <w:sz w:val="19"/>
                <w:szCs w:val="19"/>
              </w:rPr>
              <w:t>Annual grass</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1346CAE" w14:textId="77777777" w:rsidR="00C12050" w:rsidRDefault="00C12050" w:rsidP="00B31C32">
            <w:pPr>
              <w:spacing w:before="0" w:after="0"/>
              <w:jc w:val="center"/>
              <w:rPr>
                <w:rFonts w:cs="Calibri"/>
                <w:sz w:val="19"/>
                <w:szCs w:val="19"/>
              </w:rPr>
            </w:pPr>
            <w:r>
              <w:rPr>
                <w:rFonts w:cs="Calibri"/>
                <w:sz w:val="19"/>
                <w:szCs w:val="19"/>
              </w:rPr>
              <w:t>Flood dependent</w:t>
            </w:r>
          </w:p>
        </w:tc>
      </w:tr>
      <w:tr w:rsidR="00C12050" w14:paraId="30A2AFAC"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ACC97CE" w14:textId="77777777" w:rsidR="00C12050" w:rsidRDefault="00C12050" w:rsidP="00B31C32">
            <w:pPr>
              <w:spacing w:before="0" w:after="0"/>
              <w:jc w:val="left"/>
              <w:rPr>
                <w:rFonts w:cs="Calibri"/>
                <w:i/>
                <w:iCs/>
                <w:sz w:val="19"/>
                <w:szCs w:val="19"/>
              </w:rPr>
            </w:pPr>
            <w:proofErr w:type="spellStart"/>
            <w:r>
              <w:rPr>
                <w:rFonts w:cs="Calibri"/>
                <w:i/>
                <w:iCs/>
                <w:sz w:val="19"/>
                <w:szCs w:val="19"/>
              </w:rPr>
              <w:t>Limosella</w:t>
            </w:r>
            <w:proofErr w:type="spellEnd"/>
            <w:r>
              <w:rPr>
                <w:rFonts w:cs="Calibri"/>
                <w:i/>
                <w:iCs/>
                <w:sz w:val="19"/>
                <w:szCs w:val="19"/>
              </w:rPr>
              <w:t xml:space="preserve"> australis</w:t>
            </w:r>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5E8A237" w14:textId="77777777" w:rsidR="00C12050" w:rsidRDefault="00C12050" w:rsidP="00B31C32">
            <w:pPr>
              <w:spacing w:before="0" w:after="0"/>
              <w:jc w:val="center"/>
              <w:rPr>
                <w:rFonts w:cs="Calibri"/>
                <w:sz w:val="19"/>
                <w:szCs w:val="19"/>
              </w:rPr>
            </w:pPr>
            <w:r>
              <w:rPr>
                <w:rFonts w:cs="Calibri"/>
                <w:sz w:val="19"/>
                <w:szCs w:val="19"/>
              </w:rPr>
              <w:t>Scrophulariaceae</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8A3CC6E" w14:textId="77777777" w:rsidR="00C12050" w:rsidRDefault="00C12050" w:rsidP="00B31C32">
            <w:pPr>
              <w:spacing w:before="0" w:after="0"/>
              <w:jc w:val="center"/>
              <w:rPr>
                <w:rFonts w:cs="Calibri"/>
                <w:sz w:val="19"/>
                <w:szCs w:val="19"/>
              </w:rPr>
            </w:pPr>
            <w:r>
              <w:rPr>
                <w:rFonts w:cs="Calibri"/>
                <w:sz w:val="19"/>
                <w:szCs w:val="19"/>
              </w:rPr>
              <w:t>Native</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EE6777E" w14:textId="77777777" w:rsidR="00C12050" w:rsidRDefault="00C12050" w:rsidP="00B31C32">
            <w:pPr>
              <w:spacing w:before="0" w:after="0"/>
              <w:jc w:val="center"/>
              <w:rPr>
                <w:rFonts w:cs="Calibri"/>
                <w:sz w:val="19"/>
                <w:szCs w:val="19"/>
              </w:rPr>
            </w:pPr>
            <w:r>
              <w:rPr>
                <w:rFonts w:cs="Calibri"/>
                <w:sz w:val="19"/>
                <w:szCs w:val="19"/>
              </w:rPr>
              <w:t>Perennial herb</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A830D51" w14:textId="77777777" w:rsidR="00C12050" w:rsidRDefault="00C12050" w:rsidP="00B31C32">
            <w:pPr>
              <w:spacing w:before="0" w:after="0"/>
              <w:jc w:val="center"/>
              <w:rPr>
                <w:rFonts w:cs="Calibri"/>
                <w:sz w:val="19"/>
                <w:szCs w:val="19"/>
              </w:rPr>
            </w:pPr>
            <w:r>
              <w:rPr>
                <w:rFonts w:cs="Calibri"/>
                <w:sz w:val="19"/>
                <w:szCs w:val="19"/>
              </w:rPr>
              <w:t>Flood dependent</w:t>
            </w:r>
          </w:p>
        </w:tc>
      </w:tr>
      <w:tr w:rsidR="00C12050" w14:paraId="354C577F"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C3A2BC1" w14:textId="77777777" w:rsidR="00C12050" w:rsidRDefault="00C12050" w:rsidP="00B31C32">
            <w:pPr>
              <w:spacing w:before="0" w:after="0"/>
              <w:jc w:val="left"/>
              <w:rPr>
                <w:rFonts w:cs="Calibri"/>
                <w:i/>
                <w:iCs/>
                <w:sz w:val="19"/>
                <w:szCs w:val="19"/>
              </w:rPr>
            </w:pPr>
            <w:proofErr w:type="spellStart"/>
            <w:r>
              <w:rPr>
                <w:rFonts w:cs="Calibri"/>
                <w:i/>
                <w:iCs/>
                <w:sz w:val="19"/>
                <w:szCs w:val="19"/>
              </w:rPr>
              <w:t>Ludwigia</w:t>
            </w:r>
            <w:proofErr w:type="spellEnd"/>
            <w:r>
              <w:rPr>
                <w:rFonts w:cs="Calibri"/>
                <w:i/>
                <w:iCs/>
                <w:sz w:val="19"/>
                <w:szCs w:val="19"/>
              </w:rPr>
              <w:t xml:space="preserve"> </w:t>
            </w:r>
            <w:proofErr w:type="spellStart"/>
            <w:r>
              <w:rPr>
                <w:rFonts w:cs="Calibri"/>
                <w:i/>
                <w:iCs/>
                <w:sz w:val="19"/>
                <w:szCs w:val="19"/>
              </w:rPr>
              <w:t>peploides</w:t>
            </w:r>
            <w:proofErr w:type="spellEnd"/>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EAD75E4" w14:textId="77777777" w:rsidR="00C12050" w:rsidRDefault="00C12050" w:rsidP="00B31C32">
            <w:pPr>
              <w:spacing w:before="0" w:after="0"/>
              <w:jc w:val="center"/>
              <w:rPr>
                <w:rFonts w:cs="Calibri"/>
                <w:sz w:val="19"/>
                <w:szCs w:val="19"/>
              </w:rPr>
            </w:pPr>
            <w:proofErr w:type="spellStart"/>
            <w:r>
              <w:rPr>
                <w:rFonts w:cs="Calibri"/>
                <w:sz w:val="19"/>
                <w:szCs w:val="19"/>
              </w:rPr>
              <w:t>Onagraceae</w:t>
            </w:r>
            <w:proofErr w:type="spellEnd"/>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F905929" w14:textId="77777777" w:rsidR="00C12050" w:rsidRDefault="00C12050" w:rsidP="00B31C32">
            <w:pPr>
              <w:spacing w:before="0" w:after="0"/>
              <w:jc w:val="center"/>
              <w:rPr>
                <w:rFonts w:cs="Calibri"/>
                <w:sz w:val="19"/>
                <w:szCs w:val="19"/>
              </w:rPr>
            </w:pPr>
            <w:r>
              <w:rPr>
                <w:rFonts w:cs="Calibri"/>
                <w:sz w:val="19"/>
                <w:szCs w:val="19"/>
              </w:rPr>
              <w:t>Native</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FB94F9D" w14:textId="77777777" w:rsidR="00C12050" w:rsidRDefault="00C12050" w:rsidP="00B31C32">
            <w:pPr>
              <w:spacing w:before="0" w:after="0"/>
              <w:jc w:val="center"/>
              <w:rPr>
                <w:rFonts w:cs="Calibri"/>
                <w:sz w:val="19"/>
                <w:szCs w:val="19"/>
              </w:rPr>
            </w:pPr>
            <w:r>
              <w:rPr>
                <w:rFonts w:cs="Calibri"/>
                <w:sz w:val="19"/>
                <w:szCs w:val="19"/>
              </w:rPr>
              <w:t>Perennial herb</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3300C16" w14:textId="77777777" w:rsidR="00C12050" w:rsidRDefault="00C12050" w:rsidP="00B31C32">
            <w:pPr>
              <w:spacing w:before="0" w:after="0"/>
              <w:jc w:val="center"/>
              <w:rPr>
                <w:rFonts w:cs="Calibri"/>
                <w:sz w:val="19"/>
                <w:szCs w:val="19"/>
              </w:rPr>
            </w:pPr>
            <w:r>
              <w:rPr>
                <w:rFonts w:cs="Calibri"/>
                <w:sz w:val="19"/>
                <w:szCs w:val="19"/>
              </w:rPr>
              <w:t>Amphibious</w:t>
            </w:r>
          </w:p>
        </w:tc>
      </w:tr>
      <w:tr w:rsidR="00C12050" w14:paraId="14A5AEC8"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CC5831F" w14:textId="77777777" w:rsidR="00C12050" w:rsidRDefault="00C12050" w:rsidP="00B31C32">
            <w:pPr>
              <w:spacing w:before="0" w:after="0"/>
              <w:jc w:val="left"/>
              <w:rPr>
                <w:rFonts w:cs="Calibri"/>
                <w:i/>
                <w:iCs/>
                <w:sz w:val="19"/>
                <w:szCs w:val="19"/>
              </w:rPr>
            </w:pPr>
            <w:proofErr w:type="spellStart"/>
            <w:r>
              <w:rPr>
                <w:rFonts w:cs="Calibri"/>
                <w:i/>
                <w:iCs/>
                <w:sz w:val="19"/>
                <w:szCs w:val="19"/>
              </w:rPr>
              <w:t>Lythrum</w:t>
            </w:r>
            <w:proofErr w:type="spellEnd"/>
            <w:r>
              <w:rPr>
                <w:rFonts w:cs="Calibri"/>
                <w:i/>
                <w:iCs/>
                <w:sz w:val="19"/>
                <w:szCs w:val="19"/>
              </w:rPr>
              <w:t xml:space="preserve"> </w:t>
            </w:r>
            <w:proofErr w:type="spellStart"/>
            <w:r>
              <w:rPr>
                <w:rFonts w:cs="Calibri"/>
                <w:i/>
                <w:iCs/>
                <w:sz w:val="19"/>
                <w:szCs w:val="19"/>
              </w:rPr>
              <w:t>hyssopifolia</w:t>
            </w:r>
            <w:proofErr w:type="spellEnd"/>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04409E3" w14:textId="77777777" w:rsidR="00C12050" w:rsidRDefault="00C12050" w:rsidP="00B31C32">
            <w:pPr>
              <w:spacing w:before="0" w:after="0"/>
              <w:jc w:val="center"/>
              <w:rPr>
                <w:rFonts w:cs="Calibri"/>
                <w:sz w:val="19"/>
                <w:szCs w:val="19"/>
              </w:rPr>
            </w:pPr>
            <w:proofErr w:type="spellStart"/>
            <w:r>
              <w:rPr>
                <w:rFonts w:cs="Calibri"/>
                <w:sz w:val="19"/>
                <w:szCs w:val="19"/>
              </w:rPr>
              <w:t>Lythraceae</w:t>
            </w:r>
            <w:proofErr w:type="spellEnd"/>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D3C2A32" w14:textId="77777777" w:rsidR="00C12050" w:rsidRDefault="00C12050" w:rsidP="00B31C32">
            <w:pPr>
              <w:spacing w:before="0" w:after="0"/>
              <w:jc w:val="center"/>
              <w:rPr>
                <w:rFonts w:cs="Calibri"/>
                <w:sz w:val="19"/>
                <w:szCs w:val="19"/>
              </w:rPr>
            </w:pPr>
            <w:r>
              <w:rPr>
                <w:rFonts w:cs="Calibri"/>
                <w:sz w:val="19"/>
                <w:szCs w:val="19"/>
              </w:rPr>
              <w:t>Native</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82BAD1C" w14:textId="77777777" w:rsidR="00C12050" w:rsidRDefault="00C12050" w:rsidP="00B31C32">
            <w:pPr>
              <w:spacing w:before="0" w:after="0"/>
              <w:jc w:val="center"/>
              <w:rPr>
                <w:rFonts w:cs="Calibri"/>
                <w:sz w:val="19"/>
                <w:szCs w:val="19"/>
              </w:rPr>
            </w:pPr>
            <w:r>
              <w:rPr>
                <w:rFonts w:cs="Calibri"/>
                <w:sz w:val="19"/>
                <w:szCs w:val="19"/>
              </w:rPr>
              <w:t>Annual herb</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E9CE90E" w14:textId="77777777" w:rsidR="00C12050" w:rsidRDefault="00C12050" w:rsidP="00B31C32">
            <w:pPr>
              <w:spacing w:before="0" w:after="0"/>
              <w:jc w:val="center"/>
              <w:rPr>
                <w:rFonts w:cs="Calibri"/>
                <w:sz w:val="19"/>
                <w:szCs w:val="19"/>
              </w:rPr>
            </w:pPr>
            <w:r>
              <w:rPr>
                <w:rFonts w:cs="Calibri"/>
                <w:sz w:val="19"/>
                <w:szCs w:val="19"/>
              </w:rPr>
              <w:t>Flood dependent</w:t>
            </w:r>
          </w:p>
        </w:tc>
      </w:tr>
      <w:tr w:rsidR="00C12050" w14:paraId="29495D80"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32EE954" w14:textId="77777777" w:rsidR="00C12050" w:rsidRDefault="00C12050" w:rsidP="00B31C32">
            <w:pPr>
              <w:spacing w:before="0" w:after="0"/>
              <w:jc w:val="left"/>
              <w:rPr>
                <w:rFonts w:cs="Calibri"/>
                <w:i/>
                <w:iCs/>
                <w:sz w:val="19"/>
                <w:szCs w:val="19"/>
              </w:rPr>
            </w:pPr>
            <w:proofErr w:type="spellStart"/>
            <w:r>
              <w:rPr>
                <w:rFonts w:cs="Calibri"/>
                <w:i/>
                <w:iCs/>
                <w:sz w:val="19"/>
                <w:szCs w:val="19"/>
              </w:rPr>
              <w:t>Maireana</w:t>
            </w:r>
            <w:proofErr w:type="spellEnd"/>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9B9F79C" w14:textId="77777777" w:rsidR="00C12050" w:rsidRDefault="00C12050" w:rsidP="00B31C32">
            <w:pPr>
              <w:spacing w:before="0" w:after="0"/>
              <w:jc w:val="center"/>
              <w:rPr>
                <w:rFonts w:cs="Calibri"/>
                <w:sz w:val="19"/>
                <w:szCs w:val="19"/>
              </w:rPr>
            </w:pPr>
            <w:r>
              <w:rPr>
                <w:rFonts w:cs="Calibri"/>
                <w:sz w:val="19"/>
                <w:szCs w:val="19"/>
              </w:rPr>
              <w:t>Chenopodiaceae</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E5CE912" w14:textId="77777777" w:rsidR="00C12050" w:rsidRDefault="00C12050" w:rsidP="00B31C32">
            <w:pPr>
              <w:spacing w:before="0" w:after="0"/>
              <w:jc w:val="center"/>
              <w:rPr>
                <w:rFonts w:cs="Calibri"/>
                <w:sz w:val="19"/>
                <w:szCs w:val="19"/>
              </w:rPr>
            </w:pPr>
            <w:r>
              <w:rPr>
                <w:rFonts w:cs="Calibri"/>
                <w:sz w:val="19"/>
                <w:szCs w:val="19"/>
              </w:rPr>
              <w:t>Native</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D6649BB" w14:textId="77777777" w:rsidR="00C12050" w:rsidRDefault="00C12050" w:rsidP="00B31C32">
            <w:pPr>
              <w:spacing w:before="0" w:after="0"/>
              <w:jc w:val="center"/>
              <w:rPr>
                <w:rFonts w:cs="Calibri"/>
                <w:sz w:val="19"/>
                <w:szCs w:val="19"/>
              </w:rPr>
            </w:pPr>
            <w:r>
              <w:rPr>
                <w:rFonts w:cs="Calibri"/>
                <w:sz w:val="19"/>
                <w:szCs w:val="19"/>
              </w:rPr>
              <w:t>Perennial sub-shrub</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8275DE1" w14:textId="77777777" w:rsidR="00C12050" w:rsidRDefault="00C12050" w:rsidP="00B31C32">
            <w:pPr>
              <w:spacing w:before="0" w:after="0"/>
              <w:jc w:val="center"/>
              <w:rPr>
                <w:rFonts w:cs="Calibri"/>
                <w:sz w:val="19"/>
                <w:szCs w:val="19"/>
              </w:rPr>
            </w:pPr>
            <w:r>
              <w:rPr>
                <w:rFonts w:cs="Calibri"/>
                <w:sz w:val="19"/>
                <w:szCs w:val="19"/>
              </w:rPr>
              <w:t>Terrestrial</w:t>
            </w:r>
          </w:p>
        </w:tc>
      </w:tr>
      <w:tr w:rsidR="00C12050" w14:paraId="0CA266BA"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E94CC64" w14:textId="77777777" w:rsidR="00C12050" w:rsidRDefault="00C12050" w:rsidP="00B31C32">
            <w:pPr>
              <w:spacing w:before="0" w:after="0"/>
              <w:jc w:val="left"/>
              <w:rPr>
                <w:rFonts w:cs="Calibri"/>
                <w:i/>
                <w:iCs/>
                <w:sz w:val="19"/>
                <w:szCs w:val="19"/>
              </w:rPr>
            </w:pPr>
            <w:r>
              <w:rPr>
                <w:rFonts w:cs="Calibri"/>
                <w:i/>
                <w:iCs/>
                <w:sz w:val="19"/>
                <w:szCs w:val="19"/>
              </w:rPr>
              <w:t>Medicago*</w:t>
            </w:r>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D7210D0" w14:textId="77777777" w:rsidR="00C12050" w:rsidRDefault="00C12050" w:rsidP="00B31C32">
            <w:pPr>
              <w:spacing w:before="0" w:after="0"/>
              <w:jc w:val="center"/>
              <w:rPr>
                <w:rFonts w:cs="Calibri"/>
                <w:sz w:val="19"/>
                <w:szCs w:val="19"/>
              </w:rPr>
            </w:pPr>
            <w:r>
              <w:rPr>
                <w:rFonts w:cs="Calibri"/>
                <w:sz w:val="19"/>
                <w:szCs w:val="19"/>
              </w:rPr>
              <w:t>Fabaceae</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BFBD867" w14:textId="77777777" w:rsidR="00C12050" w:rsidRDefault="00C12050" w:rsidP="00B31C32">
            <w:pPr>
              <w:spacing w:before="0" w:after="0"/>
              <w:jc w:val="center"/>
              <w:rPr>
                <w:rFonts w:cs="Calibri"/>
                <w:sz w:val="19"/>
                <w:szCs w:val="19"/>
              </w:rPr>
            </w:pPr>
            <w:r>
              <w:rPr>
                <w:rFonts w:cs="Calibri"/>
                <w:sz w:val="19"/>
                <w:szCs w:val="19"/>
              </w:rPr>
              <w:t>Exotic, Naturalised</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7A99CEA" w14:textId="77777777" w:rsidR="00C12050" w:rsidRDefault="00C12050" w:rsidP="00B31C32">
            <w:pPr>
              <w:spacing w:before="0" w:after="0"/>
              <w:jc w:val="center"/>
              <w:rPr>
                <w:rFonts w:cs="Calibri"/>
                <w:sz w:val="19"/>
                <w:szCs w:val="19"/>
              </w:rPr>
            </w:pPr>
            <w:r>
              <w:rPr>
                <w:rFonts w:cs="Calibri"/>
                <w:sz w:val="19"/>
                <w:szCs w:val="19"/>
              </w:rPr>
              <w:t>Annual herb</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0F5B160" w14:textId="77777777" w:rsidR="00C12050" w:rsidRDefault="00C12050" w:rsidP="00B31C32">
            <w:pPr>
              <w:spacing w:before="0" w:after="0"/>
              <w:jc w:val="center"/>
              <w:rPr>
                <w:rFonts w:cs="Calibri"/>
                <w:sz w:val="19"/>
                <w:szCs w:val="19"/>
              </w:rPr>
            </w:pPr>
            <w:r>
              <w:rPr>
                <w:rFonts w:cs="Calibri"/>
                <w:sz w:val="19"/>
                <w:szCs w:val="19"/>
              </w:rPr>
              <w:t>Terrestrial</w:t>
            </w:r>
          </w:p>
        </w:tc>
      </w:tr>
      <w:tr w:rsidR="00C12050" w14:paraId="50CFA30F"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D4B9F8C" w14:textId="77777777" w:rsidR="00C12050" w:rsidRDefault="00C12050" w:rsidP="00B31C32">
            <w:pPr>
              <w:spacing w:before="0" w:after="0"/>
              <w:jc w:val="left"/>
              <w:rPr>
                <w:rFonts w:cs="Calibri"/>
                <w:i/>
                <w:iCs/>
                <w:sz w:val="19"/>
                <w:szCs w:val="19"/>
              </w:rPr>
            </w:pPr>
            <w:r>
              <w:rPr>
                <w:rFonts w:cs="Calibri"/>
                <w:i/>
                <w:iCs/>
                <w:sz w:val="19"/>
                <w:szCs w:val="19"/>
              </w:rPr>
              <w:t>Melaleuca lanceolata</w:t>
            </w:r>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9349D9E" w14:textId="77777777" w:rsidR="00C12050" w:rsidRDefault="00C12050" w:rsidP="00B31C32">
            <w:pPr>
              <w:spacing w:before="0" w:after="0"/>
              <w:jc w:val="center"/>
              <w:rPr>
                <w:rFonts w:cs="Calibri"/>
                <w:sz w:val="19"/>
                <w:szCs w:val="19"/>
              </w:rPr>
            </w:pPr>
            <w:proofErr w:type="spellStart"/>
            <w:r>
              <w:rPr>
                <w:rFonts w:cs="Calibri"/>
                <w:sz w:val="19"/>
                <w:szCs w:val="19"/>
              </w:rPr>
              <w:t>Myrtaceae</w:t>
            </w:r>
            <w:proofErr w:type="spellEnd"/>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28F957C" w14:textId="77777777" w:rsidR="00C12050" w:rsidRDefault="00C12050" w:rsidP="00B31C32">
            <w:pPr>
              <w:spacing w:before="0" w:after="0"/>
              <w:jc w:val="center"/>
              <w:rPr>
                <w:rFonts w:cs="Calibri"/>
                <w:sz w:val="19"/>
                <w:szCs w:val="19"/>
              </w:rPr>
            </w:pPr>
            <w:r>
              <w:rPr>
                <w:rFonts w:cs="Calibri"/>
                <w:sz w:val="19"/>
                <w:szCs w:val="19"/>
              </w:rPr>
              <w:t>Native</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9667CC7" w14:textId="77777777" w:rsidR="00C12050" w:rsidRDefault="00C12050" w:rsidP="00B31C32">
            <w:pPr>
              <w:spacing w:before="0" w:after="0"/>
              <w:jc w:val="center"/>
              <w:rPr>
                <w:rFonts w:cs="Calibri"/>
                <w:sz w:val="19"/>
                <w:szCs w:val="19"/>
              </w:rPr>
            </w:pPr>
            <w:r>
              <w:rPr>
                <w:rFonts w:cs="Calibri"/>
                <w:sz w:val="19"/>
                <w:szCs w:val="19"/>
              </w:rPr>
              <w:t>Perennial tree</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BCDCA1D" w14:textId="77777777" w:rsidR="00C12050" w:rsidRDefault="00C12050" w:rsidP="00B31C32">
            <w:pPr>
              <w:spacing w:before="0" w:after="0"/>
              <w:jc w:val="center"/>
              <w:rPr>
                <w:rFonts w:cs="Calibri"/>
                <w:sz w:val="19"/>
                <w:szCs w:val="19"/>
              </w:rPr>
            </w:pPr>
            <w:r>
              <w:rPr>
                <w:rFonts w:cs="Calibri"/>
                <w:sz w:val="19"/>
                <w:szCs w:val="19"/>
              </w:rPr>
              <w:t>Terrestrial</w:t>
            </w:r>
          </w:p>
        </w:tc>
      </w:tr>
      <w:tr w:rsidR="00C12050" w14:paraId="52CFE6E0"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8AF5F46" w14:textId="77777777" w:rsidR="00C12050" w:rsidRDefault="00C12050" w:rsidP="00B31C32">
            <w:pPr>
              <w:spacing w:before="0" w:after="0"/>
              <w:jc w:val="left"/>
              <w:rPr>
                <w:rFonts w:cs="Calibri"/>
                <w:i/>
                <w:iCs/>
                <w:sz w:val="19"/>
                <w:szCs w:val="19"/>
              </w:rPr>
            </w:pPr>
            <w:r>
              <w:rPr>
                <w:rFonts w:cs="Calibri"/>
                <w:i/>
                <w:iCs/>
                <w:sz w:val="19"/>
                <w:szCs w:val="19"/>
              </w:rPr>
              <w:t>Melilotus albus*</w:t>
            </w:r>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AE6DEB1" w14:textId="77777777" w:rsidR="00C12050" w:rsidRDefault="00C12050" w:rsidP="00B31C32">
            <w:pPr>
              <w:spacing w:before="0" w:after="0"/>
              <w:jc w:val="center"/>
              <w:rPr>
                <w:rFonts w:cs="Calibri"/>
                <w:sz w:val="19"/>
                <w:szCs w:val="19"/>
              </w:rPr>
            </w:pPr>
            <w:r>
              <w:rPr>
                <w:rFonts w:cs="Calibri"/>
                <w:sz w:val="19"/>
                <w:szCs w:val="19"/>
              </w:rPr>
              <w:t>Fabaceae</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5F9F31B" w14:textId="77777777" w:rsidR="00C12050" w:rsidRDefault="00C12050" w:rsidP="00B31C32">
            <w:pPr>
              <w:spacing w:before="0" w:after="0"/>
              <w:jc w:val="center"/>
              <w:rPr>
                <w:rFonts w:cs="Calibri"/>
                <w:sz w:val="19"/>
                <w:szCs w:val="19"/>
              </w:rPr>
            </w:pPr>
            <w:r>
              <w:rPr>
                <w:rFonts w:cs="Calibri"/>
                <w:sz w:val="19"/>
                <w:szCs w:val="19"/>
              </w:rPr>
              <w:t>Exotic, Naturalised</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0F04599" w14:textId="77777777" w:rsidR="00C12050" w:rsidRDefault="00C12050" w:rsidP="00B31C32">
            <w:pPr>
              <w:spacing w:before="0" w:after="0"/>
              <w:jc w:val="center"/>
              <w:rPr>
                <w:rFonts w:cs="Calibri"/>
                <w:sz w:val="19"/>
                <w:szCs w:val="19"/>
              </w:rPr>
            </w:pPr>
            <w:r>
              <w:rPr>
                <w:rFonts w:cs="Calibri"/>
                <w:sz w:val="19"/>
                <w:szCs w:val="19"/>
              </w:rPr>
              <w:t>Annual herb</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CAAE2E9" w14:textId="77777777" w:rsidR="00C12050" w:rsidRDefault="00C12050" w:rsidP="00B31C32">
            <w:pPr>
              <w:spacing w:before="0" w:after="0"/>
              <w:jc w:val="center"/>
              <w:rPr>
                <w:rFonts w:cs="Calibri"/>
                <w:sz w:val="19"/>
                <w:szCs w:val="19"/>
              </w:rPr>
            </w:pPr>
            <w:r>
              <w:rPr>
                <w:rFonts w:cs="Calibri"/>
                <w:sz w:val="19"/>
                <w:szCs w:val="19"/>
              </w:rPr>
              <w:t>Terrestrial</w:t>
            </w:r>
          </w:p>
        </w:tc>
      </w:tr>
      <w:tr w:rsidR="00C12050" w14:paraId="66677399"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CD8FE3D" w14:textId="77777777" w:rsidR="00C12050" w:rsidRDefault="00C12050" w:rsidP="00B31C32">
            <w:pPr>
              <w:spacing w:before="0" w:after="0"/>
              <w:jc w:val="left"/>
              <w:rPr>
                <w:rFonts w:cs="Calibri"/>
                <w:i/>
                <w:iCs/>
                <w:sz w:val="19"/>
                <w:szCs w:val="19"/>
              </w:rPr>
            </w:pPr>
            <w:r>
              <w:rPr>
                <w:rFonts w:cs="Calibri"/>
                <w:i/>
                <w:iCs/>
                <w:sz w:val="19"/>
                <w:szCs w:val="19"/>
              </w:rPr>
              <w:t>Melilotus indicus*</w:t>
            </w:r>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B9E1BFC" w14:textId="77777777" w:rsidR="00C12050" w:rsidRDefault="00C12050" w:rsidP="00B31C32">
            <w:pPr>
              <w:spacing w:before="0" w:after="0"/>
              <w:jc w:val="center"/>
              <w:rPr>
                <w:rFonts w:cs="Calibri"/>
                <w:sz w:val="19"/>
                <w:szCs w:val="19"/>
              </w:rPr>
            </w:pPr>
            <w:r>
              <w:rPr>
                <w:rFonts w:cs="Calibri"/>
                <w:sz w:val="19"/>
                <w:szCs w:val="19"/>
              </w:rPr>
              <w:t>Fabaceae</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BA48ABB" w14:textId="77777777" w:rsidR="00C12050" w:rsidRDefault="00C12050" w:rsidP="00B31C32">
            <w:pPr>
              <w:spacing w:before="0" w:after="0"/>
              <w:jc w:val="center"/>
              <w:rPr>
                <w:rFonts w:cs="Calibri"/>
                <w:sz w:val="19"/>
                <w:szCs w:val="19"/>
              </w:rPr>
            </w:pPr>
            <w:r>
              <w:rPr>
                <w:rFonts w:cs="Calibri"/>
                <w:sz w:val="19"/>
                <w:szCs w:val="19"/>
              </w:rPr>
              <w:t>Exotic, Naturalised</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26B0F42" w14:textId="77777777" w:rsidR="00C12050" w:rsidRDefault="00C12050" w:rsidP="00B31C32">
            <w:pPr>
              <w:spacing w:before="0" w:after="0"/>
              <w:jc w:val="center"/>
              <w:rPr>
                <w:rFonts w:cs="Calibri"/>
                <w:sz w:val="19"/>
                <w:szCs w:val="19"/>
              </w:rPr>
            </w:pPr>
            <w:r>
              <w:rPr>
                <w:rFonts w:cs="Calibri"/>
                <w:sz w:val="19"/>
                <w:szCs w:val="19"/>
              </w:rPr>
              <w:t>Annual herb</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0354367" w14:textId="77777777" w:rsidR="00C12050" w:rsidRDefault="00C12050" w:rsidP="00B31C32">
            <w:pPr>
              <w:spacing w:before="0" w:after="0"/>
              <w:jc w:val="center"/>
              <w:rPr>
                <w:rFonts w:cs="Calibri"/>
                <w:sz w:val="19"/>
                <w:szCs w:val="19"/>
              </w:rPr>
            </w:pPr>
            <w:r>
              <w:rPr>
                <w:rFonts w:cs="Calibri"/>
                <w:sz w:val="19"/>
                <w:szCs w:val="19"/>
              </w:rPr>
              <w:t>Terrestrial</w:t>
            </w:r>
          </w:p>
        </w:tc>
      </w:tr>
      <w:tr w:rsidR="00C12050" w14:paraId="2C21F2A3"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9CAA2BA" w14:textId="77777777" w:rsidR="00C12050" w:rsidRDefault="00C12050" w:rsidP="00B31C32">
            <w:pPr>
              <w:spacing w:before="0" w:after="0"/>
              <w:jc w:val="left"/>
              <w:rPr>
                <w:rFonts w:cs="Calibri"/>
                <w:i/>
                <w:iCs/>
                <w:sz w:val="19"/>
                <w:szCs w:val="19"/>
              </w:rPr>
            </w:pPr>
            <w:r>
              <w:rPr>
                <w:rFonts w:cs="Calibri"/>
                <w:i/>
                <w:iCs/>
                <w:sz w:val="19"/>
                <w:szCs w:val="19"/>
              </w:rPr>
              <w:t xml:space="preserve">Myoporum </w:t>
            </w:r>
            <w:proofErr w:type="spellStart"/>
            <w:r>
              <w:rPr>
                <w:rFonts w:cs="Calibri"/>
                <w:i/>
                <w:iCs/>
                <w:sz w:val="19"/>
                <w:szCs w:val="19"/>
              </w:rPr>
              <w:t>montanum</w:t>
            </w:r>
            <w:proofErr w:type="spellEnd"/>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DD193DB" w14:textId="77777777" w:rsidR="00C12050" w:rsidRDefault="00C12050" w:rsidP="00B31C32">
            <w:pPr>
              <w:spacing w:before="0" w:after="0"/>
              <w:jc w:val="center"/>
              <w:rPr>
                <w:rFonts w:cs="Calibri"/>
                <w:sz w:val="19"/>
                <w:szCs w:val="19"/>
              </w:rPr>
            </w:pPr>
            <w:proofErr w:type="spellStart"/>
            <w:r>
              <w:rPr>
                <w:rFonts w:cs="Calibri"/>
                <w:sz w:val="19"/>
                <w:szCs w:val="19"/>
              </w:rPr>
              <w:t>Myoporaceae</w:t>
            </w:r>
            <w:proofErr w:type="spellEnd"/>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C22340A" w14:textId="77777777" w:rsidR="00C12050" w:rsidRDefault="00C12050" w:rsidP="00B31C32">
            <w:pPr>
              <w:spacing w:before="0" w:after="0"/>
              <w:jc w:val="center"/>
              <w:rPr>
                <w:rFonts w:cs="Calibri"/>
                <w:sz w:val="19"/>
                <w:szCs w:val="19"/>
              </w:rPr>
            </w:pPr>
            <w:r>
              <w:rPr>
                <w:rFonts w:cs="Calibri"/>
                <w:sz w:val="19"/>
                <w:szCs w:val="19"/>
              </w:rPr>
              <w:t>Native</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7334AA8" w14:textId="77777777" w:rsidR="00C12050" w:rsidRDefault="00C12050" w:rsidP="00B31C32">
            <w:pPr>
              <w:spacing w:before="0" w:after="0"/>
              <w:jc w:val="center"/>
              <w:rPr>
                <w:rFonts w:cs="Calibri"/>
                <w:sz w:val="19"/>
                <w:szCs w:val="19"/>
              </w:rPr>
            </w:pPr>
            <w:r>
              <w:rPr>
                <w:rFonts w:cs="Calibri"/>
                <w:sz w:val="19"/>
                <w:szCs w:val="19"/>
              </w:rPr>
              <w:t>Perennial tree</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5C405DE" w14:textId="77777777" w:rsidR="00C12050" w:rsidRDefault="00C12050" w:rsidP="00B31C32">
            <w:pPr>
              <w:spacing w:before="0" w:after="0"/>
              <w:jc w:val="center"/>
              <w:rPr>
                <w:rFonts w:cs="Calibri"/>
                <w:sz w:val="19"/>
                <w:szCs w:val="19"/>
              </w:rPr>
            </w:pPr>
            <w:r>
              <w:rPr>
                <w:rFonts w:cs="Calibri"/>
                <w:sz w:val="19"/>
                <w:szCs w:val="19"/>
              </w:rPr>
              <w:t>Terrestrial</w:t>
            </w:r>
          </w:p>
        </w:tc>
      </w:tr>
      <w:tr w:rsidR="00C12050" w14:paraId="47118D67"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D661AA7" w14:textId="77777777" w:rsidR="00C12050" w:rsidRDefault="00C12050" w:rsidP="00B31C32">
            <w:pPr>
              <w:spacing w:before="0" w:after="0"/>
              <w:jc w:val="left"/>
              <w:rPr>
                <w:rFonts w:cs="Calibri"/>
                <w:i/>
                <w:iCs/>
                <w:sz w:val="19"/>
                <w:szCs w:val="19"/>
              </w:rPr>
            </w:pPr>
            <w:proofErr w:type="spellStart"/>
            <w:r>
              <w:rPr>
                <w:rFonts w:cs="Calibri"/>
                <w:i/>
                <w:iCs/>
                <w:sz w:val="19"/>
                <w:szCs w:val="19"/>
              </w:rPr>
              <w:t>Myriophyllum</w:t>
            </w:r>
            <w:proofErr w:type="spellEnd"/>
            <w:r>
              <w:rPr>
                <w:rFonts w:cs="Calibri"/>
                <w:i/>
                <w:iCs/>
                <w:sz w:val="19"/>
                <w:szCs w:val="19"/>
              </w:rPr>
              <w:t xml:space="preserve"> </w:t>
            </w:r>
            <w:proofErr w:type="spellStart"/>
            <w:r>
              <w:rPr>
                <w:rFonts w:cs="Calibri"/>
                <w:i/>
                <w:iCs/>
                <w:sz w:val="19"/>
                <w:szCs w:val="19"/>
              </w:rPr>
              <w:t>papillosum</w:t>
            </w:r>
            <w:proofErr w:type="spellEnd"/>
            <w:r>
              <w:rPr>
                <w:rFonts w:cs="Calibri"/>
                <w:i/>
                <w:iCs/>
                <w:sz w:val="19"/>
                <w:szCs w:val="19"/>
              </w:rPr>
              <w:t>#</w:t>
            </w:r>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1193E6D" w14:textId="77777777" w:rsidR="00C12050" w:rsidRDefault="00C12050" w:rsidP="00B31C32">
            <w:pPr>
              <w:spacing w:before="0" w:after="0"/>
              <w:jc w:val="center"/>
              <w:rPr>
                <w:rFonts w:cs="Calibri"/>
                <w:sz w:val="19"/>
                <w:szCs w:val="19"/>
              </w:rPr>
            </w:pPr>
            <w:proofErr w:type="spellStart"/>
            <w:r>
              <w:rPr>
                <w:rFonts w:cs="Calibri"/>
                <w:sz w:val="19"/>
                <w:szCs w:val="19"/>
              </w:rPr>
              <w:t>Haloragaceae</w:t>
            </w:r>
            <w:proofErr w:type="spellEnd"/>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07CB990" w14:textId="77777777" w:rsidR="00C12050" w:rsidRDefault="00C12050" w:rsidP="00B31C32">
            <w:pPr>
              <w:spacing w:before="0" w:after="0"/>
              <w:jc w:val="center"/>
              <w:rPr>
                <w:rFonts w:cs="Calibri"/>
                <w:sz w:val="19"/>
                <w:szCs w:val="19"/>
              </w:rPr>
            </w:pPr>
            <w:r>
              <w:rPr>
                <w:rFonts w:cs="Calibri"/>
                <w:sz w:val="19"/>
                <w:szCs w:val="19"/>
              </w:rPr>
              <w:t>Native, Rare in South Australia</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BE7743F" w14:textId="77777777" w:rsidR="00C12050" w:rsidRDefault="00C12050" w:rsidP="00B31C32">
            <w:pPr>
              <w:spacing w:before="0" w:after="0"/>
              <w:jc w:val="center"/>
              <w:rPr>
                <w:rFonts w:cs="Calibri"/>
                <w:sz w:val="19"/>
                <w:szCs w:val="19"/>
              </w:rPr>
            </w:pPr>
            <w:r>
              <w:rPr>
                <w:rFonts w:cs="Calibri"/>
                <w:sz w:val="19"/>
                <w:szCs w:val="19"/>
              </w:rPr>
              <w:t>Perennial herb</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96371CD" w14:textId="77777777" w:rsidR="00C12050" w:rsidRDefault="00C12050" w:rsidP="00B31C32">
            <w:pPr>
              <w:spacing w:before="0" w:after="0"/>
              <w:jc w:val="center"/>
              <w:rPr>
                <w:rFonts w:cs="Calibri"/>
                <w:sz w:val="19"/>
                <w:szCs w:val="19"/>
              </w:rPr>
            </w:pPr>
            <w:r>
              <w:rPr>
                <w:rFonts w:cs="Calibri"/>
                <w:sz w:val="19"/>
                <w:szCs w:val="19"/>
              </w:rPr>
              <w:t>Amphibious</w:t>
            </w:r>
          </w:p>
        </w:tc>
      </w:tr>
      <w:tr w:rsidR="00C12050" w14:paraId="0A2D3225"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76A90A6" w14:textId="77777777" w:rsidR="00C12050" w:rsidRDefault="00C12050" w:rsidP="00B31C32">
            <w:pPr>
              <w:spacing w:before="0" w:after="0"/>
              <w:jc w:val="left"/>
              <w:rPr>
                <w:rFonts w:cs="Calibri"/>
                <w:i/>
                <w:iCs/>
                <w:sz w:val="19"/>
                <w:szCs w:val="19"/>
              </w:rPr>
            </w:pPr>
            <w:r>
              <w:rPr>
                <w:rFonts w:cs="Calibri"/>
                <w:i/>
                <w:iCs/>
                <w:sz w:val="19"/>
                <w:szCs w:val="19"/>
              </w:rPr>
              <w:t>Oxalis*</w:t>
            </w:r>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E3BD6D2" w14:textId="77777777" w:rsidR="00C12050" w:rsidRDefault="00C12050" w:rsidP="00B31C32">
            <w:pPr>
              <w:spacing w:before="0" w:after="0"/>
              <w:jc w:val="center"/>
              <w:rPr>
                <w:rFonts w:cs="Calibri"/>
                <w:sz w:val="19"/>
                <w:szCs w:val="19"/>
              </w:rPr>
            </w:pPr>
            <w:proofErr w:type="spellStart"/>
            <w:r>
              <w:rPr>
                <w:rFonts w:cs="Calibri"/>
                <w:sz w:val="19"/>
                <w:szCs w:val="19"/>
              </w:rPr>
              <w:t>Oxalidaceae</w:t>
            </w:r>
            <w:proofErr w:type="spellEnd"/>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8ACF7B3" w14:textId="77777777" w:rsidR="00C12050" w:rsidRDefault="00C12050" w:rsidP="00B31C32">
            <w:pPr>
              <w:spacing w:before="0" w:after="0"/>
              <w:jc w:val="center"/>
              <w:rPr>
                <w:rFonts w:cs="Calibri"/>
                <w:sz w:val="19"/>
                <w:szCs w:val="19"/>
              </w:rPr>
            </w:pPr>
            <w:r>
              <w:rPr>
                <w:rFonts w:cs="Calibri"/>
                <w:sz w:val="19"/>
                <w:szCs w:val="19"/>
              </w:rPr>
              <w:t>Exotic, Naturalised</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EA77DD3" w14:textId="77777777" w:rsidR="00C12050" w:rsidRDefault="00C12050" w:rsidP="00B31C32">
            <w:pPr>
              <w:spacing w:before="0" w:after="0"/>
              <w:jc w:val="center"/>
              <w:rPr>
                <w:rFonts w:cs="Calibri"/>
                <w:sz w:val="19"/>
                <w:szCs w:val="19"/>
              </w:rPr>
            </w:pPr>
            <w:r>
              <w:rPr>
                <w:rFonts w:cs="Calibri"/>
                <w:sz w:val="19"/>
                <w:szCs w:val="19"/>
              </w:rPr>
              <w:t>Perennial herb</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A92BB6E" w14:textId="77777777" w:rsidR="00C12050" w:rsidRDefault="00C12050" w:rsidP="00B31C32">
            <w:pPr>
              <w:spacing w:before="0" w:after="0"/>
              <w:jc w:val="center"/>
              <w:rPr>
                <w:rFonts w:cs="Calibri"/>
                <w:sz w:val="19"/>
                <w:szCs w:val="19"/>
              </w:rPr>
            </w:pPr>
            <w:r>
              <w:rPr>
                <w:rFonts w:cs="Calibri"/>
                <w:sz w:val="19"/>
                <w:szCs w:val="19"/>
              </w:rPr>
              <w:t>Terrestrial</w:t>
            </w:r>
          </w:p>
        </w:tc>
      </w:tr>
      <w:tr w:rsidR="00C12050" w14:paraId="13E87D52"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2E97E5A" w14:textId="77777777" w:rsidR="00C12050" w:rsidRDefault="00C12050" w:rsidP="00B31C32">
            <w:pPr>
              <w:spacing w:before="0" w:after="0"/>
              <w:jc w:val="left"/>
              <w:rPr>
                <w:rFonts w:cs="Calibri"/>
                <w:i/>
                <w:iCs/>
                <w:sz w:val="19"/>
                <w:szCs w:val="19"/>
              </w:rPr>
            </w:pPr>
            <w:proofErr w:type="spellStart"/>
            <w:r>
              <w:rPr>
                <w:rFonts w:cs="Calibri"/>
                <w:i/>
                <w:iCs/>
                <w:sz w:val="19"/>
                <w:szCs w:val="19"/>
              </w:rPr>
              <w:t>Paspalidium</w:t>
            </w:r>
            <w:proofErr w:type="spellEnd"/>
            <w:r>
              <w:rPr>
                <w:rFonts w:cs="Calibri"/>
                <w:i/>
                <w:iCs/>
                <w:sz w:val="19"/>
                <w:szCs w:val="19"/>
              </w:rPr>
              <w:t xml:space="preserve"> </w:t>
            </w:r>
            <w:proofErr w:type="spellStart"/>
            <w:r>
              <w:rPr>
                <w:rFonts w:cs="Calibri"/>
                <w:i/>
                <w:iCs/>
                <w:sz w:val="19"/>
                <w:szCs w:val="19"/>
              </w:rPr>
              <w:t>jubiflorum</w:t>
            </w:r>
            <w:proofErr w:type="spellEnd"/>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2A0EC0E" w14:textId="77777777" w:rsidR="00C12050" w:rsidRDefault="00C12050" w:rsidP="00B31C32">
            <w:pPr>
              <w:spacing w:before="0" w:after="0"/>
              <w:jc w:val="center"/>
              <w:rPr>
                <w:rFonts w:cs="Calibri"/>
                <w:sz w:val="19"/>
                <w:szCs w:val="19"/>
              </w:rPr>
            </w:pPr>
            <w:proofErr w:type="spellStart"/>
            <w:r>
              <w:rPr>
                <w:rFonts w:cs="Calibri"/>
                <w:sz w:val="19"/>
                <w:szCs w:val="19"/>
              </w:rPr>
              <w:t>Poaceae</w:t>
            </w:r>
            <w:proofErr w:type="spellEnd"/>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28CB91F" w14:textId="77777777" w:rsidR="00C12050" w:rsidRDefault="00C12050" w:rsidP="00B31C32">
            <w:pPr>
              <w:spacing w:before="0" w:after="0"/>
              <w:jc w:val="center"/>
              <w:rPr>
                <w:rFonts w:cs="Calibri"/>
                <w:sz w:val="19"/>
                <w:szCs w:val="19"/>
              </w:rPr>
            </w:pPr>
            <w:r>
              <w:rPr>
                <w:rFonts w:cs="Calibri"/>
                <w:sz w:val="19"/>
                <w:szCs w:val="19"/>
              </w:rPr>
              <w:t>Native</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BA6912F" w14:textId="77777777" w:rsidR="00C12050" w:rsidRDefault="00C12050" w:rsidP="00B31C32">
            <w:pPr>
              <w:spacing w:before="0" w:after="0"/>
              <w:jc w:val="center"/>
              <w:rPr>
                <w:rFonts w:cs="Calibri"/>
                <w:sz w:val="19"/>
                <w:szCs w:val="19"/>
              </w:rPr>
            </w:pPr>
            <w:r>
              <w:rPr>
                <w:rFonts w:cs="Calibri"/>
                <w:sz w:val="19"/>
                <w:szCs w:val="19"/>
              </w:rPr>
              <w:t>Perennial grass</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01C9762" w14:textId="77777777" w:rsidR="00C12050" w:rsidRDefault="00C12050" w:rsidP="00B31C32">
            <w:pPr>
              <w:spacing w:before="0" w:after="0"/>
              <w:jc w:val="center"/>
              <w:rPr>
                <w:rFonts w:cs="Calibri"/>
                <w:sz w:val="19"/>
                <w:szCs w:val="19"/>
              </w:rPr>
            </w:pPr>
            <w:r>
              <w:rPr>
                <w:rFonts w:cs="Calibri"/>
                <w:sz w:val="19"/>
                <w:szCs w:val="19"/>
              </w:rPr>
              <w:t>Flood dependent</w:t>
            </w:r>
          </w:p>
        </w:tc>
      </w:tr>
      <w:tr w:rsidR="00C12050" w14:paraId="11251D78"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91C69DC" w14:textId="77777777" w:rsidR="00C12050" w:rsidRDefault="00C12050" w:rsidP="00B31C32">
            <w:pPr>
              <w:spacing w:before="0" w:after="0"/>
              <w:jc w:val="left"/>
              <w:rPr>
                <w:rFonts w:cs="Calibri"/>
                <w:i/>
                <w:iCs/>
                <w:sz w:val="19"/>
                <w:szCs w:val="19"/>
              </w:rPr>
            </w:pPr>
            <w:r>
              <w:rPr>
                <w:rFonts w:cs="Calibri"/>
                <w:i/>
                <w:iCs/>
                <w:sz w:val="19"/>
                <w:szCs w:val="19"/>
              </w:rPr>
              <w:t>Paspalum distichum</w:t>
            </w:r>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2160A2B" w14:textId="77777777" w:rsidR="00C12050" w:rsidRDefault="00C12050" w:rsidP="00B31C32">
            <w:pPr>
              <w:spacing w:before="0" w:after="0"/>
              <w:jc w:val="center"/>
              <w:rPr>
                <w:rFonts w:cs="Calibri"/>
                <w:sz w:val="19"/>
                <w:szCs w:val="19"/>
              </w:rPr>
            </w:pPr>
            <w:proofErr w:type="spellStart"/>
            <w:r>
              <w:rPr>
                <w:rFonts w:cs="Calibri"/>
                <w:sz w:val="19"/>
                <w:szCs w:val="19"/>
              </w:rPr>
              <w:t>Poaceae</w:t>
            </w:r>
            <w:proofErr w:type="spellEnd"/>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290E705" w14:textId="77777777" w:rsidR="00C12050" w:rsidRDefault="00C12050" w:rsidP="00B31C32">
            <w:pPr>
              <w:spacing w:before="0" w:after="0"/>
              <w:jc w:val="center"/>
              <w:rPr>
                <w:rFonts w:cs="Calibri"/>
                <w:sz w:val="19"/>
                <w:szCs w:val="19"/>
              </w:rPr>
            </w:pPr>
            <w:r>
              <w:rPr>
                <w:rFonts w:cs="Calibri"/>
                <w:sz w:val="19"/>
                <w:szCs w:val="19"/>
              </w:rPr>
              <w:t>Native</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BFB64A9" w14:textId="77777777" w:rsidR="00C12050" w:rsidRDefault="00C12050" w:rsidP="00B31C32">
            <w:pPr>
              <w:spacing w:before="0" w:after="0"/>
              <w:jc w:val="center"/>
              <w:rPr>
                <w:rFonts w:cs="Calibri"/>
                <w:sz w:val="19"/>
                <w:szCs w:val="19"/>
              </w:rPr>
            </w:pPr>
            <w:r>
              <w:rPr>
                <w:rFonts w:cs="Calibri"/>
                <w:sz w:val="19"/>
                <w:szCs w:val="19"/>
              </w:rPr>
              <w:t>Perennial grass</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65189ED" w14:textId="77777777" w:rsidR="00C12050" w:rsidRDefault="00C12050" w:rsidP="00B31C32">
            <w:pPr>
              <w:spacing w:before="0" w:after="0"/>
              <w:jc w:val="center"/>
              <w:rPr>
                <w:rFonts w:cs="Calibri"/>
                <w:sz w:val="19"/>
                <w:szCs w:val="19"/>
              </w:rPr>
            </w:pPr>
            <w:r>
              <w:rPr>
                <w:rFonts w:cs="Calibri"/>
                <w:sz w:val="19"/>
                <w:szCs w:val="19"/>
              </w:rPr>
              <w:t>Amphibious</w:t>
            </w:r>
          </w:p>
        </w:tc>
      </w:tr>
      <w:tr w:rsidR="00C12050" w14:paraId="529BA669"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7E84C4D" w14:textId="77777777" w:rsidR="00C12050" w:rsidRDefault="00C12050" w:rsidP="00B31C32">
            <w:pPr>
              <w:spacing w:before="0" w:after="0"/>
              <w:jc w:val="left"/>
              <w:rPr>
                <w:rFonts w:cs="Calibri"/>
                <w:i/>
                <w:iCs/>
                <w:sz w:val="19"/>
                <w:szCs w:val="19"/>
              </w:rPr>
            </w:pPr>
            <w:proofErr w:type="spellStart"/>
            <w:r>
              <w:rPr>
                <w:rFonts w:cs="Calibri"/>
                <w:i/>
                <w:iCs/>
                <w:sz w:val="19"/>
                <w:szCs w:val="19"/>
              </w:rPr>
              <w:t>Persicaria</w:t>
            </w:r>
            <w:proofErr w:type="spellEnd"/>
            <w:r>
              <w:rPr>
                <w:rFonts w:cs="Calibri"/>
                <w:i/>
                <w:iCs/>
                <w:sz w:val="19"/>
                <w:szCs w:val="19"/>
              </w:rPr>
              <w:t xml:space="preserve"> </w:t>
            </w:r>
            <w:proofErr w:type="spellStart"/>
            <w:r>
              <w:rPr>
                <w:rFonts w:cs="Calibri"/>
                <w:i/>
                <w:iCs/>
                <w:sz w:val="19"/>
                <w:szCs w:val="19"/>
              </w:rPr>
              <w:t>lapathifolia</w:t>
            </w:r>
            <w:proofErr w:type="spellEnd"/>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5C3F94C" w14:textId="77777777" w:rsidR="00C12050" w:rsidRDefault="00C12050" w:rsidP="00B31C32">
            <w:pPr>
              <w:spacing w:before="0" w:after="0"/>
              <w:jc w:val="center"/>
              <w:rPr>
                <w:rFonts w:cs="Calibri"/>
                <w:sz w:val="19"/>
                <w:szCs w:val="19"/>
              </w:rPr>
            </w:pPr>
            <w:proofErr w:type="spellStart"/>
            <w:r>
              <w:rPr>
                <w:rFonts w:cs="Calibri"/>
                <w:sz w:val="19"/>
                <w:szCs w:val="19"/>
              </w:rPr>
              <w:t>Polygonaceae</w:t>
            </w:r>
            <w:proofErr w:type="spellEnd"/>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A3F8B7C" w14:textId="77777777" w:rsidR="00C12050" w:rsidRDefault="00C12050" w:rsidP="00B31C32">
            <w:pPr>
              <w:spacing w:before="0" w:after="0"/>
              <w:jc w:val="center"/>
              <w:rPr>
                <w:rFonts w:cs="Calibri"/>
                <w:sz w:val="19"/>
                <w:szCs w:val="19"/>
              </w:rPr>
            </w:pPr>
            <w:r>
              <w:rPr>
                <w:rFonts w:cs="Calibri"/>
                <w:sz w:val="19"/>
                <w:szCs w:val="19"/>
              </w:rPr>
              <w:t>Native</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2D6FAB4" w14:textId="77777777" w:rsidR="00C12050" w:rsidRDefault="00C12050" w:rsidP="00B31C32">
            <w:pPr>
              <w:spacing w:before="0" w:after="0"/>
              <w:jc w:val="center"/>
              <w:rPr>
                <w:rFonts w:cs="Calibri"/>
                <w:sz w:val="19"/>
                <w:szCs w:val="19"/>
              </w:rPr>
            </w:pPr>
            <w:r>
              <w:rPr>
                <w:rFonts w:cs="Calibri"/>
                <w:sz w:val="19"/>
                <w:szCs w:val="19"/>
              </w:rPr>
              <w:t>Perennial herb</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C5C7907" w14:textId="77777777" w:rsidR="00C12050" w:rsidRDefault="00C12050" w:rsidP="00B31C32">
            <w:pPr>
              <w:spacing w:before="0" w:after="0"/>
              <w:jc w:val="center"/>
              <w:rPr>
                <w:rFonts w:cs="Calibri"/>
                <w:sz w:val="19"/>
                <w:szCs w:val="19"/>
              </w:rPr>
            </w:pPr>
            <w:r>
              <w:rPr>
                <w:rFonts w:cs="Calibri"/>
                <w:sz w:val="19"/>
                <w:szCs w:val="19"/>
              </w:rPr>
              <w:t>Amphibious</w:t>
            </w:r>
          </w:p>
        </w:tc>
      </w:tr>
      <w:tr w:rsidR="00C12050" w14:paraId="0DFF8AC5"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84BE2B4" w14:textId="77777777" w:rsidR="00C12050" w:rsidRDefault="00C12050" w:rsidP="00B31C32">
            <w:pPr>
              <w:spacing w:before="0" w:after="0"/>
              <w:jc w:val="left"/>
              <w:rPr>
                <w:rFonts w:cs="Calibri"/>
                <w:i/>
                <w:iCs/>
                <w:sz w:val="19"/>
                <w:szCs w:val="19"/>
              </w:rPr>
            </w:pPr>
            <w:r>
              <w:rPr>
                <w:rFonts w:cs="Calibri"/>
                <w:i/>
                <w:iCs/>
                <w:sz w:val="19"/>
                <w:szCs w:val="19"/>
              </w:rPr>
              <w:t>Phragmites australis</w:t>
            </w:r>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244D268" w14:textId="77777777" w:rsidR="00C12050" w:rsidRDefault="00C12050" w:rsidP="00B31C32">
            <w:pPr>
              <w:spacing w:before="0" w:after="0"/>
              <w:jc w:val="center"/>
              <w:rPr>
                <w:rFonts w:cs="Calibri"/>
                <w:sz w:val="19"/>
                <w:szCs w:val="19"/>
              </w:rPr>
            </w:pPr>
            <w:proofErr w:type="spellStart"/>
            <w:r>
              <w:rPr>
                <w:rFonts w:cs="Calibri"/>
                <w:sz w:val="19"/>
                <w:szCs w:val="19"/>
              </w:rPr>
              <w:t>Poaceae</w:t>
            </w:r>
            <w:proofErr w:type="spellEnd"/>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548B068" w14:textId="77777777" w:rsidR="00C12050" w:rsidRDefault="00C12050" w:rsidP="00B31C32">
            <w:pPr>
              <w:spacing w:before="0" w:after="0"/>
              <w:jc w:val="center"/>
              <w:rPr>
                <w:rFonts w:cs="Calibri"/>
                <w:sz w:val="19"/>
                <w:szCs w:val="19"/>
              </w:rPr>
            </w:pPr>
            <w:r>
              <w:rPr>
                <w:rFonts w:cs="Calibri"/>
                <w:sz w:val="19"/>
                <w:szCs w:val="19"/>
              </w:rPr>
              <w:t>Native</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0A44A57" w14:textId="77777777" w:rsidR="00C12050" w:rsidRDefault="00C12050" w:rsidP="00B31C32">
            <w:pPr>
              <w:spacing w:before="0" w:after="0"/>
              <w:jc w:val="center"/>
              <w:rPr>
                <w:rFonts w:cs="Calibri"/>
                <w:sz w:val="19"/>
                <w:szCs w:val="19"/>
              </w:rPr>
            </w:pPr>
            <w:r>
              <w:rPr>
                <w:rFonts w:cs="Calibri"/>
                <w:sz w:val="19"/>
                <w:szCs w:val="19"/>
              </w:rPr>
              <w:t>Perennial grass</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9C4CD29" w14:textId="77777777" w:rsidR="00C12050" w:rsidRDefault="00C12050" w:rsidP="00B31C32">
            <w:pPr>
              <w:spacing w:before="0" w:after="0"/>
              <w:jc w:val="center"/>
              <w:rPr>
                <w:rFonts w:cs="Calibri"/>
                <w:sz w:val="19"/>
                <w:szCs w:val="19"/>
              </w:rPr>
            </w:pPr>
            <w:r>
              <w:rPr>
                <w:rFonts w:cs="Calibri"/>
                <w:sz w:val="19"/>
                <w:szCs w:val="19"/>
              </w:rPr>
              <w:t>Emergent</w:t>
            </w:r>
          </w:p>
        </w:tc>
      </w:tr>
      <w:tr w:rsidR="00C12050" w14:paraId="06B763BF"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F7B5832" w14:textId="77777777" w:rsidR="00C12050" w:rsidRDefault="00C12050" w:rsidP="00B31C32">
            <w:pPr>
              <w:spacing w:before="0" w:after="0"/>
              <w:jc w:val="left"/>
              <w:rPr>
                <w:rFonts w:cs="Calibri"/>
                <w:i/>
                <w:iCs/>
                <w:sz w:val="19"/>
                <w:szCs w:val="19"/>
              </w:rPr>
            </w:pPr>
            <w:r>
              <w:rPr>
                <w:rFonts w:cs="Calibri"/>
                <w:i/>
                <w:iCs/>
                <w:sz w:val="19"/>
                <w:szCs w:val="19"/>
              </w:rPr>
              <w:t xml:space="preserve">Phyllanthus </w:t>
            </w:r>
            <w:proofErr w:type="spellStart"/>
            <w:r>
              <w:rPr>
                <w:rFonts w:cs="Calibri"/>
                <w:i/>
                <w:iCs/>
                <w:sz w:val="19"/>
                <w:szCs w:val="19"/>
              </w:rPr>
              <w:t>lacunarius</w:t>
            </w:r>
            <w:proofErr w:type="spellEnd"/>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9F34B95" w14:textId="77777777" w:rsidR="00C12050" w:rsidRDefault="00C12050" w:rsidP="00B31C32">
            <w:pPr>
              <w:spacing w:before="0" w:after="0"/>
              <w:jc w:val="center"/>
              <w:rPr>
                <w:rFonts w:cs="Calibri"/>
                <w:sz w:val="19"/>
                <w:szCs w:val="19"/>
              </w:rPr>
            </w:pPr>
            <w:proofErr w:type="spellStart"/>
            <w:r>
              <w:rPr>
                <w:rFonts w:cs="Calibri"/>
                <w:sz w:val="19"/>
                <w:szCs w:val="19"/>
              </w:rPr>
              <w:t>Euphorbiaceae</w:t>
            </w:r>
            <w:proofErr w:type="spellEnd"/>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5A76FAA" w14:textId="77777777" w:rsidR="00C12050" w:rsidRDefault="00C12050" w:rsidP="00B31C32">
            <w:pPr>
              <w:spacing w:before="0" w:after="0"/>
              <w:jc w:val="center"/>
              <w:rPr>
                <w:rFonts w:cs="Calibri"/>
                <w:sz w:val="19"/>
                <w:szCs w:val="19"/>
              </w:rPr>
            </w:pPr>
            <w:r>
              <w:rPr>
                <w:rFonts w:cs="Calibri"/>
                <w:sz w:val="19"/>
                <w:szCs w:val="19"/>
              </w:rPr>
              <w:t>Native</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373B31C" w14:textId="77777777" w:rsidR="00C12050" w:rsidRDefault="00C12050" w:rsidP="00B31C32">
            <w:pPr>
              <w:spacing w:before="0" w:after="0"/>
              <w:jc w:val="center"/>
              <w:rPr>
                <w:rFonts w:cs="Calibri"/>
                <w:sz w:val="19"/>
                <w:szCs w:val="19"/>
              </w:rPr>
            </w:pPr>
            <w:r>
              <w:rPr>
                <w:rFonts w:cs="Calibri"/>
                <w:sz w:val="19"/>
                <w:szCs w:val="19"/>
              </w:rPr>
              <w:t>Annual herb</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8AB17A7" w14:textId="77777777" w:rsidR="00C12050" w:rsidRDefault="00C12050" w:rsidP="00B31C32">
            <w:pPr>
              <w:spacing w:before="0" w:after="0"/>
              <w:jc w:val="center"/>
              <w:rPr>
                <w:rFonts w:cs="Calibri"/>
                <w:sz w:val="19"/>
                <w:szCs w:val="19"/>
              </w:rPr>
            </w:pPr>
            <w:r>
              <w:rPr>
                <w:rFonts w:cs="Calibri"/>
                <w:sz w:val="19"/>
                <w:szCs w:val="19"/>
              </w:rPr>
              <w:t>Flood dependent</w:t>
            </w:r>
          </w:p>
        </w:tc>
      </w:tr>
      <w:tr w:rsidR="00C12050" w14:paraId="65228AE2"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47A5673" w14:textId="77777777" w:rsidR="00C12050" w:rsidRDefault="00C12050" w:rsidP="00B31C32">
            <w:pPr>
              <w:spacing w:before="0" w:after="0"/>
              <w:jc w:val="left"/>
              <w:rPr>
                <w:rFonts w:cs="Calibri"/>
                <w:i/>
                <w:iCs/>
                <w:sz w:val="19"/>
                <w:szCs w:val="19"/>
              </w:rPr>
            </w:pPr>
            <w:r>
              <w:rPr>
                <w:rFonts w:cs="Calibri"/>
                <w:i/>
                <w:iCs/>
                <w:sz w:val="19"/>
                <w:szCs w:val="19"/>
              </w:rPr>
              <w:t>Picris angustifolia</w:t>
            </w:r>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4535F3B" w14:textId="77777777" w:rsidR="00C12050" w:rsidRDefault="00C12050" w:rsidP="00B31C32">
            <w:pPr>
              <w:spacing w:before="0" w:after="0"/>
              <w:jc w:val="center"/>
              <w:rPr>
                <w:rFonts w:cs="Calibri"/>
                <w:sz w:val="19"/>
                <w:szCs w:val="19"/>
              </w:rPr>
            </w:pPr>
            <w:r>
              <w:rPr>
                <w:rFonts w:cs="Calibri"/>
                <w:sz w:val="19"/>
                <w:szCs w:val="19"/>
              </w:rPr>
              <w:t>Asteraceae</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D793207" w14:textId="77777777" w:rsidR="00C12050" w:rsidRDefault="00C12050" w:rsidP="00B31C32">
            <w:pPr>
              <w:spacing w:before="0" w:after="0"/>
              <w:jc w:val="center"/>
              <w:rPr>
                <w:rFonts w:cs="Calibri"/>
                <w:sz w:val="19"/>
                <w:szCs w:val="19"/>
              </w:rPr>
            </w:pPr>
            <w:r>
              <w:rPr>
                <w:rFonts w:cs="Calibri"/>
                <w:sz w:val="19"/>
                <w:szCs w:val="19"/>
              </w:rPr>
              <w:t>Native</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D80F6FC" w14:textId="77777777" w:rsidR="00C12050" w:rsidRDefault="00C12050" w:rsidP="00B31C32">
            <w:pPr>
              <w:spacing w:before="0" w:after="0"/>
              <w:jc w:val="center"/>
              <w:rPr>
                <w:rFonts w:cs="Calibri"/>
                <w:sz w:val="19"/>
                <w:szCs w:val="19"/>
              </w:rPr>
            </w:pPr>
            <w:r>
              <w:rPr>
                <w:rFonts w:cs="Calibri"/>
                <w:sz w:val="19"/>
                <w:szCs w:val="19"/>
              </w:rPr>
              <w:t>Annual herb</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78FDD1D" w14:textId="77777777" w:rsidR="00C12050" w:rsidRDefault="00C12050" w:rsidP="00B31C32">
            <w:pPr>
              <w:spacing w:before="0" w:after="0"/>
              <w:jc w:val="center"/>
              <w:rPr>
                <w:rFonts w:cs="Calibri"/>
                <w:sz w:val="19"/>
                <w:szCs w:val="19"/>
              </w:rPr>
            </w:pPr>
            <w:r>
              <w:rPr>
                <w:rFonts w:cs="Calibri"/>
                <w:sz w:val="19"/>
                <w:szCs w:val="19"/>
              </w:rPr>
              <w:t>Terrestrial</w:t>
            </w:r>
          </w:p>
        </w:tc>
      </w:tr>
      <w:tr w:rsidR="00C12050" w14:paraId="46815A8E"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936E8EC" w14:textId="77777777" w:rsidR="00C12050" w:rsidRDefault="00C12050" w:rsidP="00B31C32">
            <w:pPr>
              <w:spacing w:before="0" w:after="0"/>
              <w:jc w:val="left"/>
              <w:rPr>
                <w:rFonts w:cs="Calibri"/>
                <w:i/>
                <w:iCs/>
                <w:sz w:val="19"/>
                <w:szCs w:val="19"/>
              </w:rPr>
            </w:pPr>
            <w:r>
              <w:rPr>
                <w:rFonts w:cs="Calibri"/>
                <w:i/>
                <w:iCs/>
                <w:sz w:val="19"/>
                <w:szCs w:val="19"/>
              </w:rPr>
              <w:t xml:space="preserve">Polygonum </w:t>
            </w:r>
            <w:proofErr w:type="spellStart"/>
            <w:r>
              <w:rPr>
                <w:rFonts w:cs="Calibri"/>
                <w:i/>
                <w:iCs/>
                <w:sz w:val="19"/>
                <w:szCs w:val="19"/>
              </w:rPr>
              <w:t>plebeium</w:t>
            </w:r>
            <w:proofErr w:type="spellEnd"/>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A92AA5B" w14:textId="77777777" w:rsidR="00C12050" w:rsidRDefault="00C12050" w:rsidP="00B31C32">
            <w:pPr>
              <w:spacing w:before="0" w:after="0"/>
              <w:jc w:val="center"/>
              <w:rPr>
                <w:rFonts w:cs="Calibri"/>
                <w:sz w:val="19"/>
                <w:szCs w:val="19"/>
              </w:rPr>
            </w:pPr>
            <w:proofErr w:type="spellStart"/>
            <w:r>
              <w:rPr>
                <w:rFonts w:cs="Calibri"/>
                <w:sz w:val="19"/>
                <w:szCs w:val="19"/>
              </w:rPr>
              <w:t>Polygonaceae</w:t>
            </w:r>
            <w:proofErr w:type="spellEnd"/>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79E5260" w14:textId="77777777" w:rsidR="00C12050" w:rsidRDefault="00C12050" w:rsidP="00B31C32">
            <w:pPr>
              <w:spacing w:before="0" w:after="0"/>
              <w:jc w:val="center"/>
              <w:rPr>
                <w:rFonts w:cs="Calibri"/>
                <w:sz w:val="19"/>
                <w:szCs w:val="19"/>
              </w:rPr>
            </w:pPr>
            <w:r>
              <w:rPr>
                <w:rFonts w:cs="Calibri"/>
                <w:sz w:val="19"/>
                <w:szCs w:val="19"/>
              </w:rPr>
              <w:t>Native</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FCB2D9B" w14:textId="77777777" w:rsidR="00C12050" w:rsidRDefault="00C12050" w:rsidP="00B31C32">
            <w:pPr>
              <w:spacing w:before="0" w:after="0"/>
              <w:jc w:val="center"/>
              <w:rPr>
                <w:rFonts w:cs="Calibri"/>
                <w:sz w:val="19"/>
                <w:szCs w:val="19"/>
              </w:rPr>
            </w:pPr>
            <w:r>
              <w:rPr>
                <w:rFonts w:cs="Calibri"/>
                <w:sz w:val="19"/>
                <w:szCs w:val="19"/>
              </w:rPr>
              <w:t>Annual herb</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0A14930" w14:textId="77777777" w:rsidR="00C12050" w:rsidRDefault="00C12050" w:rsidP="00B31C32">
            <w:pPr>
              <w:spacing w:before="0" w:after="0"/>
              <w:jc w:val="center"/>
              <w:rPr>
                <w:rFonts w:cs="Calibri"/>
                <w:sz w:val="19"/>
                <w:szCs w:val="19"/>
              </w:rPr>
            </w:pPr>
            <w:r>
              <w:rPr>
                <w:rFonts w:cs="Calibri"/>
                <w:sz w:val="19"/>
                <w:szCs w:val="19"/>
              </w:rPr>
              <w:t>Flood dependent</w:t>
            </w:r>
          </w:p>
        </w:tc>
      </w:tr>
      <w:tr w:rsidR="00C12050" w14:paraId="1CE5A82B"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B7BC231" w14:textId="77777777" w:rsidR="00C12050" w:rsidRDefault="00C12050" w:rsidP="00B31C32">
            <w:pPr>
              <w:spacing w:before="0" w:after="0"/>
              <w:jc w:val="left"/>
              <w:rPr>
                <w:rFonts w:cs="Calibri"/>
                <w:i/>
                <w:iCs/>
                <w:sz w:val="19"/>
                <w:szCs w:val="19"/>
              </w:rPr>
            </w:pPr>
            <w:proofErr w:type="spellStart"/>
            <w:r>
              <w:rPr>
                <w:rFonts w:cs="Calibri"/>
                <w:i/>
                <w:iCs/>
                <w:sz w:val="19"/>
                <w:szCs w:val="19"/>
              </w:rPr>
              <w:t>Pseudognaphalium</w:t>
            </w:r>
            <w:proofErr w:type="spellEnd"/>
            <w:r>
              <w:rPr>
                <w:rFonts w:cs="Calibri"/>
                <w:i/>
                <w:iCs/>
                <w:sz w:val="19"/>
                <w:szCs w:val="19"/>
              </w:rPr>
              <w:t xml:space="preserve"> </w:t>
            </w:r>
            <w:proofErr w:type="spellStart"/>
            <w:r>
              <w:rPr>
                <w:rFonts w:cs="Calibri"/>
                <w:i/>
                <w:iCs/>
                <w:sz w:val="19"/>
                <w:szCs w:val="19"/>
              </w:rPr>
              <w:t>luteoalbum</w:t>
            </w:r>
            <w:proofErr w:type="spellEnd"/>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5D5B77B" w14:textId="77777777" w:rsidR="00C12050" w:rsidRDefault="00C12050" w:rsidP="00B31C32">
            <w:pPr>
              <w:spacing w:before="0" w:after="0"/>
              <w:jc w:val="center"/>
              <w:rPr>
                <w:rFonts w:cs="Calibri"/>
                <w:sz w:val="19"/>
                <w:szCs w:val="19"/>
              </w:rPr>
            </w:pPr>
            <w:r>
              <w:rPr>
                <w:rFonts w:cs="Calibri"/>
                <w:sz w:val="19"/>
                <w:szCs w:val="19"/>
              </w:rPr>
              <w:t>Asteraceae</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2ECAFE3" w14:textId="77777777" w:rsidR="00C12050" w:rsidRDefault="00C12050" w:rsidP="00B31C32">
            <w:pPr>
              <w:spacing w:before="0" w:after="0"/>
              <w:jc w:val="center"/>
              <w:rPr>
                <w:rFonts w:cs="Calibri"/>
                <w:sz w:val="19"/>
                <w:szCs w:val="19"/>
              </w:rPr>
            </w:pPr>
            <w:r>
              <w:rPr>
                <w:rFonts w:cs="Calibri"/>
                <w:sz w:val="19"/>
                <w:szCs w:val="19"/>
              </w:rPr>
              <w:t>Native</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D249F3B" w14:textId="77777777" w:rsidR="00C12050" w:rsidRDefault="00C12050" w:rsidP="00B31C32">
            <w:pPr>
              <w:spacing w:before="0" w:after="0"/>
              <w:jc w:val="center"/>
              <w:rPr>
                <w:rFonts w:cs="Calibri"/>
                <w:sz w:val="19"/>
                <w:szCs w:val="19"/>
              </w:rPr>
            </w:pPr>
            <w:r>
              <w:rPr>
                <w:rFonts w:cs="Calibri"/>
                <w:sz w:val="19"/>
                <w:szCs w:val="19"/>
              </w:rPr>
              <w:t>Annual herb</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0FD9FBC" w14:textId="77777777" w:rsidR="00C12050" w:rsidRDefault="00C12050" w:rsidP="00B31C32">
            <w:pPr>
              <w:spacing w:before="0" w:after="0"/>
              <w:jc w:val="center"/>
              <w:rPr>
                <w:rFonts w:cs="Calibri"/>
                <w:sz w:val="19"/>
                <w:szCs w:val="19"/>
              </w:rPr>
            </w:pPr>
            <w:r>
              <w:rPr>
                <w:rFonts w:cs="Calibri"/>
                <w:sz w:val="19"/>
                <w:szCs w:val="19"/>
              </w:rPr>
              <w:t>Flood dependent</w:t>
            </w:r>
          </w:p>
        </w:tc>
      </w:tr>
      <w:tr w:rsidR="00C12050" w14:paraId="4B82C6E6"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1714E4B" w14:textId="77777777" w:rsidR="00C12050" w:rsidRDefault="00C12050" w:rsidP="00B31C32">
            <w:pPr>
              <w:spacing w:before="0" w:after="0"/>
              <w:jc w:val="left"/>
              <w:rPr>
                <w:rFonts w:cs="Calibri"/>
                <w:i/>
                <w:iCs/>
                <w:sz w:val="19"/>
                <w:szCs w:val="19"/>
              </w:rPr>
            </w:pPr>
            <w:proofErr w:type="spellStart"/>
            <w:r>
              <w:rPr>
                <w:rFonts w:cs="Calibri"/>
                <w:i/>
                <w:iCs/>
                <w:sz w:val="19"/>
                <w:szCs w:val="19"/>
              </w:rPr>
              <w:t>Rhodanthe</w:t>
            </w:r>
            <w:proofErr w:type="spellEnd"/>
            <w:r>
              <w:rPr>
                <w:rFonts w:cs="Calibri"/>
                <w:i/>
                <w:iCs/>
                <w:sz w:val="19"/>
                <w:szCs w:val="19"/>
              </w:rPr>
              <w:t xml:space="preserve"> </w:t>
            </w:r>
            <w:proofErr w:type="spellStart"/>
            <w:r>
              <w:rPr>
                <w:rFonts w:cs="Calibri"/>
                <w:i/>
                <w:iCs/>
                <w:sz w:val="19"/>
                <w:szCs w:val="19"/>
              </w:rPr>
              <w:t>pygmaea</w:t>
            </w:r>
            <w:proofErr w:type="spellEnd"/>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2D55BF6" w14:textId="77777777" w:rsidR="00C12050" w:rsidRDefault="00C12050" w:rsidP="00B31C32">
            <w:pPr>
              <w:spacing w:before="0" w:after="0"/>
              <w:jc w:val="center"/>
              <w:rPr>
                <w:rFonts w:cs="Calibri"/>
                <w:sz w:val="19"/>
                <w:szCs w:val="19"/>
              </w:rPr>
            </w:pPr>
            <w:r>
              <w:rPr>
                <w:rFonts w:cs="Calibri"/>
                <w:sz w:val="19"/>
                <w:szCs w:val="19"/>
              </w:rPr>
              <w:t>Asteraceae</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E35E437" w14:textId="77777777" w:rsidR="00C12050" w:rsidRDefault="00C12050" w:rsidP="00B31C32">
            <w:pPr>
              <w:spacing w:before="0" w:after="0"/>
              <w:jc w:val="center"/>
              <w:rPr>
                <w:rFonts w:cs="Calibri"/>
                <w:sz w:val="19"/>
                <w:szCs w:val="19"/>
              </w:rPr>
            </w:pPr>
            <w:r>
              <w:rPr>
                <w:rFonts w:cs="Calibri"/>
                <w:sz w:val="19"/>
                <w:szCs w:val="19"/>
              </w:rPr>
              <w:t>Native</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480ED17" w14:textId="77777777" w:rsidR="00C12050" w:rsidRDefault="00C12050" w:rsidP="00B31C32">
            <w:pPr>
              <w:spacing w:before="0" w:after="0"/>
              <w:jc w:val="center"/>
              <w:rPr>
                <w:rFonts w:cs="Calibri"/>
                <w:sz w:val="19"/>
                <w:szCs w:val="19"/>
              </w:rPr>
            </w:pPr>
            <w:r>
              <w:rPr>
                <w:rFonts w:cs="Calibri"/>
                <w:sz w:val="19"/>
                <w:szCs w:val="19"/>
              </w:rPr>
              <w:t>Annual herb</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11486C3" w14:textId="77777777" w:rsidR="00C12050" w:rsidRDefault="00C12050" w:rsidP="00B31C32">
            <w:pPr>
              <w:spacing w:before="0" w:after="0"/>
              <w:jc w:val="center"/>
              <w:rPr>
                <w:rFonts w:cs="Calibri"/>
                <w:sz w:val="19"/>
                <w:szCs w:val="19"/>
              </w:rPr>
            </w:pPr>
            <w:r>
              <w:rPr>
                <w:rFonts w:cs="Calibri"/>
                <w:sz w:val="19"/>
                <w:szCs w:val="19"/>
              </w:rPr>
              <w:t>Flood dependent</w:t>
            </w:r>
          </w:p>
        </w:tc>
      </w:tr>
      <w:tr w:rsidR="00C12050" w14:paraId="724B45CC"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3153A25" w14:textId="77777777" w:rsidR="00C12050" w:rsidRDefault="00C12050" w:rsidP="00B31C32">
            <w:pPr>
              <w:spacing w:before="0" w:after="0"/>
              <w:jc w:val="left"/>
              <w:rPr>
                <w:rFonts w:cs="Calibri"/>
                <w:i/>
                <w:iCs/>
                <w:sz w:val="19"/>
                <w:szCs w:val="19"/>
              </w:rPr>
            </w:pPr>
            <w:proofErr w:type="spellStart"/>
            <w:r>
              <w:rPr>
                <w:rFonts w:cs="Calibri"/>
                <w:i/>
                <w:iCs/>
                <w:sz w:val="19"/>
                <w:szCs w:val="19"/>
              </w:rPr>
              <w:t>Rorippa</w:t>
            </w:r>
            <w:proofErr w:type="spellEnd"/>
            <w:r>
              <w:rPr>
                <w:rFonts w:cs="Calibri"/>
                <w:i/>
                <w:iCs/>
                <w:sz w:val="19"/>
                <w:szCs w:val="19"/>
              </w:rPr>
              <w:t xml:space="preserve"> palustris*</w:t>
            </w:r>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064A06B" w14:textId="77777777" w:rsidR="00C12050" w:rsidRDefault="00C12050" w:rsidP="00B31C32">
            <w:pPr>
              <w:spacing w:before="0" w:after="0"/>
              <w:jc w:val="center"/>
              <w:rPr>
                <w:rFonts w:cs="Calibri"/>
                <w:sz w:val="19"/>
                <w:szCs w:val="19"/>
              </w:rPr>
            </w:pPr>
            <w:proofErr w:type="spellStart"/>
            <w:r>
              <w:rPr>
                <w:rFonts w:cs="Calibri"/>
                <w:sz w:val="19"/>
                <w:szCs w:val="19"/>
              </w:rPr>
              <w:t>Brassicaeae</w:t>
            </w:r>
            <w:proofErr w:type="spellEnd"/>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F6AEFD3" w14:textId="77777777" w:rsidR="00C12050" w:rsidRDefault="00C12050" w:rsidP="00B31C32">
            <w:pPr>
              <w:spacing w:before="0" w:after="0"/>
              <w:jc w:val="center"/>
              <w:rPr>
                <w:rFonts w:cs="Calibri"/>
                <w:sz w:val="19"/>
                <w:szCs w:val="19"/>
              </w:rPr>
            </w:pPr>
            <w:r>
              <w:rPr>
                <w:rFonts w:cs="Calibri"/>
                <w:sz w:val="19"/>
                <w:szCs w:val="19"/>
              </w:rPr>
              <w:t>Exotic, Naturalised</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47F7261" w14:textId="77777777" w:rsidR="00C12050" w:rsidRDefault="00C12050" w:rsidP="00B31C32">
            <w:pPr>
              <w:spacing w:before="0" w:after="0"/>
              <w:jc w:val="center"/>
              <w:rPr>
                <w:rFonts w:cs="Calibri"/>
                <w:sz w:val="19"/>
                <w:szCs w:val="19"/>
              </w:rPr>
            </w:pPr>
            <w:r>
              <w:rPr>
                <w:rFonts w:cs="Calibri"/>
                <w:sz w:val="19"/>
                <w:szCs w:val="19"/>
              </w:rPr>
              <w:t>Annual herb</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853CF79" w14:textId="77777777" w:rsidR="00C12050" w:rsidRDefault="00C12050" w:rsidP="00B31C32">
            <w:pPr>
              <w:spacing w:before="0" w:after="0"/>
              <w:jc w:val="center"/>
              <w:rPr>
                <w:rFonts w:cs="Calibri"/>
                <w:sz w:val="19"/>
                <w:szCs w:val="19"/>
              </w:rPr>
            </w:pPr>
            <w:r>
              <w:rPr>
                <w:rFonts w:cs="Calibri"/>
                <w:sz w:val="19"/>
                <w:szCs w:val="19"/>
              </w:rPr>
              <w:t>Flood dependent</w:t>
            </w:r>
          </w:p>
        </w:tc>
      </w:tr>
      <w:tr w:rsidR="00C12050" w14:paraId="6BAFA11A"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CC19214" w14:textId="77777777" w:rsidR="00C12050" w:rsidRDefault="00C12050" w:rsidP="00B31C32">
            <w:pPr>
              <w:spacing w:before="0" w:after="0"/>
              <w:jc w:val="left"/>
              <w:rPr>
                <w:rFonts w:cs="Calibri"/>
                <w:i/>
                <w:iCs/>
                <w:sz w:val="19"/>
                <w:szCs w:val="19"/>
              </w:rPr>
            </w:pPr>
            <w:proofErr w:type="spellStart"/>
            <w:r>
              <w:rPr>
                <w:rFonts w:cs="Calibri"/>
                <w:i/>
                <w:iCs/>
                <w:sz w:val="19"/>
                <w:szCs w:val="19"/>
              </w:rPr>
              <w:t>Schoenoplectus</w:t>
            </w:r>
            <w:proofErr w:type="spellEnd"/>
            <w:r>
              <w:rPr>
                <w:rFonts w:cs="Calibri"/>
                <w:i/>
                <w:iCs/>
                <w:sz w:val="19"/>
                <w:szCs w:val="19"/>
              </w:rPr>
              <w:t xml:space="preserve"> </w:t>
            </w:r>
            <w:proofErr w:type="spellStart"/>
            <w:r>
              <w:rPr>
                <w:rFonts w:cs="Calibri"/>
                <w:i/>
                <w:iCs/>
                <w:sz w:val="19"/>
                <w:szCs w:val="19"/>
              </w:rPr>
              <w:t>pungens</w:t>
            </w:r>
            <w:proofErr w:type="spellEnd"/>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90DE38E" w14:textId="77777777" w:rsidR="00C12050" w:rsidRDefault="00C12050" w:rsidP="00B31C32">
            <w:pPr>
              <w:spacing w:before="0" w:after="0"/>
              <w:jc w:val="center"/>
              <w:rPr>
                <w:rFonts w:cs="Calibri"/>
                <w:sz w:val="19"/>
                <w:szCs w:val="19"/>
              </w:rPr>
            </w:pPr>
            <w:proofErr w:type="spellStart"/>
            <w:r>
              <w:rPr>
                <w:rFonts w:cs="Calibri"/>
                <w:sz w:val="19"/>
                <w:szCs w:val="19"/>
              </w:rPr>
              <w:t>Cyperaceae</w:t>
            </w:r>
            <w:proofErr w:type="spellEnd"/>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4DF93B4" w14:textId="77777777" w:rsidR="00C12050" w:rsidRDefault="00C12050" w:rsidP="00B31C32">
            <w:pPr>
              <w:spacing w:before="0" w:after="0"/>
              <w:jc w:val="center"/>
              <w:rPr>
                <w:rFonts w:cs="Calibri"/>
                <w:sz w:val="19"/>
                <w:szCs w:val="19"/>
              </w:rPr>
            </w:pPr>
            <w:r>
              <w:rPr>
                <w:rFonts w:cs="Calibri"/>
                <w:sz w:val="19"/>
                <w:szCs w:val="19"/>
              </w:rPr>
              <w:t>Native</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032476A" w14:textId="77777777" w:rsidR="00C12050" w:rsidRDefault="00C12050" w:rsidP="00B31C32">
            <w:pPr>
              <w:spacing w:before="0" w:after="0"/>
              <w:jc w:val="center"/>
              <w:rPr>
                <w:rFonts w:cs="Calibri"/>
                <w:sz w:val="19"/>
                <w:szCs w:val="19"/>
              </w:rPr>
            </w:pPr>
            <w:r>
              <w:rPr>
                <w:rFonts w:cs="Calibri"/>
                <w:sz w:val="19"/>
                <w:szCs w:val="19"/>
              </w:rPr>
              <w:t>Perennial sedge</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3EAA458" w14:textId="77777777" w:rsidR="00C12050" w:rsidRDefault="00C12050" w:rsidP="00B31C32">
            <w:pPr>
              <w:spacing w:before="0" w:after="0"/>
              <w:jc w:val="center"/>
              <w:rPr>
                <w:rFonts w:cs="Calibri"/>
                <w:sz w:val="19"/>
                <w:szCs w:val="19"/>
              </w:rPr>
            </w:pPr>
            <w:r>
              <w:rPr>
                <w:rFonts w:cs="Calibri"/>
                <w:sz w:val="19"/>
                <w:szCs w:val="19"/>
              </w:rPr>
              <w:t>Amphibious</w:t>
            </w:r>
          </w:p>
        </w:tc>
      </w:tr>
      <w:tr w:rsidR="00C12050" w14:paraId="059236DE"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BC45A2E" w14:textId="77777777" w:rsidR="00C12050" w:rsidRDefault="00C12050" w:rsidP="00B31C32">
            <w:pPr>
              <w:spacing w:before="0" w:after="0"/>
              <w:jc w:val="left"/>
              <w:rPr>
                <w:rFonts w:cs="Calibri"/>
                <w:i/>
                <w:iCs/>
                <w:sz w:val="19"/>
                <w:szCs w:val="19"/>
              </w:rPr>
            </w:pPr>
            <w:proofErr w:type="spellStart"/>
            <w:r>
              <w:rPr>
                <w:rFonts w:cs="Calibri"/>
                <w:i/>
                <w:iCs/>
                <w:sz w:val="19"/>
                <w:szCs w:val="19"/>
              </w:rPr>
              <w:t>Schoenoplectus</w:t>
            </w:r>
            <w:proofErr w:type="spellEnd"/>
            <w:r>
              <w:rPr>
                <w:rFonts w:cs="Calibri"/>
                <w:i/>
                <w:iCs/>
                <w:sz w:val="19"/>
                <w:szCs w:val="19"/>
              </w:rPr>
              <w:t xml:space="preserve"> </w:t>
            </w:r>
            <w:proofErr w:type="spellStart"/>
            <w:r>
              <w:rPr>
                <w:rFonts w:cs="Calibri"/>
                <w:i/>
                <w:iCs/>
                <w:sz w:val="19"/>
                <w:szCs w:val="19"/>
              </w:rPr>
              <w:t>tabernaemontani</w:t>
            </w:r>
            <w:proofErr w:type="spellEnd"/>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6C47ABD" w14:textId="77777777" w:rsidR="00C12050" w:rsidRDefault="00C12050" w:rsidP="00B31C32">
            <w:pPr>
              <w:spacing w:before="0" w:after="0"/>
              <w:jc w:val="center"/>
              <w:rPr>
                <w:rFonts w:cs="Calibri"/>
                <w:sz w:val="19"/>
                <w:szCs w:val="19"/>
              </w:rPr>
            </w:pPr>
            <w:proofErr w:type="spellStart"/>
            <w:r>
              <w:rPr>
                <w:rFonts w:cs="Calibri"/>
                <w:sz w:val="19"/>
                <w:szCs w:val="19"/>
              </w:rPr>
              <w:t>Cyperaceae</w:t>
            </w:r>
            <w:proofErr w:type="spellEnd"/>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AA5914E" w14:textId="77777777" w:rsidR="00C12050" w:rsidRDefault="00C12050" w:rsidP="00B31C32">
            <w:pPr>
              <w:spacing w:before="0" w:after="0"/>
              <w:jc w:val="center"/>
              <w:rPr>
                <w:rFonts w:cs="Calibri"/>
                <w:sz w:val="19"/>
                <w:szCs w:val="19"/>
              </w:rPr>
            </w:pPr>
            <w:r>
              <w:rPr>
                <w:rFonts w:cs="Calibri"/>
                <w:sz w:val="19"/>
                <w:szCs w:val="19"/>
              </w:rPr>
              <w:t>Native</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CC445B6" w14:textId="77777777" w:rsidR="00C12050" w:rsidRDefault="00C12050" w:rsidP="00B31C32">
            <w:pPr>
              <w:spacing w:before="0" w:after="0"/>
              <w:jc w:val="center"/>
              <w:rPr>
                <w:rFonts w:cs="Calibri"/>
                <w:sz w:val="19"/>
                <w:szCs w:val="19"/>
              </w:rPr>
            </w:pPr>
            <w:r>
              <w:rPr>
                <w:rFonts w:cs="Calibri"/>
                <w:sz w:val="19"/>
                <w:szCs w:val="19"/>
              </w:rPr>
              <w:t>Perennial sedge</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0B33201" w14:textId="77777777" w:rsidR="00C12050" w:rsidRDefault="00C12050" w:rsidP="00B31C32">
            <w:pPr>
              <w:spacing w:before="0" w:after="0"/>
              <w:jc w:val="center"/>
              <w:rPr>
                <w:rFonts w:cs="Calibri"/>
                <w:sz w:val="19"/>
                <w:szCs w:val="19"/>
              </w:rPr>
            </w:pPr>
            <w:r>
              <w:rPr>
                <w:rFonts w:cs="Calibri"/>
                <w:sz w:val="19"/>
                <w:szCs w:val="19"/>
              </w:rPr>
              <w:t>Emergent</w:t>
            </w:r>
          </w:p>
        </w:tc>
      </w:tr>
      <w:tr w:rsidR="00C12050" w14:paraId="0560AB52"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54FA8B5" w14:textId="77777777" w:rsidR="00C12050" w:rsidRDefault="00C12050" w:rsidP="00B31C32">
            <w:pPr>
              <w:spacing w:before="0" w:after="0"/>
              <w:jc w:val="left"/>
              <w:rPr>
                <w:rFonts w:cs="Calibri"/>
                <w:i/>
                <w:iCs/>
                <w:sz w:val="19"/>
                <w:szCs w:val="19"/>
              </w:rPr>
            </w:pPr>
            <w:proofErr w:type="spellStart"/>
            <w:r>
              <w:rPr>
                <w:rFonts w:cs="Calibri"/>
                <w:i/>
                <w:iCs/>
                <w:sz w:val="19"/>
                <w:szCs w:val="19"/>
              </w:rPr>
              <w:t>Sclerolaena</w:t>
            </w:r>
            <w:proofErr w:type="spellEnd"/>
            <w:r>
              <w:rPr>
                <w:rFonts w:cs="Calibri"/>
                <w:i/>
                <w:iCs/>
                <w:sz w:val="19"/>
                <w:szCs w:val="19"/>
              </w:rPr>
              <w:t xml:space="preserve"> </w:t>
            </w:r>
            <w:proofErr w:type="spellStart"/>
            <w:r>
              <w:rPr>
                <w:rFonts w:cs="Calibri"/>
                <w:i/>
                <w:iCs/>
                <w:sz w:val="19"/>
                <w:szCs w:val="19"/>
              </w:rPr>
              <w:t>divaricata</w:t>
            </w:r>
            <w:proofErr w:type="spellEnd"/>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C07FB39" w14:textId="77777777" w:rsidR="00C12050" w:rsidRDefault="00C12050" w:rsidP="00B31C32">
            <w:pPr>
              <w:spacing w:before="0" w:after="0"/>
              <w:jc w:val="center"/>
              <w:rPr>
                <w:rFonts w:cs="Calibri"/>
                <w:sz w:val="19"/>
                <w:szCs w:val="19"/>
              </w:rPr>
            </w:pPr>
            <w:r>
              <w:rPr>
                <w:rFonts w:cs="Calibri"/>
                <w:sz w:val="19"/>
                <w:szCs w:val="19"/>
              </w:rPr>
              <w:t>Chenopodiaceae</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93DA0E3" w14:textId="77777777" w:rsidR="00C12050" w:rsidRDefault="00C12050" w:rsidP="00B31C32">
            <w:pPr>
              <w:spacing w:before="0" w:after="0"/>
              <w:jc w:val="center"/>
              <w:rPr>
                <w:rFonts w:cs="Calibri"/>
                <w:sz w:val="19"/>
                <w:szCs w:val="19"/>
              </w:rPr>
            </w:pPr>
            <w:r>
              <w:rPr>
                <w:rFonts w:cs="Calibri"/>
                <w:sz w:val="19"/>
                <w:szCs w:val="19"/>
              </w:rPr>
              <w:t>Native</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C51DC97" w14:textId="77777777" w:rsidR="00C12050" w:rsidRDefault="00C12050" w:rsidP="00B31C32">
            <w:pPr>
              <w:spacing w:before="0" w:after="0"/>
              <w:jc w:val="center"/>
              <w:rPr>
                <w:rFonts w:cs="Calibri"/>
                <w:sz w:val="19"/>
                <w:szCs w:val="19"/>
              </w:rPr>
            </w:pPr>
            <w:r>
              <w:rPr>
                <w:rFonts w:cs="Calibri"/>
                <w:sz w:val="19"/>
                <w:szCs w:val="19"/>
              </w:rPr>
              <w:t>Perennial sub-shrub</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B884235" w14:textId="77777777" w:rsidR="00C12050" w:rsidRDefault="00C12050" w:rsidP="00B31C32">
            <w:pPr>
              <w:spacing w:before="0" w:after="0"/>
              <w:jc w:val="center"/>
              <w:rPr>
                <w:rFonts w:cs="Calibri"/>
                <w:sz w:val="19"/>
                <w:szCs w:val="19"/>
              </w:rPr>
            </w:pPr>
            <w:r>
              <w:rPr>
                <w:rFonts w:cs="Calibri"/>
                <w:sz w:val="19"/>
                <w:szCs w:val="19"/>
              </w:rPr>
              <w:t>Terrestrial</w:t>
            </w:r>
          </w:p>
        </w:tc>
      </w:tr>
      <w:tr w:rsidR="00C12050" w14:paraId="73FF929A"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89927E0" w14:textId="77777777" w:rsidR="00C12050" w:rsidRDefault="00C12050" w:rsidP="00B31C32">
            <w:pPr>
              <w:spacing w:before="0" w:after="0"/>
              <w:jc w:val="left"/>
              <w:rPr>
                <w:rFonts w:cs="Calibri"/>
                <w:i/>
                <w:iCs/>
                <w:sz w:val="19"/>
                <w:szCs w:val="19"/>
              </w:rPr>
            </w:pPr>
            <w:r>
              <w:rPr>
                <w:rFonts w:cs="Calibri"/>
                <w:i/>
                <w:iCs/>
                <w:sz w:val="19"/>
                <w:szCs w:val="19"/>
              </w:rPr>
              <w:t xml:space="preserve">Senecio </w:t>
            </w:r>
            <w:proofErr w:type="spellStart"/>
            <w:r>
              <w:rPr>
                <w:rFonts w:cs="Calibri"/>
                <w:i/>
                <w:iCs/>
                <w:sz w:val="19"/>
                <w:szCs w:val="19"/>
              </w:rPr>
              <w:t>cunninghamii</w:t>
            </w:r>
            <w:proofErr w:type="spellEnd"/>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69BBA54" w14:textId="77777777" w:rsidR="00C12050" w:rsidRDefault="00C12050" w:rsidP="00B31C32">
            <w:pPr>
              <w:spacing w:before="0" w:after="0"/>
              <w:jc w:val="center"/>
              <w:rPr>
                <w:rFonts w:cs="Calibri"/>
                <w:sz w:val="19"/>
                <w:szCs w:val="19"/>
              </w:rPr>
            </w:pPr>
            <w:r>
              <w:rPr>
                <w:rFonts w:cs="Calibri"/>
                <w:sz w:val="19"/>
                <w:szCs w:val="19"/>
              </w:rPr>
              <w:t>Asteraceae</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F480F52" w14:textId="77777777" w:rsidR="00C12050" w:rsidRDefault="00C12050" w:rsidP="00B31C32">
            <w:pPr>
              <w:spacing w:before="0" w:after="0"/>
              <w:jc w:val="center"/>
              <w:rPr>
                <w:rFonts w:cs="Calibri"/>
                <w:sz w:val="19"/>
                <w:szCs w:val="19"/>
              </w:rPr>
            </w:pPr>
            <w:r>
              <w:rPr>
                <w:rFonts w:cs="Calibri"/>
                <w:sz w:val="19"/>
                <w:szCs w:val="19"/>
              </w:rPr>
              <w:t>Native</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A80785B" w14:textId="77777777" w:rsidR="00C12050" w:rsidRDefault="00C12050" w:rsidP="00B31C32">
            <w:pPr>
              <w:spacing w:before="0" w:after="0"/>
              <w:jc w:val="center"/>
              <w:rPr>
                <w:rFonts w:cs="Calibri"/>
                <w:sz w:val="19"/>
                <w:szCs w:val="19"/>
              </w:rPr>
            </w:pPr>
            <w:r>
              <w:rPr>
                <w:rFonts w:cs="Calibri"/>
                <w:sz w:val="19"/>
                <w:szCs w:val="19"/>
              </w:rPr>
              <w:t>Perennial shrub</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D962469" w14:textId="77777777" w:rsidR="00C12050" w:rsidRDefault="00C12050" w:rsidP="00B31C32">
            <w:pPr>
              <w:spacing w:before="0" w:after="0"/>
              <w:jc w:val="center"/>
              <w:rPr>
                <w:rFonts w:cs="Calibri"/>
                <w:sz w:val="19"/>
                <w:szCs w:val="19"/>
              </w:rPr>
            </w:pPr>
            <w:r>
              <w:rPr>
                <w:rFonts w:cs="Calibri"/>
                <w:sz w:val="19"/>
                <w:szCs w:val="19"/>
              </w:rPr>
              <w:t>Flood dependent</w:t>
            </w:r>
          </w:p>
        </w:tc>
      </w:tr>
      <w:tr w:rsidR="00C12050" w14:paraId="693D58B2"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EA82292" w14:textId="77777777" w:rsidR="00C12050" w:rsidRDefault="00C12050" w:rsidP="00B31C32">
            <w:pPr>
              <w:spacing w:before="0" w:after="0"/>
              <w:jc w:val="left"/>
              <w:rPr>
                <w:rFonts w:cs="Calibri"/>
                <w:i/>
                <w:iCs/>
                <w:sz w:val="19"/>
                <w:szCs w:val="19"/>
              </w:rPr>
            </w:pPr>
            <w:r>
              <w:rPr>
                <w:rFonts w:cs="Calibri"/>
                <w:i/>
                <w:iCs/>
                <w:sz w:val="19"/>
                <w:szCs w:val="19"/>
              </w:rPr>
              <w:t xml:space="preserve">Senecio </w:t>
            </w:r>
            <w:proofErr w:type="spellStart"/>
            <w:r>
              <w:rPr>
                <w:rFonts w:cs="Calibri"/>
                <w:i/>
                <w:iCs/>
                <w:sz w:val="19"/>
                <w:szCs w:val="19"/>
              </w:rPr>
              <w:t>runcinifolius</w:t>
            </w:r>
            <w:proofErr w:type="spellEnd"/>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3430200" w14:textId="77777777" w:rsidR="00C12050" w:rsidRDefault="00C12050" w:rsidP="00B31C32">
            <w:pPr>
              <w:spacing w:before="0" w:after="0"/>
              <w:jc w:val="center"/>
              <w:rPr>
                <w:rFonts w:cs="Calibri"/>
                <w:sz w:val="19"/>
                <w:szCs w:val="19"/>
              </w:rPr>
            </w:pPr>
            <w:r>
              <w:rPr>
                <w:rFonts w:cs="Calibri"/>
                <w:sz w:val="19"/>
                <w:szCs w:val="19"/>
              </w:rPr>
              <w:t>Asteraceae</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CB06E00" w14:textId="77777777" w:rsidR="00C12050" w:rsidRDefault="00C12050" w:rsidP="00B31C32">
            <w:pPr>
              <w:spacing w:before="0" w:after="0"/>
              <w:jc w:val="center"/>
              <w:rPr>
                <w:rFonts w:cs="Calibri"/>
                <w:sz w:val="19"/>
                <w:szCs w:val="19"/>
              </w:rPr>
            </w:pPr>
            <w:r>
              <w:rPr>
                <w:rFonts w:cs="Calibri"/>
                <w:sz w:val="19"/>
                <w:szCs w:val="19"/>
              </w:rPr>
              <w:t>Native</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778D217" w14:textId="77777777" w:rsidR="00C12050" w:rsidRDefault="00C12050" w:rsidP="00B31C32">
            <w:pPr>
              <w:spacing w:before="0" w:after="0"/>
              <w:jc w:val="center"/>
              <w:rPr>
                <w:rFonts w:cs="Calibri"/>
                <w:sz w:val="19"/>
                <w:szCs w:val="19"/>
              </w:rPr>
            </w:pPr>
            <w:r>
              <w:rPr>
                <w:rFonts w:cs="Calibri"/>
                <w:sz w:val="19"/>
                <w:szCs w:val="19"/>
              </w:rPr>
              <w:t>Perennial herb</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1208FE6" w14:textId="77777777" w:rsidR="00C12050" w:rsidRDefault="00C12050" w:rsidP="00B31C32">
            <w:pPr>
              <w:spacing w:before="0" w:after="0"/>
              <w:jc w:val="center"/>
              <w:rPr>
                <w:rFonts w:cs="Calibri"/>
                <w:sz w:val="19"/>
                <w:szCs w:val="19"/>
              </w:rPr>
            </w:pPr>
            <w:r>
              <w:rPr>
                <w:rFonts w:cs="Calibri"/>
                <w:sz w:val="19"/>
                <w:szCs w:val="19"/>
              </w:rPr>
              <w:t>Flood dependent</w:t>
            </w:r>
          </w:p>
        </w:tc>
      </w:tr>
      <w:tr w:rsidR="00C12050" w14:paraId="78179A01"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180A550" w14:textId="77777777" w:rsidR="00C12050" w:rsidRDefault="00C12050" w:rsidP="00B31C32">
            <w:pPr>
              <w:spacing w:before="0" w:after="0"/>
              <w:jc w:val="left"/>
              <w:rPr>
                <w:rFonts w:cs="Calibri"/>
                <w:i/>
                <w:iCs/>
                <w:sz w:val="19"/>
                <w:szCs w:val="19"/>
              </w:rPr>
            </w:pPr>
            <w:r>
              <w:rPr>
                <w:rFonts w:cs="Calibri"/>
                <w:i/>
                <w:iCs/>
                <w:sz w:val="19"/>
                <w:szCs w:val="19"/>
              </w:rPr>
              <w:t xml:space="preserve">Silene </w:t>
            </w:r>
            <w:proofErr w:type="spellStart"/>
            <w:r>
              <w:rPr>
                <w:rFonts w:cs="Calibri"/>
                <w:i/>
                <w:iCs/>
                <w:sz w:val="19"/>
                <w:szCs w:val="19"/>
              </w:rPr>
              <w:t>nocturna</w:t>
            </w:r>
            <w:proofErr w:type="spellEnd"/>
            <w:r>
              <w:rPr>
                <w:rFonts w:cs="Calibri"/>
                <w:i/>
                <w:iCs/>
                <w:sz w:val="19"/>
                <w:szCs w:val="19"/>
              </w:rPr>
              <w:t>*</w:t>
            </w:r>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F52E98B" w14:textId="77777777" w:rsidR="00C12050" w:rsidRDefault="00C12050" w:rsidP="00B31C32">
            <w:pPr>
              <w:spacing w:before="0" w:after="0"/>
              <w:jc w:val="center"/>
              <w:rPr>
                <w:rFonts w:cs="Calibri"/>
                <w:sz w:val="19"/>
                <w:szCs w:val="19"/>
              </w:rPr>
            </w:pPr>
            <w:r>
              <w:rPr>
                <w:rFonts w:cs="Calibri"/>
                <w:sz w:val="19"/>
                <w:szCs w:val="19"/>
              </w:rPr>
              <w:t>Caryophyllaceae</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AD66085" w14:textId="77777777" w:rsidR="00C12050" w:rsidRDefault="00C12050" w:rsidP="00B31C32">
            <w:pPr>
              <w:spacing w:before="0" w:after="0"/>
              <w:jc w:val="center"/>
              <w:rPr>
                <w:rFonts w:cs="Calibri"/>
                <w:sz w:val="19"/>
                <w:szCs w:val="19"/>
              </w:rPr>
            </w:pPr>
            <w:r>
              <w:rPr>
                <w:rFonts w:cs="Calibri"/>
                <w:sz w:val="19"/>
                <w:szCs w:val="19"/>
              </w:rPr>
              <w:t>Exotic, Naturalised</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D41C53A" w14:textId="77777777" w:rsidR="00C12050" w:rsidRDefault="00C12050" w:rsidP="00B31C32">
            <w:pPr>
              <w:spacing w:before="0" w:after="0"/>
              <w:jc w:val="center"/>
              <w:rPr>
                <w:rFonts w:cs="Calibri"/>
                <w:sz w:val="19"/>
                <w:szCs w:val="19"/>
              </w:rPr>
            </w:pPr>
            <w:r>
              <w:rPr>
                <w:rFonts w:cs="Calibri"/>
                <w:sz w:val="19"/>
                <w:szCs w:val="19"/>
              </w:rPr>
              <w:t>Annual herb</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F382607" w14:textId="77777777" w:rsidR="00C12050" w:rsidRDefault="00C12050" w:rsidP="00B31C32">
            <w:pPr>
              <w:spacing w:before="0" w:after="0"/>
              <w:jc w:val="center"/>
              <w:rPr>
                <w:rFonts w:cs="Calibri"/>
                <w:sz w:val="19"/>
                <w:szCs w:val="19"/>
              </w:rPr>
            </w:pPr>
            <w:r>
              <w:rPr>
                <w:rFonts w:cs="Calibri"/>
                <w:sz w:val="19"/>
                <w:szCs w:val="19"/>
              </w:rPr>
              <w:t>Terrestrial</w:t>
            </w:r>
          </w:p>
        </w:tc>
      </w:tr>
      <w:tr w:rsidR="00C12050" w14:paraId="24E671D7"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C7C12CC" w14:textId="77777777" w:rsidR="00C12050" w:rsidRDefault="00C12050" w:rsidP="00B31C32">
            <w:pPr>
              <w:spacing w:before="0" w:after="0"/>
              <w:jc w:val="left"/>
              <w:rPr>
                <w:rFonts w:cs="Calibri"/>
                <w:i/>
                <w:iCs/>
                <w:sz w:val="19"/>
                <w:szCs w:val="19"/>
              </w:rPr>
            </w:pPr>
            <w:proofErr w:type="spellStart"/>
            <w:r>
              <w:rPr>
                <w:rFonts w:cs="Calibri"/>
                <w:i/>
                <w:iCs/>
                <w:sz w:val="19"/>
                <w:szCs w:val="19"/>
              </w:rPr>
              <w:t>Sphaeromorphaea</w:t>
            </w:r>
            <w:proofErr w:type="spellEnd"/>
            <w:r>
              <w:rPr>
                <w:rFonts w:cs="Calibri"/>
                <w:i/>
                <w:iCs/>
                <w:sz w:val="19"/>
                <w:szCs w:val="19"/>
              </w:rPr>
              <w:t xml:space="preserve"> australis</w:t>
            </w:r>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EE9EE74" w14:textId="77777777" w:rsidR="00C12050" w:rsidRDefault="00C12050" w:rsidP="00B31C32">
            <w:pPr>
              <w:spacing w:before="0" w:after="0"/>
              <w:jc w:val="center"/>
              <w:rPr>
                <w:rFonts w:cs="Calibri"/>
                <w:sz w:val="19"/>
                <w:szCs w:val="19"/>
              </w:rPr>
            </w:pPr>
            <w:r>
              <w:rPr>
                <w:rFonts w:cs="Calibri"/>
                <w:sz w:val="19"/>
                <w:szCs w:val="19"/>
              </w:rPr>
              <w:t>Asteraceae</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F6DC9E1" w14:textId="77777777" w:rsidR="00C12050" w:rsidRDefault="00C12050" w:rsidP="00B31C32">
            <w:pPr>
              <w:spacing w:before="0" w:after="0"/>
              <w:jc w:val="center"/>
              <w:rPr>
                <w:rFonts w:cs="Calibri"/>
                <w:sz w:val="19"/>
                <w:szCs w:val="19"/>
              </w:rPr>
            </w:pPr>
            <w:r>
              <w:rPr>
                <w:rFonts w:cs="Calibri"/>
                <w:sz w:val="19"/>
                <w:szCs w:val="19"/>
              </w:rPr>
              <w:t>Native</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1E6B2C0" w14:textId="77777777" w:rsidR="00C12050" w:rsidRDefault="00C12050" w:rsidP="00B31C32">
            <w:pPr>
              <w:spacing w:before="0" w:after="0"/>
              <w:jc w:val="center"/>
              <w:rPr>
                <w:rFonts w:cs="Calibri"/>
                <w:sz w:val="19"/>
                <w:szCs w:val="19"/>
              </w:rPr>
            </w:pPr>
            <w:r>
              <w:rPr>
                <w:rFonts w:cs="Calibri"/>
                <w:sz w:val="19"/>
                <w:szCs w:val="19"/>
              </w:rPr>
              <w:t>Annual herb</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A644CE2" w14:textId="77777777" w:rsidR="00C12050" w:rsidRDefault="00C12050" w:rsidP="00B31C32">
            <w:pPr>
              <w:spacing w:before="0" w:after="0"/>
              <w:jc w:val="center"/>
              <w:rPr>
                <w:rFonts w:cs="Calibri"/>
                <w:sz w:val="19"/>
                <w:szCs w:val="19"/>
              </w:rPr>
            </w:pPr>
            <w:r>
              <w:rPr>
                <w:rFonts w:cs="Calibri"/>
                <w:sz w:val="19"/>
                <w:szCs w:val="19"/>
              </w:rPr>
              <w:t>Flood dependent</w:t>
            </w:r>
          </w:p>
        </w:tc>
      </w:tr>
      <w:tr w:rsidR="00C12050" w14:paraId="68118868"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7AA029F" w14:textId="77777777" w:rsidR="00C12050" w:rsidRDefault="00C12050" w:rsidP="00B31C32">
            <w:pPr>
              <w:spacing w:before="0" w:after="0"/>
              <w:jc w:val="left"/>
              <w:rPr>
                <w:rFonts w:cs="Calibri"/>
                <w:i/>
                <w:iCs/>
                <w:sz w:val="19"/>
                <w:szCs w:val="19"/>
              </w:rPr>
            </w:pPr>
            <w:r>
              <w:rPr>
                <w:rFonts w:cs="Calibri"/>
                <w:i/>
                <w:iCs/>
                <w:sz w:val="19"/>
                <w:szCs w:val="19"/>
              </w:rPr>
              <w:t xml:space="preserve">Sporobolus </w:t>
            </w:r>
            <w:proofErr w:type="spellStart"/>
            <w:r>
              <w:rPr>
                <w:rFonts w:cs="Calibri"/>
                <w:i/>
                <w:iCs/>
                <w:sz w:val="19"/>
                <w:szCs w:val="19"/>
              </w:rPr>
              <w:t>mitchellii</w:t>
            </w:r>
            <w:proofErr w:type="spellEnd"/>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0336C79" w14:textId="77777777" w:rsidR="00C12050" w:rsidRDefault="00C12050" w:rsidP="00B31C32">
            <w:pPr>
              <w:spacing w:before="0" w:after="0"/>
              <w:jc w:val="center"/>
              <w:rPr>
                <w:rFonts w:cs="Calibri"/>
                <w:sz w:val="19"/>
                <w:szCs w:val="19"/>
              </w:rPr>
            </w:pPr>
            <w:proofErr w:type="spellStart"/>
            <w:r>
              <w:rPr>
                <w:rFonts w:cs="Calibri"/>
                <w:sz w:val="19"/>
                <w:szCs w:val="19"/>
              </w:rPr>
              <w:t>Poaceae</w:t>
            </w:r>
            <w:proofErr w:type="spellEnd"/>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FD52837" w14:textId="77777777" w:rsidR="00C12050" w:rsidRDefault="00C12050" w:rsidP="00B31C32">
            <w:pPr>
              <w:spacing w:before="0" w:after="0"/>
              <w:jc w:val="center"/>
              <w:rPr>
                <w:rFonts w:cs="Calibri"/>
                <w:sz w:val="19"/>
                <w:szCs w:val="19"/>
              </w:rPr>
            </w:pPr>
            <w:r>
              <w:rPr>
                <w:rFonts w:cs="Calibri"/>
                <w:sz w:val="19"/>
                <w:szCs w:val="19"/>
              </w:rPr>
              <w:t>Native</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F7479AE" w14:textId="77777777" w:rsidR="00C12050" w:rsidRDefault="00C12050" w:rsidP="00B31C32">
            <w:pPr>
              <w:spacing w:before="0" w:after="0"/>
              <w:jc w:val="center"/>
              <w:rPr>
                <w:rFonts w:cs="Calibri"/>
                <w:sz w:val="19"/>
                <w:szCs w:val="19"/>
              </w:rPr>
            </w:pPr>
            <w:r>
              <w:rPr>
                <w:rFonts w:cs="Calibri"/>
                <w:sz w:val="19"/>
                <w:szCs w:val="19"/>
              </w:rPr>
              <w:t>Perennial grass</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26CEECA" w14:textId="77777777" w:rsidR="00C12050" w:rsidRDefault="00C12050" w:rsidP="00B31C32">
            <w:pPr>
              <w:spacing w:before="0" w:after="0"/>
              <w:jc w:val="center"/>
              <w:rPr>
                <w:rFonts w:cs="Calibri"/>
                <w:sz w:val="19"/>
                <w:szCs w:val="19"/>
              </w:rPr>
            </w:pPr>
            <w:r>
              <w:rPr>
                <w:rFonts w:cs="Calibri"/>
                <w:sz w:val="19"/>
                <w:szCs w:val="19"/>
              </w:rPr>
              <w:t>Flood dependent</w:t>
            </w:r>
          </w:p>
        </w:tc>
      </w:tr>
      <w:tr w:rsidR="00C12050" w14:paraId="5A899066"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3AAF37F" w14:textId="77777777" w:rsidR="00C12050" w:rsidRDefault="00C12050" w:rsidP="00B31C32">
            <w:pPr>
              <w:spacing w:before="0" w:after="0"/>
              <w:jc w:val="left"/>
              <w:rPr>
                <w:rFonts w:cs="Calibri"/>
                <w:i/>
                <w:iCs/>
                <w:sz w:val="19"/>
                <w:szCs w:val="19"/>
              </w:rPr>
            </w:pPr>
            <w:proofErr w:type="spellStart"/>
            <w:r>
              <w:rPr>
                <w:rFonts w:cs="Calibri"/>
                <w:i/>
                <w:iCs/>
                <w:sz w:val="19"/>
                <w:szCs w:val="19"/>
              </w:rPr>
              <w:t>Stemodia</w:t>
            </w:r>
            <w:proofErr w:type="spellEnd"/>
            <w:r>
              <w:rPr>
                <w:rFonts w:cs="Calibri"/>
                <w:i/>
                <w:iCs/>
                <w:sz w:val="19"/>
                <w:szCs w:val="19"/>
              </w:rPr>
              <w:t xml:space="preserve"> </w:t>
            </w:r>
            <w:proofErr w:type="spellStart"/>
            <w:r>
              <w:rPr>
                <w:rFonts w:cs="Calibri"/>
                <w:i/>
                <w:iCs/>
                <w:sz w:val="19"/>
                <w:szCs w:val="19"/>
              </w:rPr>
              <w:t>florulenta</w:t>
            </w:r>
            <w:proofErr w:type="spellEnd"/>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04C1053" w14:textId="77777777" w:rsidR="00C12050" w:rsidRDefault="00C12050" w:rsidP="00B31C32">
            <w:pPr>
              <w:spacing w:before="0" w:after="0"/>
              <w:jc w:val="center"/>
              <w:rPr>
                <w:rFonts w:cs="Calibri"/>
                <w:sz w:val="19"/>
                <w:szCs w:val="19"/>
              </w:rPr>
            </w:pPr>
            <w:r>
              <w:rPr>
                <w:rFonts w:cs="Calibri"/>
                <w:sz w:val="19"/>
                <w:szCs w:val="19"/>
              </w:rPr>
              <w:t>Scrophulariaceae</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11B1B0B" w14:textId="77777777" w:rsidR="00C12050" w:rsidRDefault="00C12050" w:rsidP="00B31C32">
            <w:pPr>
              <w:spacing w:before="0" w:after="0"/>
              <w:jc w:val="center"/>
              <w:rPr>
                <w:rFonts w:cs="Calibri"/>
                <w:sz w:val="19"/>
                <w:szCs w:val="19"/>
              </w:rPr>
            </w:pPr>
            <w:r>
              <w:rPr>
                <w:rFonts w:cs="Calibri"/>
                <w:sz w:val="19"/>
                <w:szCs w:val="19"/>
              </w:rPr>
              <w:t>Native</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7E93522" w14:textId="77777777" w:rsidR="00C12050" w:rsidRDefault="00C12050" w:rsidP="00B31C32">
            <w:pPr>
              <w:spacing w:before="0" w:after="0"/>
              <w:jc w:val="center"/>
              <w:rPr>
                <w:rFonts w:cs="Calibri"/>
                <w:sz w:val="19"/>
                <w:szCs w:val="19"/>
              </w:rPr>
            </w:pPr>
            <w:r>
              <w:rPr>
                <w:rFonts w:cs="Calibri"/>
                <w:sz w:val="19"/>
                <w:szCs w:val="19"/>
              </w:rPr>
              <w:t>Perennial herb</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8A845C6" w14:textId="77777777" w:rsidR="00C12050" w:rsidRDefault="00C12050" w:rsidP="00B31C32">
            <w:pPr>
              <w:spacing w:before="0" w:after="0"/>
              <w:jc w:val="center"/>
              <w:rPr>
                <w:rFonts w:cs="Calibri"/>
                <w:sz w:val="19"/>
                <w:szCs w:val="19"/>
              </w:rPr>
            </w:pPr>
            <w:r>
              <w:rPr>
                <w:rFonts w:cs="Calibri"/>
                <w:sz w:val="19"/>
                <w:szCs w:val="19"/>
              </w:rPr>
              <w:t>Flood dependent</w:t>
            </w:r>
          </w:p>
        </w:tc>
      </w:tr>
      <w:tr w:rsidR="00C12050" w14:paraId="40380FD2"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A75803B" w14:textId="77777777" w:rsidR="00C12050" w:rsidRDefault="00C12050" w:rsidP="00B31C32">
            <w:pPr>
              <w:spacing w:before="0" w:after="0"/>
              <w:jc w:val="left"/>
              <w:rPr>
                <w:rFonts w:cs="Calibri"/>
                <w:i/>
                <w:iCs/>
                <w:sz w:val="19"/>
                <w:szCs w:val="19"/>
              </w:rPr>
            </w:pPr>
            <w:proofErr w:type="spellStart"/>
            <w:r>
              <w:rPr>
                <w:rFonts w:cs="Calibri"/>
                <w:i/>
                <w:iCs/>
                <w:sz w:val="19"/>
                <w:szCs w:val="19"/>
              </w:rPr>
              <w:t>Symphyotrichum</w:t>
            </w:r>
            <w:proofErr w:type="spellEnd"/>
            <w:r>
              <w:rPr>
                <w:rFonts w:cs="Calibri"/>
                <w:i/>
                <w:iCs/>
                <w:sz w:val="19"/>
                <w:szCs w:val="19"/>
              </w:rPr>
              <w:t xml:space="preserve"> </w:t>
            </w:r>
            <w:proofErr w:type="spellStart"/>
            <w:r>
              <w:rPr>
                <w:rFonts w:cs="Calibri"/>
                <w:i/>
                <w:iCs/>
                <w:sz w:val="19"/>
                <w:szCs w:val="19"/>
              </w:rPr>
              <w:t>subulatum</w:t>
            </w:r>
            <w:proofErr w:type="spellEnd"/>
            <w:r>
              <w:rPr>
                <w:rFonts w:cs="Calibri"/>
                <w:i/>
                <w:iCs/>
                <w:sz w:val="19"/>
                <w:szCs w:val="19"/>
              </w:rPr>
              <w:t>*</w:t>
            </w:r>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8C535D8" w14:textId="77777777" w:rsidR="00C12050" w:rsidRDefault="00C12050" w:rsidP="00B31C32">
            <w:pPr>
              <w:spacing w:before="0" w:after="0"/>
              <w:jc w:val="center"/>
              <w:rPr>
                <w:rFonts w:cs="Calibri"/>
                <w:sz w:val="19"/>
                <w:szCs w:val="19"/>
              </w:rPr>
            </w:pPr>
            <w:r>
              <w:rPr>
                <w:rFonts w:cs="Calibri"/>
                <w:sz w:val="19"/>
                <w:szCs w:val="19"/>
              </w:rPr>
              <w:t>Asteraceae</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0AF7438" w14:textId="77777777" w:rsidR="00C12050" w:rsidRDefault="00C12050" w:rsidP="00B31C32">
            <w:pPr>
              <w:spacing w:before="0" w:after="0"/>
              <w:jc w:val="center"/>
              <w:rPr>
                <w:rFonts w:cs="Calibri"/>
                <w:sz w:val="19"/>
                <w:szCs w:val="19"/>
              </w:rPr>
            </w:pPr>
            <w:r>
              <w:rPr>
                <w:rFonts w:cs="Calibri"/>
                <w:sz w:val="19"/>
                <w:szCs w:val="19"/>
              </w:rPr>
              <w:t>Exotic, Naturalised</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60A262A" w14:textId="77777777" w:rsidR="00C12050" w:rsidRDefault="00C12050" w:rsidP="00B31C32">
            <w:pPr>
              <w:spacing w:before="0" w:after="0"/>
              <w:jc w:val="center"/>
              <w:rPr>
                <w:rFonts w:cs="Calibri"/>
                <w:sz w:val="19"/>
                <w:szCs w:val="19"/>
              </w:rPr>
            </w:pPr>
            <w:r>
              <w:rPr>
                <w:rFonts w:cs="Calibri"/>
                <w:sz w:val="19"/>
                <w:szCs w:val="19"/>
              </w:rPr>
              <w:t>Annual herb</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E66FE57" w14:textId="77777777" w:rsidR="00C12050" w:rsidRDefault="00C12050" w:rsidP="00B31C32">
            <w:pPr>
              <w:spacing w:before="0" w:after="0"/>
              <w:jc w:val="center"/>
              <w:rPr>
                <w:rFonts w:cs="Calibri"/>
                <w:sz w:val="19"/>
                <w:szCs w:val="19"/>
              </w:rPr>
            </w:pPr>
            <w:r>
              <w:rPr>
                <w:rFonts w:cs="Calibri"/>
                <w:sz w:val="19"/>
                <w:szCs w:val="19"/>
              </w:rPr>
              <w:t>Flood dependent</w:t>
            </w:r>
          </w:p>
        </w:tc>
      </w:tr>
      <w:tr w:rsidR="00C12050" w14:paraId="057CFF8F"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1C3B851" w14:textId="77777777" w:rsidR="00C12050" w:rsidRDefault="00C12050" w:rsidP="00B31C32">
            <w:pPr>
              <w:spacing w:before="0" w:after="0"/>
              <w:jc w:val="left"/>
              <w:rPr>
                <w:rFonts w:cs="Calibri"/>
                <w:i/>
                <w:iCs/>
                <w:sz w:val="19"/>
                <w:szCs w:val="19"/>
              </w:rPr>
            </w:pPr>
            <w:r>
              <w:rPr>
                <w:rFonts w:cs="Calibri"/>
                <w:i/>
                <w:iCs/>
                <w:sz w:val="19"/>
                <w:szCs w:val="19"/>
              </w:rPr>
              <w:t xml:space="preserve">Teucrium </w:t>
            </w:r>
            <w:proofErr w:type="spellStart"/>
            <w:r>
              <w:rPr>
                <w:rFonts w:cs="Calibri"/>
                <w:i/>
                <w:iCs/>
                <w:sz w:val="19"/>
                <w:szCs w:val="19"/>
              </w:rPr>
              <w:t>racemosum</w:t>
            </w:r>
            <w:proofErr w:type="spellEnd"/>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C82CAC7" w14:textId="77777777" w:rsidR="00C12050" w:rsidRDefault="00C12050" w:rsidP="00B31C32">
            <w:pPr>
              <w:spacing w:before="0" w:after="0"/>
              <w:jc w:val="center"/>
              <w:rPr>
                <w:rFonts w:cs="Calibri"/>
                <w:sz w:val="19"/>
                <w:szCs w:val="19"/>
              </w:rPr>
            </w:pPr>
            <w:proofErr w:type="spellStart"/>
            <w:r>
              <w:rPr>
                <w:rFonts w:cs="Calibri"/>
                <w:sz w:val="19"/>
                <w:szCs w:val="19"/>
              </w:rPr>
              <w:t>Lamiaceae</w:t>
            </w:r>
            <w:proofErr w:type="spellEnd"/>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0A9F57C" w14:textId="77777777" w:rsidR="00C12050" w:rsidRDefault="00C12050" w:rsidP="00B31C32">
            <w:pPr>
              <w:spacing w:before="0" w:after="0"/>
              <w:jc w:val="center"/>
              <w:rPr>
                <w:rFonts w:cs="Calibri"/>
                <w:sz w:val="19"/>
                <w:szCs w:val="19"/>
              </w:rPr>
            </w:pPr>
            <w:r>
              <w:rPr>
                <w:rFonts w:cs="Calibri"/>
                <w:sz w:val="19"/>
                <w:szCs w:val="19"/>
              </w:rPr>
              <w:t>Native</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33B4A92" w14:textId="77777777" w:rsidR="00C12050" w:rsidRDefault="00C12050" w:rsidP="00B31C32">
            <w:pPr>
              <w:spacing w:before="0" w:after="0"/>
              <w:jc w:val="center"/>
              <w:rPr>
                <w:rFonts w:cs="Calibri"/>
                <w:sz w:val="19"/>
                <w:szCs w:val="19"/>
              </w:rPr>
            </w:pPr>
            <w:r>
              <w:rPr>
                <w:rFonts w:cs="Calibri"/>
                <w:sz w:val="19"/>
                <w:szCs w:val="19"/>
              </w:rPr>
              <w:t>Perennial herb</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4A8A98A" w14:textId="77777777" w:rsidR="00C12050" w:rsidRDefault="00C12050" w:rsidP="00B31C32">
            <w:pPr>
              <w:spacing w:before="0" w:after="0"/>
              <w:jc w:val="center"/>
              <w:rPr>
                <w:rFonts w:cs="Calibri"/>
                <w:sz w:val="19"/>
                <w:szCs w:val="19"/>
              </w:rPr>
            </w:pPr>
            <w:r>
              <w:rPr>
                <w:rFonts w:cs="Calibri"/>
                <w:sz w:val="19"/>
                <w:szCs w:val="19"/>
              </w:rPr>
              <w:t>Flood dependent</w:t>
            </w:r>
          </w:p>
        </w:tc>
      </w:tr>
      <w:tr w:rsidR="00C12050" w14:paraId="436DE5C6"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764BE22" w14:textId="77777777" w:rsidR="00C12050" w:rsidRDefault="00C12050" w:rsidP="00B31C32">
            <w:pPr>
              <w:spacing w:before="0" w:after="0"/>
              <w:jc w:val="left"/>
              <w:rPr>
                <w:rFonts w:cs="Calibri"/>
                <w:i/>
                <w:iCs/>
                <w:sz w:val="19"/>
                <w:szCs w:val="19"/>
              </w:rPr>
            </w:pPr>
            <w:r>
              <w:rPr>
                <w:rFonts w:cs="Calibri"/>
                <w:i/>
                <w:iCs/>
                <w:sz w:val="19"/>
                <w:szCs w:val="19"/>
              </w:rPr>
              <w:t xml:space="preserve">Typha </w:t>
            </w:r>
            <w:proofErr w:type="spellStart"/>
            <w:r>
              <w:rPr>
                <w:rFonts w:cs="Calibri"/>
                <w:i/>
                <w:iCs/>
                <w:sz w:val="19"/>
                <w:szCs w:val="19"/>
              </w:rPr>
              <w:t>domingensis</w:t>
            </w:r>
            <w:proofErr w:type="spellEnd"/>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EDEE622" w14:textId="77777777" w:rsidR="00C12050" w:rsidRDefault="00C12050" w:rsidP="00B31C32">
            <w:pPr>
              <w:spacing w:before="0" w:after="0"/>
              <w:jc w:val="center"/>
              <w:rPr>
                <w:rFonts w:cs="Calibri"/>
                <w:sz w:val="19"/>
                <w:szCs w:val="19"/>
              </w:rPr>
            </w:pPr>
            <w:proofErr w:type="spellStart"/>
            <w:r>
              <w:rPr>
                <w:rFonts w:cs="Calibri"/>
                <w:sz w:val="19"/>
                <w:szCs w:val="19"/>
              </w:rPr>
              <w:t>Typhaceae</w:t>
            </w:r>
            <w:proofErr w:type="spellEnd"/>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82F80A4" w14:textId="77777777" w:rsidR="00C12050" w:rsidRDefault="00C12050" w:rsidP="00B31C32">
            <w:pPr>
              <w:spacing w:before="0" w:after="0"/>
              <w:jc w:val="center"/>
              <w:rPr>
                <w:rFonts w:cs="Calibri"/>
                <w:sz w:val="19"/>
                <w:szCs w:val="19"/>
              </w:rPr>
            </w:pPr>
            <w:r>
              <w:rPr>
                <w:rFonts w:cs="Calibri"/>
                <w:sz w:val="19"/>
                <w:szCs w:val="19"/>
              </w:rPr>
              <w:t>Native</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166E8B2" w14:textId="77777777" w:rsidR="00C12050" w:rsidRDefault="00C12050" w:rsidP="00B31C32">
            <w:pPr>
              <w:spacing w:before="0" w:after="0"/>
              <w:jc w:val="center"/>
              <w:rPr>
                <w:rFonts w:cs="Calibri"/>
                <w:sz w:val="19"/>
                <w:szCs w:val="19"/>
              </w:rPr>
            </w:pPr>
            <w:r>
              <w:rPr>
                <w:rFonts w:cs="Calibri"/>
                <w:sz w:val="19"/>
                <w:szCs w:val="19"/>
              </w:rPr>
              <w:t>Perennial sedge</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3F9DBB1" w14:textId="77777777" w:rsidR="00C12050" w:rsidRDefault="00C12050" w:rsidP="00B31C32">
            <w:pPr>
              <w:spacing w:before="0" w:after="0"/>
              <w:jc w:val="center"/>
              <w:rPr>
                <w:rFonts w:cs="Calibri"/>
                <w:sz w:val="19"/>
                <w:szCs w:val="19"/>
              </w:rPr>
            </w:pPr>
            <w:r>
              <w:rPr>
                <w:rFonts w:cs="Calibri"/>
                <w:sz w:val="19"/>
                <w:szCs w:val="19"/>
              </w:rPr>
              <w:t>Emergent</w:t>
            </w:r>
          </w:p>
        </w:tc>
      </w:tr>
      <w:tr w:rsidR="00C12050" w14:paraId="686ECF74"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A14B9EA" w14:textId="77777777" w:rsidR="00C12050" w:rsidRDefault="00C12050" w:rsidP="00B31C32">
            <w:pPr>
              <w:spacing w:before="0" w:after="0"/>
              <w:jc w:val="left"/>
              <w:rPr>
                <w:rFonts w:cs="Calibri"/>
                <w:i/>
                <w:iCs/>
                <w:sz w:val="19"/>
                <w:szCs w:val="19"/>
              </w:rPr>
            </w:pPr>
            <w:proofErr w:type="spellStart"/>
            <w:r>
              <w:rPr>
                <w:rFonts w:cs="Calibri"/>
                <w:i/>
                <w:iCs/>
                <w:sz w:val="19"/>
                <w:szCs w:val="19"/>
              </w:rPr>
              <w:t>Wahlenbergia</w:t>
            </w:r>
            <w:proofErr w:type="spellEnd"/>
            <w:r>
              <w:rPr>
                <w:rFonts w:cs="Calibri"/>
                <w:i/>
                <w:iCs/>
                <w:sz w:val="19"/>
                <w:szCs w:val="19"/>
              </w:rPr>
              <w:t xml:space="preserve"> </w:t>
            </w:r>
            <w:proofErr w:type="spellStart"/>
            <w:r>
              <w:rPr>
                <w:rFonts w:cs="Calibri"/>
                <w:i/>
                <w:iCs/>
                <w:sz w:val="19"/>
                <w:szCs w:val="19"/>
              </w:rPr>
              <w:t>fluminalis</w:t>
            </w:r>
            <w:proofErr w:type="spellEnd"/>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82D2FCF" w14:textId="77777777" w:rsidR="00C12050" w:rsidRDefault="00C12050" w:rsidP="00B31C32">
            <w:pPr>
              <w:spacing w:before="0" w:after="0"/>
              <w:jc w:val="center"/>
              <w:rPr>
                <w:rFonts w:cs="Calibri"/>
                <w:sz w:val="19"/>
                <w:szCs w:val="19"/>
              </w:rPr>
            </w:pPr>
            <w:proofErr w:type="spellStart"/>
            <w:r>
              <w:rPr>
                <w:rFonts w:cs="Calibri"/>
                <w:sz w:val="19"/>
                <w:szCs w:val="19"/>
              </w:rPr>
              <w:t>Campanulaceae</w:t>
            </w:r>
            <w:proofErr w:type="spellEnd"/>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88FDDF5" w14:textId="77777777" w:rsidR="00C12050" w:rsidRDefault="00C12050" w:rsidP="00B31C32">
            <w:pPr>
              <w:spacing w:before="0" w:after="0"/>
              <w:jc w:val="center"/>
              <w:rPr>
                <w:rFonts w:cs="Calibri"/>
                <w:sz w:val="19"/>
                <w:szCs w:val="19"/>
              </w:rPr>
            </w:pPr>
            <w:r>
              <w:rPr>
                <w:rFonts w:cs="Calibri"/>
                <w:sz w:val="19"/>
                <w:szCs w:val="19"/>
              </w:rPr>
              <w:t>Native</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242DDF8" w14:textId="77777777" w:rsidR="00C12050" w:rsidRDefault="00C12050" w:rsidP="00B31C32">
            <w:pPr>
              <w:spacing w:before="0" w:after="0"/>
              <w:jc w:val="center"/>
              <w:rPr>
                <w:rFonts w:cs="Calibri"/>
                <w:sz w:val="19"/>
                <w:szCs w:val="19"/>
              </w:rPr>
            </w:pPr>
            <w:r>
              <w:rPr>
                <w:rFonts w:cs="Calibri"/>
                <w:sz w:val="19"/>
                <w:szCs w:val="19"/>
              </w:rPr>
              <w:t>Annual herb</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A4A1E07" w14:textId="77777777" w:rsidR="00C12050" w:rsidRDefault="00C12050" w:rsidP="00B31C32">
            <w:pPr>
              <w:spacing w:before="0" w:after="0"/>
              <w:jc w:val="center"/>
              <w:rPr>
                <w:rFonts w:cs="Calibri"/>
                <w:sz w:val="19"/>
                <w:szCs w:val="19"/>
              </w:rPr>
            </w:pPr>
            <w:r>
              <w:rPr>
                <w:rFonts w:cs="Calibri"/>
                <w:sz w:val="19"/>
                <w:szCs w:val="19"/>
              </w:rPr>
              <w:t>Flood dependent</w:t>
            </w:r>
          </w:p>
        </w:tc>
      </w:tr>
      <w:tr w:rsidR="00C12050" w14:paraId="37DFF0A1" w14:textId="77777777" w:rsidTr="002F0EE3">
        <w:trPr>
          <w:trHeight w:val="276"/>
          <w:jc w:val="center"/>
        </w:trPr>
        <w:tc>
          <w:tcPr>
            <w:tcW w:w="212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E198EF8" w14:textId="77777777" w:rsidR="00C12050" w:rsidRDefault="00C12050" w:rsidP="00B31C32">
            <w:pPr>
              <w:spacing w:before="0" w:after="0"/>
              <w:jc w:val="left"/>
              <w:rPr>
                <w:rFonts w:cs="Calibri"/>
                <w:i/>
                <w:iCs/>
                <w:sz w:val="19"/>
                <w:szCs w:val="19"/>
              </w:rPr>
            </w:pPr>
            <w:r>
              <w:rPr>
                <w:rFonts w:cs="Calibri"/>
                <w:i/>
                <w:iCs/>
                <w:sz w:val="19"/>
                <w:szCs w:val="19"/>
              </w:rPr>
              <w:t>Xanthium occidentale**</w:t>
            </w:r>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58ECDA2" w14:textId="77777777" w:rsidR="00C12050" w:rsidRDefault="00C12050" w:rsidP="00B31C32">
            <w:pPr>
              <w:spacing w:before="0" w:after="0"/>
              <w:jc w:val="center"/>
              <w:rPr>
                <w:rFonts w:cs="Calibri"/>
                <w:sz w:val="19"/>
                <w:szCs w:val="19"/>
              </w:rPr>
            </w:pPr>
            <w:r>
              <w:rPr>
                <w:rFonts w:cs="Calibri"/>
                <w:sz w:val="19"/>
                <w:szCs w:val="19"/>
              </w:rPr>
              <w:t>Asteraceae</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2739E56" w14:textId="77777777" w:rsidR="00C12050" w:rsidRDefault="00C12050" w:rsidP="00B31C32">
            <w:pPr>
              <w:spacing w:before="0" w:after="0"/>
              <w:jc w:val="center"/>
              <w:rPr>
                <w:rFonts w:cs="Calibri"/>
                <w:sz w:val="19"/>
                <w:szCs w:val="19"/>
              </w:rPr>
            </w:pPr>
            <w:r>
              <w:rPr>
                <w:rFonts w:cs="Calibri"/>
                <w:sz w:val="19"/>
                <w:szCs w:val="19"/>
              </w:rPr>
              <w:t>Exotic, Declared Pest Plant in South Australia</w:t>
            </w:r>
          </w:p>
        </w:tc>
        <w:tc>
          <w:tcPr>
            <w:tcW w:w="169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88E24F4" w14:textId="77777777" w:rsidR="00C12050" w:rsidRDefault="00C12050" w:rsidP="00B31C32">
            <w:pPr>
              <w:spacing w:before="0" w:after="0"/>
              <w:jc w:val="center"/>
              <w:rPr>
                <w:rFonts w:cs="Calibri"/>
                <w:sz w:val="19"/>
                <w:szCs w:val="19"/>
              </w:rPr>
            </w:pPr>
            <w:r>
              <w:rPr>
                <w:rFonts w:cs="Calibri"/>
                <w:sz w:val="19"/>
                <w:szCs w:val="19"/>
              </w:rPr>
              <w:t>Annual herb</w:t>
            </w:r>
          </w:p>
        </w:tc>
        <w:tc>
          <w:tcPr>
            <w:tcW w:w="180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02C8B12" w14:textId="77777777" w:rsidR="00C12050" w:rsidRDefault="00C12050" w:rsidP="00B31C32">
            <w:pPr>
              <w:spacing w:before="0" w:after="0"/>
              <w:jc w:val="center"/>
              <w:rPr>
                <w:rFonts w:cs="Calibri"/>
                <w:sz w:val="19"/>
                <w:szCs w:val="19"/>
              </w:rPr>
            </w:pPr>
            <w:r>
              <w:rPr>
                <w:rFonts w:cs="Calibri"/>
                <w:sz w:val="19"/>
                <w:szCs w:val="19"/>
              </w:rPr>
              <w:t>Amphibious</w:t>
            </w:r>
          </w:p>
        </w:tc>
      </w:tr>
    </w:tbl>
    <w:p w14:paraId="491764E5" w14:textId="77777777" w:rsidR="005644B3" w:rsidRDefault="005644B3">
      <w:pPr>
        <w:spacing w:before="0" w:after="160" w:line="259" w:lineRule="auto"/>
        <w:jc w:val="left"/>
        <w:rPr>
          <w:noProof/>
          <w:lang w:eastAsia="en-AU"/>
        </w:rPr>
      </w:pPr>
    </w:p>
    <w:p w14:paraId="3FF50561" w14:textId="77777777" w:rsidR="005644B3" w:rsidRDefault="005644B3">
      <w:pPr>
        <w:spacing w:before="0" w:after="160" w:line="259" w:lineRule="auto"/>
        <w:jc w:val="left"/>
        <w:rPr>
          <w:noProof/>
          <w:lang w:eastAsia="en-AU"/>
        </w:rPr>
      </w:pPr>
      <w:r>
        <w:rPr>
          <w:noProof/>
          <w:lang w:eastAsia="en-AU"/>
        </w:rPr>
        <w:br w:type="page"/>
      </w:r>
    </w:p>
    <w:p w14:paraId="5CB54A34" w14:textId="77821D7C" w:rsidR="005644B3" w:rsidRPr="003F5C8F" w:rsidRDefault="005644B3" w:rsidP="005644B3">
      <w:pPr>
        <w:pStyle w:val="Caption"/>
        <w:rPr>
          <w:lang w:val="en-US"/>
        </w:rPr>
      </w:pPr>
      <w:r>
        <w:t>Table D</w:t>
      </w:r>
      <w:r w:rsidR="00065DAD">
        <w:t>3</w:t>
      </w:r>
      <w:r>
        <w:t>. Indicator Species Analysis results comparing plant community in each inundation zone at a. Lock 1, b. Lock 4 and c. Lock 6 in December 2019, * denotes exotic species, ** denotes declared pest plant in South Australia, # denotes listed as rare in South Australia; yellow highlighting denotes significant indicator; blue highlighting denotes not significant but exclusive to the Pool level and Inundated zones.</w:t>
      </w:r>
    </w:p>
    <w:p w14:paraId="31EC8981" w14:textId="77777777" w:rsidR="005644B3" w:rsidRDefault="005644B3" w:rsidP="005644B3">
      <w:r>
        <w:t>a.</w:t>
      </w:r>
    </w:p>
    <w:tbl>
      <w:tblPr>
        <w:tblW w:w="6500" w:type="dxa"/>
        <w:jc w:val="center"/>
        <w:tblLook w:val="04A0" w:firstRow="1" w:lastRow="0" w:firstColumn="1" w:lastColumn="0" w:noHBand="0" w:noVBand="1"/>
      </w:tblPr>
      <w:tblGrid>
        <w:gridCol w:w="3460"/>
        <w:gridCol w:w="1920"/>
        <w:gridCol w:w="1120"/>
      </w:tblGrid>
      <w:tr w:rsidR="005644B3" w:rsidRPr="001923A7" w14:paraId="3EC2AB05" w14:textId="77777777" w:rsidTr="00B31C32">
        <w:trPr>
          <w:trHeight w:val="300"/>
          <w:tblHeader/>
          <w:jc w:val="center"/>
        </w:trPr>
        <w:tc>
          <w:tcPr>
            <w:tcW w:w="34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63E0D2" w14:textId="77777777" w:rsidR="005644B3" w:rsidRPr="001923A7" w:rsidRDefault="005644B3" w:rsidP="00B31C32">
            <w:pPr>
              <w:spacing w:before="0" w:after="0" w:line="240" w:lineRule="auto"/>
              <w:jc w:val="center"/>
              <w:rPr>
                <w:rFonts w:cs="Calibri"/>
                <w:b/>
                <w:bCs/>
                <w:kern w:val="0"/>
                <w:sz w:val="19"/>
                <w:szCs w:val="19"/>
                <w:lang w:eastAsia="en-AU"/>
              </w:rPr>
            </w:pPr>
            <w:bookmarkStart w:id="379" w:name="_Hlk58574297"/>
            <w:r w:rsidRPr="001923A7">
              <w:rPr>
                <w:rFonts w:cs="Calibri"/>
                <w:b/>
                <w:bCs/>
                <w:kern w:val="0"/>
                <w:sz w:val="19"/>
                <w:szCs w:val="19"/>
                <w:lang w:eastAsia="en-AU"/>
              </w:rPr>
              <w:t>Species</w:t>
            </w:r>
          </w:p>
        </w:tc>
        <w:tc>
          <w:tcPr>
            <w:tcW w:w="1920" w:type="dxa"/>
            <w:tcBorders>
              <w:top w:val="single" w:sz="4" w:space="0" w:color="auto"/>
              <w:left w:val="nil"/>
              <w:bottom w:val="single" w:sz="4" w:space="0" w:color="auto"/>
              <w:right w:val="single" w:sz="4" w:space="0" w:color="auto"/>
            </w:tcBorders>
            <w:shd w:val="clear" w:color="auto" w:fill="auto"/>
            <w:noWrap/>
            <w:vAlign w:val="bottom"/>
            <w:hideMark/>
          </w:tcPr>
          <w:p w14:paraId="44B4B2A7" w14:textId="77777777" w:rsidR="005644B3" w:rsidRPr="001923A7" w:rsidRDefault="005644B3" w:rsidP="00B31C32">
            <w:pPr>
              <w:spacing w:before="0" w:after="0" w:line="240" w:lineRule="auto"/>
              <w:jc w:val="center"/>
              <w:rPr>
                <w:rFonts w:cs="Calibri"/>
                <w:b/>
                <w:bCs/>
                <w:kern w:val="0"/>
                <w:sz w:val="19"/>
                <w:szCs w:val="19"/>
                <w:lang w:eastAsia="en-AU"/>
              </w:rPr>
            </w:pPr>
            <w:r w:rsidRPr="001923A7">
              <w:rPr>
                <w:rFonts w:cs="Calibri"/>
                <w:b/>
                <w:bCs/>
                <w:kern w:val="0"/>
                <w:sz w:val="19"/>
                <w:szCs w:val="19"/>
                <w:lang w:eastAsia="en-AU"/>
              </w:rPr>
              <w:t>Zone</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14:paraId="63368CC1" w14:textId="77777777" w:rsidR="005644B3" w:rsidRPr="001923A7" w:rsidRDefault="005644B3" w:rsidP="00B31C32">
            <w:pPr>
              <w:spacing w:before="0" w:after="0" w:line="240" w:lineRule="auto"/>
              <w:jc w:val="center"/>
              <w:rPr>
                <w:rFonts w:cs="Calibri"/>
                <w:b/>
                <w:bCs/>
                <w:kern w:val="0"/>
                <w:sz w:val="19"/>
                <w:szCs w:val="19"/>
                <w:lang w:eastAsia="en-AU"/>
              </w:rPr>
            </w:pPr>
            <w:r w:rsidRPr="001923A7">
              <w:rPr>
                <w:rFonts w:cs="Calibri"/>
                <w:b/>
                <w:bCs/>
                <w:kern w:val="0"/>
                <w:sz w:val="19"/>
                <w:szCs w:val="19"/>
                <w:lang w:eastAsia="en-AU"/>
              </w:rPr>
              <w:t>P</w:t>
            </w:r>
          </w:p>
        </w:tc>
      </w:tr>
      <w:tr w:rsidR="005644B3" w:rsidRPr="001923A7" w14:paraId="66E97E8C"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4D27AFAA"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 xml:space="preserve">Acacia </w:t>
            </w:r>
            <w:proofErr w:type="spellStart"/>
            <w:r w:rsidRPr="001923A7">
              <w:rPr>
                <w:rFonts w:cs="Calibri"/>
                <w:i/>
                <w:iCs/>
                <w:kern w:val="0"/>
                <w:sz w:val="19"/>
                <w:szCs w:val="19"/>
                <w:lang w:eastAsia="en-AU"/>
              </w:rPr>
              <w:t>stenophylla</w:t>
            </w:r>
            <w:proofErr w:type="spellEnd"/>
          </w:p>
        </w:tc>
        <w:tc>
          <w:tcPr>
            <w:tcW w:w="1920" w:type="dxa"/>
            <w:tcBorders>
              <w:top w:val="nil"/>
              <w:left w:val="nil"/>
              <w:bottom w:val="single" w:sz="4" w:space="0" w:color="auto"/>
              <w:right w:val="single" w:sz="4" w:space="0" w:color="auto"/>
            </w:tcBorders>
            <w:shd w:val="clear" w:color="auto" w:fill="auto"/>
            <w:noWrap/>
            <w:vAlign w:val="bottom"/>
            <w:hideMark/>
          </w:tcPr>
          <w:p w14:paraId="068AE63A"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Not inundated</w:t>
            </w:r>
          </w:p>
        </w:tc>
        <w:tc>
          <w:tcPr>
            <w:tcW w:w="1120" w:type="dxa"/>
            <w:tcBorders>
              <w:top w:val="nil"/>
              <w:left w:val="nil"/>
              <w:bottom w:val="single" w:sz="4" w:space="0" w:color="auto"/>
              <w:right w:val="single" w:sz="4" w:space="0" w:color="auto"/>
            </w:tcBorders>
            <w:shd w:val="clear" w:color="auto" w:fill="auto"/>
            <w:noWrap/>
            <w:vAlign w:val="bottom"/>
            <w:hideMark/>
          </w:tcPr>
          <w:p w14:paraId="19AEEDE7"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0.6593</w:t>
            </w:r>
          </w:p>
        </w:tc>
      </w:tr>
      <w:tr w:rsidR="005644B3" w:rsidRPr="006559C7" w14:paraId="7CD51C69"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00FFFF"/>
            <w:noWrap/>
            <w:vAlign w:val="bottom"/>
            <w:hideMark/>
          </w:tcPr>
          <w:p w14:paraId="26A8B394" w14:textId="77777777" w:rsidR="005644B3" w:rsidRPr="006559C7" w:rsidRDefault="005644B3" w:rsidP="00B31C32">
            <w:pPr>
              <w:spacing w:before="0" w:after="0" w:line="240" w:lineRule="auto"/>
              <w:jc w:val="left"/>
              <w:rPr>
                <w:rFonts w:cs="Calibri"/>
                <w:i/>
                <w:iCs/>
                <w:kern w:val="0"/>
                <w:sz w:val="19"/>
                <w:szCs w:val="19"/>
                <w:lang w:eastAsia="en-AU"/>
              </w:rPr>
            </w:pPr>
            <w:r w:rsidRPr="006559C7">
              <w:rPr>
                <w:rFonts w:cs="Calibri"/>
                <w:i/>
                <w:iCs/>
                <w:kern w:val="0"/>
                <w:sz w:val="19"/>
                <w:szCs w:val="19"/>
                <w:lang w:eastAsia="en-AU"/>
              </w:rPr>
              <w:t xml:space="preserve">Alternanthera </w:t>
            </w:r>
            <w:proofErr w:type="spellStart"/>
            <w:r w:rsidRPr="006559C7">
              <w:rPr>
                <w:rFonts w:cs="Calibri"/>
                <w:i/>
                <w:iCs/>
                <w:kern w:val="0"/>
                <w:sz w:val="19"/>
                <w:szCs w:val="19"/>
                <w:lang w:eastAsia="en-AU"/>
              </w:rPr>
              <w:t>denticulata</w:t>
            </w:r>
            <w:proofErr w:type="spellEnd"/>
          </w:p>
        </w:tc>
        <w:tc>
          <w:tcPr>
            <w:tcW w:w="1920" w:type="dxa"/>
            <w:tcBorders>
              <w:top w:val="nil"/>
              <w:left w:val="nil"/>
              <w:bottom w:val="single" w:sz="4" w:space="0" w:color="auto"/>
              <w:right w:val="single" w:sz="4" w:space="0" w:color="auto"/>
            </w:tcBorders>
            <w:shd w:val="clear" w:color="auto" w:fill="00FFFF"/>
            <w:noWrap/>
            <w:vAlign w:val="bottom"/>
            <w:hideMark/>
          </w:tcPr>
          <w:p w14:paraId="30FDEBC4"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Inundated</w:t>
            </w:r>
          </w:p>
        </w:tc>
        <w:tc>
          <w:tcPr>
            <w:tcW w:w="1120" w:type="dxa"/>
            <w:tcBorders>
              <w:top w:val="nil"/>
              <w:left w:val="nil"/>
              <w:bottom w:val="single" w:sz="4" w:space="0" w:color="auto"/>
              <w:right w:val="single" w:sz="4" w:space="0" w:color="auto"/>
            </w:tcBorders>
            <w:shd w:val="clear" w:color="auto" w:fill="00FFFF"/>
            <w:noWrap/>
            <w:vAlign w:val="bottom"/>
            <w:hideMark/>
          </w:tcPr>
          <w:p w14:paraId="184A7E1F" w14:textId="77777777" w:rsidR="005644B3" w:rsidRPr="006559C7" w:rsidRDefault="005644B3" w:rsidP="00B31C32">
            <w:pPr>
              <w:spacing w:before="0" w:after="0" w:line="240" w:lineRule="auto"/>
              <w:jc w:val="right"/>
              <w:rPr>
                <w:rFonts w:cs="Calibri"/>
                <w:kern w:val="0"/>
                <w:sz w:val="19"/>
                <w:szCs w:val="19"/>
                <w:lang w:eastAsia="en-AU"/>
              </w:rPr>
            </w:pPr>
            <w:r w:rsidRPr="006559C7">
              <w:rPr>
                <w:rFonts w:cs="Calibri"/>
                <w:kern w:val="0"/>
                <w:sz w:val="19"/>
                <w:szCs w:val="19"/>
                <w:lang w:eastAsia="en-AU"/>
              </w:rPr>
              <w:t>0.3179</w:t>
            </w:r>
          </w:p>
        </w:tc>
      </w:tr>
      <w:tr w:rsidR="005644B3" w:rsidRPr="001923A7" w14:paraId="589CC799"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16AFEE58" w14:textId="77777777" w:rsidR="005644B3" w:rsidRPr="001923A7" w:rsidRDefault="005644B3" w:rsidP="00B31C32">
            <w:pPr>
              <w:spacing w:before="0" w:after="0" w:line="240" w:lineRule="auto"/>
              <w:jc w:val="left"/>
              <w:rPr>
                <w:rFonts w:cs="Calibri"/>
                <w:i/>
                <w:iCs/>
                <w:kern w:val="0"/>
                <w:sz w:val="19"/>
                <w:szCs w:val="19"/>
                <w:lang w:eastAsia="en-AU"/>
              </w:rPr>
            </w:pPr>
            <w:proofErr w:type="spellStart"/>
            <w:r w:rsidRPr="001923A7">
              <w:rPr>
                <w:rFonts w:cs="Calibri"/>
                <w:i/>
                <w:iCs/>
                <w:kern w:val="0"/>
                <w:sz w:val="19"/>
                <w:szCs w:val="19"/>
                <w:lang w:eastAsia="en-AU"/>
              </w:rPr>
              <w:t>Ammannia</w:t>
            </w:r>
            <w:proofErr w:type="spellEnd"/>
            <w:r w:rsidRPr="001923A7">
              <w:rPr>
                <w:rFonts w:cs="Calibri"/>
                <w:i/>
                <w:iCs/>
                <w:kern w:val="0"/>
                <w:sz w:val="19"/>
                <w:szCs w:val="19"/>
                <w:lang w:eastAsia="en-AU"/>
              </w:rPr>
              <w:t xml:space="preserve"> multiflora</w:t>
            </w:r>
          </w:p>
        </w:tc>
        <w:tc>
          <w:tcPr>
            <w:tcW w:w="1920" w:type="dxa"/>
            <w:tcBorders>
              <w:top w:val="nil"/>
              <w:left w:val="nil"/>
              <w:bottom w:val="single" w:sz="4" w:space="0" w:color="auto"/>
              <w:right w:val="single" w:sz="4" w:space="0" w:color="auto"/>
            </w:tcBorders>
            <w:shd w:val="clear" w:color="auto" w:fill="auto"/>
            <w:noWrap/>
            <w:vAlign w:val="bottom"/>
            <w:hideMark/>
          </w:tcPr>
          <w:p w14:paraId="765765BB"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Inundated</w:t>
            </w:r>
          </w:p>
        </w:tc>
        <w:tc>
          <w:tcPr>
            <w:tcW w:w="1120" w:type="dxa"/>
            <w:tcBorders>
              <w:top w:val="nil"/>
              <w:left w:val="nil"/>
              <w:bottom w:val="single" w:sz="4" w:space="0" w:color="auto"/>
              <w:right w:val="single" w:sz="4" w:space="0" w:color="auto"/>
            </w:tcBorders>
            <w:shd w:val="clear" w:color="auto" w:fill="auto"/>
            <w:noWrap/>
            <w:vAlign w:val="bottom"/>
            <w:hideMark/>
          </w:tcPr>
          <w:p w14:paraId="11E6A6E1"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1</w:t>
            </w:r>
          </w:p>
        </w:tc>
      </w:tr>
      <w:tr w:rsidR="005644B3" w:rsidRPr="001923A7" w14:paraId="69CE2C72"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11A22BD3"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Apium graveolens*</w:t>
            </w:r>
          </w:p>
        </w:tc>
        <w:tc>
          <w:tcPr>
            <w:tcW w:w="1920" w:type="dxa"/>
            <w:tcBorders>
              <w:top w:val="nil"/>
              <w:left w:val="nil"/>
              <w:bottom w:val="single" w:sz="4" w:space="0" w:color="auto"/>
              <w:right w:val="single" w:sz="4" w:space="0" w:color="auto"/>
            </w:tcBorders>
            <w:shd w:val="clear" w:color="auto" w:fill="auto"/>
            <w:noWrap/>
            <w:vAlign w:val="bottom"/>
            <w:hideMark/>
          </w:tcPr>
          <w:p w14:paraId="1577FF11"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Inundation extent</w:t>
            </w:r>
          </w:p>
        </w:tc>
        <w:tc>
          <w:tcPr>
            <w:tcW w:w="1120" w:type="dxa"/>
            <w:tcBorders>
              <w:top w:val="nil"/>
              <w:left w:val="nil"/>
              <w:bottom w:val="single" w:sz="4" w:space="0" w:color="auto"/>
              <w:right w:val="single" w:sz="4" w:space="0" w:color="auto"/>
            </w:tcBorders>
            <w:shd w:val="clear" w:color="auto" w:fill="auto"/>
            <w:noWrap/>
            <w:vAlign w:val="bottom"/>
            <w:hideMark/>
          </w:tcPr>
          <w:p w14:paraId="3780F89B"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0.3377</w:t>
            </w:r>
          </w:p>
        </w:tc>
      </w:tr>
      <w:tr w:rsidR="005644B3" w:rsidRPr="001923A7" w14:paraId="37AD0133"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258BFEF6" w14:textId="77777777" w:rsidR="005644B3" w:rsidRPr="001923A7" w:rsidRDefault="005644B3" w:rsidP="00B31C32">
            <w:pPr>
              <w:spacing w:before="0" w:after="0" w:line="240" w:lineRule="auto"/>
              <w:jc w:val="left"/>
              <w:rPr>
                <w:rFonts w:cs="Calibri"/>
                <w:i/>
                <w:iCs/>
                <w:kern w:val="0"/>
                <w:sz w:val="19"/>
                <w:szCs w:val="19"/>
                <w:lang w:eastAsia="en-AU"/>
              </w:rPr>
            </w:pPr>
            <w:proofErr w:type="spellStart"/>
            <w:r w:rsidRPr="001923A7">
              <w:rPr>
                <w:rFonts w:cs="Calibri"/>
                <w:i/>
                <w:iCs/>
                <w:kern w:val="0"/>
                <w:sz w:val="19"/>
                <w:szCs w:val="19"/>
                <w:lang w:eastAsia="en-AU"/>
              </w:rPr>
              <w:t>Bolboschoenus</w:t>
            </w:r>
            <w:proofErr w:type="spellEnd"/>
            <w:r w:rsidRPr="001923A7">
              <w:rPr>
                <w:rFonts w:cs="Calibri"/>
                <w:i/>
                <w:iCs/>
                <w:kern w:val="0"/>
                <w:sz w:val="19"/>
                <w:szCs w:val="19"/>
                <w:lang w:eastAsia="en-AU"/>
              </w:rPr>
              <w:t xml:space="preserve"> </w:t>
            </w:r>
            <w:proofErr w:type="spellStart"/>
            <w:r w:rsidRPr="001923A7">
              <w:rPr>
                <w:rFonts w:cs="Calibri"/>
                <w:i/>
                <w:iCs/>
                <w:kern w:val="0"/>
                <w:sz w:val="19"/>
                <w:szCs w:val="19"/>
                <w:lang w:eastAsia="en-AU"/>
              </w:rPr>
              <w:t>caldwellii</w:t>
            </w:r>
            <w:proofErr w:type="spellEnd"/>
          </w:p>
        </w:tc>
        <w:tc>
          <w:tcPr>
            <w:tcW w:w="1920" w:type="dxa"/>
            <w:tcBorders>
              <w:top w:val="nil"/>
              <w:left w:val="nil"/>
              <w:bottom w:val="single" w:sz="4" w:space="0" w:color="auto"/>
              <w:right w:val="single" w:sz="4" w:space="0" w:color="auto"/>
            </w:tcBorders>
            <w:shd w:val="clear" w:color="auto" w:fill="auto"/>
            <w:noWrap/>
            <w:vAlign w:val="bottom"/>
            <w:hideMark/>
          </w:tcPr>
          <w:p w14:paraId="06C0EC47"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Pool level</w:t>
            </w:r>
          </w:p>
        </w:tc>
        <w:tc>
          <w:tcPr>
            <w:tcW w:w="1120" w:type="dxa"/>
            <w:tcBorders>
              <w:top w:val="nil"/>
              <w:left w:val="nil"/>
              <w:bottom w:val="single" w:sz="4" w:space="0" w:color="auto"/>
              <w:right w:val="single" w:sz="4" w:space="0" w:color="auto"/>
            </w:tcBorders>
            <w:shd w:val="clear" w:color="auto" w:fill="auto"/>
            <w:noWrap/>
            <w:vAlign w:val="bottom"/>
            <w:hideMark/>
          </w:tcPr>
          <w:p w14:paraId="32350928"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0.3379</w:t>
            </w:r>
          </w:p>
        </w:tc>
      </w:tr>
      <w:tr w:rsidR="005644B3" w:rsidRPr="001923A7" w14:paraId="429E4684"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0313C7D0"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 xml:space="preserve">Brachyscome </w:t>
            </w:r>
            <w:proofErr w:type="spellStart"/>
            <w:r w:rsidRPr="001923A7">
              <w:rPr>
                <w:rFonts w:cs="Calibri"/>
                <w:i/>
                <w:iCs/>
                <w:kern w:val="0"/>
                <w:sz w:val="19"/>
                <w:szCs w:val="19"/>
                <w:lang w:eastAsia="en-AU"/>
              </w:rPr>
              <w:t>paludicola</w:t>
            </w:r>
            <w:proofErr w:type="spellEnd"/>
          </w:p>
        </w:tc>
        <w:tc>
          <w:tcPr>
            <w:tcW w:w="1920" w:type="dxa"/>
            <w:tcBorders>
              <w:top w:val="nil"/>
              <w:left w:val="nil"/>
              <w:bottom w:val="single" w:sz="4" w:space="0" w:color="auto"/>
              <w:right w:val="single" w:sz="4" w:space="0" w:color="auto"/>
            </w:tcBorders>
            <w:shd w:val="clear" w:color="auto" w:fill="auto"/>
            <w:noWrap/>
            <w:vAlign w:val="bottom"/>
            <w:hideMark/>
          </w:tcPr>
          <w:p w14:paraId="28E53893"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Not inundated</w:t>
            </w:r>
          </w:p>
        </w:tc>
        <w:tc>
          <w:tcPr>
            <w:tcW w:w="1120" w:type="dxa"/>
            <w:tcBorders>
              <w:top w:val="nil"/>
              <w:left w:val="nil"/>
              <w:bottom w:val="single" w:sz="4" w:space="0" w:color="auto"/>
              <w:right w:val="single" w:sz="4" w:space="0" w:color="auto"/>
            </w:tcBorders>
            <w:shd w:val="clear" w:color="auto" w:fill="auto"/>
            <w:noWrap/>
            <w:vAlign w:val="bottom"/>
            <w:hideMark/>
          </w:tcPr>
          <w:p w14:paraId="7CB83A37"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0.8874</w:t>
            </w:r>
          </w:p>
        </w:tc>
      </w:tr>
      <w:tr w:rsidR="005644B3" w:rsidRPr="001923A7" w14:paraId="6AC2C7DF"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4D041D94"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 xml:space="preserve">Callistemon </w:t>
            </w:r>
            <w:proofErr w:type="spellStart"/>
            <w:r w:rsidRPr="001923A7">
              <w:rPr>
                <w:rFonts w:cs="Calibri"/>
                <w:i/>
                <w:iCs/>
                <w:kern w:val="0"/>
                <w:sz w:val="19"/>
                <w:szCs w:val="19"/>
                <w:lang w:eastAsia="en-AU"/>
              </w:rPr>
              <w:t>brachyandrus</w:t>
            </w:r>
            <w:proofErr w:type="spellEnd"/>
            <w:r w:rsidRPr="001923A7">
              <w:rPr>
                <w:rFonts w:cs="Calibri"/>
                <w:i/>
                <w:iCs/>
                <w:kern w:val="0"/>
                <w:sz w:val="19"/>
                <w:szCs w:val="19"/>
                <w:lang w:eastAsia="en-AU"/>
              </w:rPr>
              <w:t>#</w:t>
            </w:r>
          </w:p>
        </w:tc>
        <w:tc>
          <w:tcPr>
            <w:tcW w:w="1920" w:type="dxa"/>
            <w:tcBorders>
              <w:top w:val="nil"/>
              <w:left w:val="nil"/>
              <w:bottom w:val="single" w:sz="4" w:space="0" w:color="auto"/>
              <w:right w:val="single" w:sz="4" w:space="0" w:color="auto"/>
            </w:tcBorders>
            <w:shd w:val="clear" w:color="auto" w:fill="auto"/>
            <w:noWrap/>
            <w:vAlign w:val="bottom"/>
            <w:hideMark/>
          </w:tcPr>
          <w:p w14:paraId="31EF98A0"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Not inundated</w:t>
            </w:r>
          </w:p>
        </w:tc>
        <w:tc>
          <w:tcPr>
            <w:tcW w:w="1120" w:type="dxa"/>
            <w:tcBorders>
              <w:top w:val="nil"/>
              <w:left w:val="nil"/>
              <w:bottom w:val="single" w:sz="4" w:space="0" w:color="auto"/>
              <w:right w:val="single" w:sz="4" w:space="0" w:color="auto"/>
            </w:tcBorders>
            <w:shd w:val="clear" w:color="auto" w:fill="auto"/>
            <w:noWrap/>
            <w:vAlign w:val="bottom"/>
            <w:hideMark/>
          </w:tcPr>
          <w:p w14:paraId="4FBEEE24"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0.6583</w:t>
            </w:r>
          </w:p>
        </w:tc>
      </w:tr>
      <w:tr w:rsidR="005644B3" w:rsidRPr="001923A7" w14:paraId="47E967FC"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4D7AAC53"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 xml:space="preserve">Centaurea </w:t>
            </w:r>
            <w:proofErr w:type="spellStart"/>
            <w:r w:rsidRPr="001923A7">
              <w:rPr>
                <w:rFonts w:cs="Calibri"/>
                <w:i/>
                <w:iCs/>
                <w:kern w:val="0"/>
                <w:sz w:val="19"/>
                <w:szCs w:val="19"/>
                <w:lang w:eastAsia="en-AU"/>
              </w:rPr>
              <w:t>calcitrapa</w:t>
            </w:r>
            <w:proofErr w:type="spellEnd"/>
          </w:p>
        </w:tc>
        <w:tc>
          <w:tcPr>
            <w:tcW w:w="1920" w:type="dxa"/>
            <w:tcBorders>
              <w:top w:val="nil"/>
              <w:left w:val="nil"/>
              <w:bottom w:val="single" w:sz="4" w:space="0" w:color="auto"/>
              <w:right w:val="single" w:sz="4" w:space="0" w:color="auto"/>
            </w:tcBorders>
            <w:shd w:val="clear" w:color="auto" w:fill="auto"/>
            <w:noWrap/>
            <w:vAlign w:val="bottom"/>
            <w:hideMark/>
          </w:tcPr>
          <w:p w14:paraId="7631BEB8"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Not inundated</w:t>
            </w:r>
          </w:p>
        </w:tc>
        <w:tc>
          <w:tcPr>
            <w:tcW w:w="1120" w:type="dxa"/>
            <w:tcBorders>
              <w:top w:val="nil"/>
              <w:left w:val="nil"/>
              <w:bottom w:val="single" w:sz="4" w:space="0" w:color="auto"/>
              <w:right w:val="single" w:sz="4" w:space="0" w:color="auto"/>
            </w:tcBorders>
            <w:shd w:val="clear" w:color="auto" w:fill="auto"/>
            <w:noWrap/>
            <w:vAlign w:val="bottom"/>
            <w:hideMark/>
          </w:tcPr>
          <w:p w14:paraId="6D6E9F7D"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0.2791</w:t>
            </w:r>
          </w:p>
        </w:tc>
      </w:tr>
      <w:tr w:rsidR="005644B3" w:rsidRPr="001923A7" w14:paraId="539416A4"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000000" w:fill="FFFF00"/>
            <w:noWrap/>
            <w:vAlign w:val="bottom"/>
            <w:hideMark/>
          </w:tcPr>
          <w:p w14:paraId="604705D6" w14:textId="77777777" w:rsidR="005644B3" w:rsidRPr="001923A7" w:rsidRDefault="005644B3" w:rsidP="00B31C32">
            <w:pPr>
              <w:spacing w:before="0" w:after="0" w:line="240" w:lineRule="auto"/>
              <w:jc w:val="left"/>
              <w:rPr>
                <w:rFonts w:cs="Calibri"/>
                <w:i/>
                <w:iCs/>
                <w:kern w:val="0"/>
                <w:sz w:val="19"/>
                <w:szCs w:val="19"/>
                <w:lang w:eastAsia="en-AU"/>
              </w:rPr>
            </w:pPr>
            <w:proofErr w:type="spellStart"/>
            <w:r w:rsidRPr="001923A7">
              <w:rPr>
                <w:rFonts w:cs="Calibri"/>
                <w:i/>
                <w:iCs/>
                <w:kern w:val="0"/>
                <w:sz w:val="19"/>
                <w:szCs w:val="19"/>
                <w:lang w:eastAsia="en-AU"/>
              </w:rPr>
              <w:t>Centipeda</w:t>
            </w:r>
            <w:proofErr w:type="spellEnd"/>
            <w:r w:rsidRPr="001923A7">
              <w:rPr>
                <w:rFonts w:cs="Calibri"/>
                <w:i/>
                <w:iCs/>
                <w:kern w:val="0"/>
                <w:sz w:val="19"/>
                <w:szCs w:val="19"/>
                <w:lang w:eastAsia="en-AU"/>
              </w:rPr>
              <w:t xml:space="preserve"> minima</w:t>
            </w:r>
          </w:p>
        </w:tc>
        <w:tc>
          <w:tcPr>
            <w:tcW w:w="1920" w:type="dxa"/>
            <w:tcBorders>
              <w:top w:val="nil"/>
              <w:left w:val="nil"/>
              <w:bottom w:val="single" w:sz="4" w:space="0" w:color="auto"/>
              <w:right w:val="single" w:sz="4" w:space="0" w:color="auto"/>
            </w:tcBorders>
            <w:shd w:val="clear" w:color="000000" w:fill="FFFF00"/>
            <w:noWrap/>
            <w:vAlign w:val="bottom"/>
            <w:hideMark/>
          </w:tcPr>
          <w:p w14:paraId="1FB7D409"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Pool level</w:t>
            </w:r>
          </w:p>
        </w:tc>
        <w:tc>
          <w:tcPr>
            <w:tcW w:w="1120" w:type="dxa"/>
            <w:tcBorders>
              <w:top w:val="nil"/>
              <w:left w:val="nil"/>
              <w:bottom w:val="single" w:sz="4" w:space="0" w:color="auto"/>
              <w:right w:val="single" w:sz="4" w:space="0" w:color="auto"/>
            </w:tcBorders>
            <w:shd w:val="clear" w:color="000000" w:fill="FFFF00"/>
            <w:noWrap/>
            <w:vAlign w:val="bottom"/>
            <w:hideMark/>
          </w:tcPr>
          <w:p w14:paraId="6A4E2952"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0.0158</w:t>
            </w:r>
          </w:p>
        </w:tc>
      </w:tr>
      <w:tr w:rsidR="005644B3" w:rsidRPr="001923A7" w14:paraId="3FC57324"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00FFFF"/>
            <w:noWrap/>
            <w:vAlign w:val="bottom"/>
            <w:hideMark/>
          </w:tcPr>
          <w:p w14:paraId="733561F9"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 xml:space="preserve">Cyperus </w:t>
            </w:r>
            <w:proofErr w:type="spellStart"/>
            <w:r w:rsidRPr="001923A7">
              <w:rPr>
                <w:rFonts w:cs="Calibri"/>
                <w:i/>
                <w:iCs/>
                <w:kern w:val="0"/>
                <w:sz w:val="19"/>
                <w:szCs w:val="19"/>
                <w:lang w:eastAsia="en-AU"/>
              </w:rPr>
              <w:t>gymnocaulos</w:t>
            </w:r>
            <w:proofErr w:type="spellEnd"/>
          </w:p>
        </w:tc>
        <w:tc>
          <w:tcPr>
            <w:tcW w:w="1920" w:type="dxa"/>
            <w:tcBorders>
              <w:top w:val="nil"/>
              <w:left w:val="nil"/>
              <w:bottom w:val="single" w:sz="4" w:space="0" w:color="auto"/>
              <w:right w:val="single" w:sz="4" w:space="0" w:color="auto"/>
            </w:tcBorders>
            <w:shd w:val="clear" w:color="auto" w:fill="00FFFF"/>
            <w:noWrap/>
            <w:vAlign w:val="bottom"/>
            <w:hideMark/>
          </w:tcPr>
          <w:p w14:paraId="61FC89D6"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Pool level</w:t>
            </w:r>
          </w:p>
        </w:tc>
        <w:tc>
          <w:tcPr>
            <w:tcW w:w="1120" w:type="dxa"/>
            <w:tcBorders>
              <w:top w:val="nil"/>
              <w:left w:val="nil"/>
              <w:bottom w:val="single" w:sz="4" w:space="0" w:color="auto"/>
              <w:right w:val="single" w:sz="4" w:space="0" w:color="auto"/>
            </w:tcBorders>
            <w:shd w:val="clear" w:color="auto" w:fill="00FFFF"/>
            <w:noWrap/>
            <w:vAlign w:val="bottom"/>
            <w:hideMark/>
          </w:tcPr>
          <w:p w14:paraId="3040C4AA"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0.8368</w:t>
            </w:r>
          </w:p>
        </w:tc>
      </w:tr>
      <w:tr w:rsidR="005644B3" w:rsidRPr="001923A7" w14:paraId="3040E5E0"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14DF0D90"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 xml:space="preserve">Duma </w:t>
            </w:r>
            <w:proofErr w:type="spellStart"/>
            <w:r w:rsidRPr="001923A7">
              <w:rPr>
                <w:rFonts w:cs="Calibri"/>
                <w:i/>
                <w:iCs/>
                <w:kern w:val="0"/>
                <w:sz w:val="19"/>
                <w:szCs w:val="19"/>
                <w:lang w:eastAsia="en-AU"/>
              </w:rPr>
              <w:t>florulenta</w:t>
            </w:r>
            <w:proofErr w:type="spellEnd"/>
          </w:p>
        </w:tc>
        <w:tc>
          <w:tcPr>
            <w:tcW w:w="1920" w:type="dxa"/>
            <w:tcBorders>
              <w:top w:val="nil"/>
              <w:left w:val="nil"/>
              <w:bottom w:val="single" w:sz="4" w:space="0" w:color="auto"/>
              <w:right w:val="single" w:sz="4" w:space="0" w:color="auto"/>
            </w:tcBorders>
            <w:shd w:val="clear" w:color="auto" w:fill="auto"/>
            <w:noWrap/>
            <w:vAlign w:val="bottom"/>
            <w:hideMark/>
          </w:tcPr>
          <w:p w14:paraId="4C180CDA"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Inundated</w:t>
            </w:r>
          </w:p>
        </w:tc>
        <w:tc>
          <w:tcPr>
            <w:tcW w:w="1120" w:type="dxa"/>
            <w:tcBorders>
              <w:top w:val="nil"/>
              <w:left w:val="nil"/>
              <w:bottom w:val="single" w:sz="4" w:space="0" w:color="auto"/>
              <w:right w:val="single" w:sz="4" w:space="0" w:color="auto"/>
            </w:tcBorders>
            <w:shd w:val="clear" w:color="auto" w:fill="auto"/>
            <w:noWrap/>
            <w:vAlign w:val="bottom"/>
            <w:hideMark/>
          </w:tcPr>
          <w:p w14:paraId="51B1E23C"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0.8222</w:t>
            </w:r>
          </w:p>
        </w:tc>
      </w:tr>
      <w:tr w:rsidR="005644B3" w:rsidRPr="001923A7" w14:paraId="63CE14D7"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44BF8031" w14:textId="77777777" w:rsidR="005644B3" w:rsidRPr="001923A7" w:rsidRDefault="005644B3" w:rsidP="00B31C32">
            <w:pPr>
              <w:spacing w:before="0" w:after="0" w:line="240" w:lineRule="auto"/>
              <w:jc w:val="left"/>
              <w:rPr>
                <w:rFonts w:cs="Calibri"/>
                <w:i/>
                <w:iCs/>
                <w:kern w:val="0"/>
                <w:sz w:val="19"/>
                <w:szCs w:val="19"/>
                <w:lang w:eastAsia="en-AU"/>
              </w:rPr>
            </w:pPr>
            <w:proofErr w:type="spellStart"/>
            <w:r w:rsidRPr="001923A7">
              <w:rPr>
                <w:rFonts w:cs="Calibri"/>
                <w:i/>
                <w:iCs/>
                <w:kern w:val="0"/>
                <w:sz w:val="19"/>
                <w:szCs w:val="19"/>
                <w:lang w:eastAsia="en-AU"/>
              </w:rPr>
              <w:t>Einadia</w:t>
            </w:r>
            <w:proofErr w:type="spellEnd"/>
            <w:r w:rsidRPr="001923A7">
              <w:rPr>
                <w:rFonts w:cs="Calibri"/>
                <w:i/>
                <w:iCs/>
                <w:kern w:val="0"/>
                <w:sz w:val="19"/>
                <w:szCs w:val="19"/>
                <w:lang w:eastAsia="en-AU"/>
              </w:rPr>
              <w:t xml:space="preserve"> nutans</w:t>
            </w:r>
          </w:p>
        </w:tc>
        <w:tc>
          <w:tcPr>
            <w:tcW w:w="1920" w:type="dxa"/>
            <w:tcBorders>
              <w:top w:val="nil"/>
              <w:left w:val="nil"/>
              <w:bottom w:val="single" w:sz="4" w:space="0" w:color="auto"/>
              <w:right w:val="single" w:sz="4" w:space="0" w:color="auto"/>
            </w:tcBorders>
            <w:shd w:val="clear" w:color="auto" w:fill="auto"/>
            <w:noWrap/>
            <w:vAlign w:val="bottom"/>
            <w:hideMark/>
          </w:tcPr>
          <w:p w14:paraId="01A5AC06"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Inundation extent</w:t>
            </w:r>
          </w:p>
        </w:tc>
        <w:tc>
          <w:tcPr>
            <w:tcW w:w="1120" w:type="dxa"/>
            <w:tcBorders>
              <w:top w:val="nil"/>
              <w:left w:val="nil"/>
              <w:bottom w:val="single" w:sz="4" w:space="0" w:color="auto"/>
              <w:right w:val="single" w:sz="4" w:space="0" w:color="auto"/>
            </w:tcBorders>
            <w:shd w:val="clear" w:color="auto" w:fill="auto"/>
            <w:noWrap/>
            <w:vAlign w:val="bottom"/>
            <w:hideMark/>
          </w:tcPr>
          <w:p w14:paraId="4BC51BF3"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0.8868</w:t>
            </w:r>
          </w:p>
        </w:tc>
      </w:tr>
      <w:tr w:rsidR="005644B3" w:rsidRPr="001923A7" w14:paraId="59152492"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000000" w:fill="FFFF00"/>
            <w:noWrap/>
            <w:vAlign w:val="bottom"/>
            <w:hideMark/>
          </w:tcPr>
          <w:p w14:paraId="7402600F"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Eleocharis acuta</w:t>
            </w:r>
          </w:p>
        </w:tc>
        <w:tc>
          <w:tcPr>
            <w:tcW w:w="1920" w:type="dxa"/>
            <w:tcBorders>
              <w:top w:val="nil"/>
              <w:left w:val="nil"/>
              <w:bottom w:val="single" w:sz="4" w:space="0" w:color="auto"/>
              <w:right w:val="single" w:sz="4" w:space="0" w:color="auto"/>
            </w:tcBorders>
            <w:shd w:val="clear" w:color="000000" w:fill="FFFF00"/>
            <w:noWrap/>
            <w:vAlign w:val="bottom"/>
            <w:hideMark/>
          </w:tcPr>
          <w:p w14:paraId="1A2C0521"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Pool level</w:t>
            </w:r>
          </w:p>
        </w:tc>
        <w:tc>
          <w:tcPr>
            <w:tcW w:w="1120" w:type="dxa"/>
            <w:tcBorders>
              <w:top w:val="nil"/>
              <w:left w:val="nil"/>
              <w:bottom w:val="single" w:sz="4" w:space="0" w:color="auto"/>
              <w:right w:val="single" w:sz="4" w:space="0" w:color="auto"/>
            </w:tcBorders>
            <w:shd w:val="clear" w:color="000000" w:fill="FFFF00"/>
            <w:noWrap/>
            <w:vAlign w:val="bottom"/>
            <w:hideMark/>
          </w:tcPr>
          <w:p w14:paraId="25CD8933"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0.001</w:t>
            </w:r>
          </w:p>
        </w:tc>
      </w:tr>
      <w:tr w:rsidR="005644B3" w:rsidRPr="001923A7" w14:paraId="2F515BC9"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1B28D3FA"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 xml:space="preserve">Erigeron </w:t>
            </w:r>
            <w:proofErr w:type="spellStart"/>
            <w:r w:rsidRPr="001923A7">
              <w:rPr>
                <w:rFonts w:cs="Calibri"/>
                <w:i/>
                <w:iCs/>
                <w:kern w:val="0"/>
                <w:sz w:val="19"/>
                <w:szCs w:val="19"/>
                <w:lang w:eastAsia="en-AU"/>
              </w:rPr>
              <w:t>bonariensis</w:t>
            </w:r>
            <w:proofErr w:type="spellEnd"/>
            <w:r w:rsidRPr="001923A7">
              <w:rPr>
                <w:rFonts w:cs="Calibri"/>
                <w:i/>
                <w:iCs/>
                <w:kern w:val="0"/>
                <w:sz w:val="19"/>
                <w:szCs w:val="19"/>
                <w:lang w:eastAsia="en-AU"/>
              </w:rPr>
              <w:t>*</w:t>
            </w:r>
          </w:p>
        </w:tc>
        <w:tc>
          <w:tcPr>
            <w:tcW w:w="1920" w:type="dxa"/>
            <w:tcBorders>
              <w:top w:val="nil"/>
              <w:left w:val="nil"/>
              <w:bottom w:val="single" w:sz="4" w:space="0" w:color="auto"/>
              <w:right w:val="single" w:sz="4" w:space="0" w:color="auto"/>
            </w:tcBorders>
            <w:shd w:val="clear" w:color="auto" w:fill="auto"/>
            <w:noWrap/>
            <w:vAlign w:val="bottom"/>
            <w:hideMark/>
          </w:tcPr>
          <w:p w14:paraId="0858D69F"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Inundated</w:t>
            </w:r>
          </w:p>
        </w:tc>
        <w:tc>
          <w:tcPr>
            <w:tcW w:w="1120" w:type="dxa"/>
            <w:tcBorders>
              <w:top w:val="nil"/>
              <w:left w:val="nil"/>
              <w:bottom w:val="single" w:sz="4" w:space="0" w:color="auto"/>
              <w:right w:val="single" w:sz="4" w:space="0" w:color="auto"/>
            </w:tcBorders>
            <w:shd w:val="clear" w:color="auto" w:fill="auto"/>
            <w:noWrap/>
            <w:vAlign w:val="bottom"/>
            <w:hideMark/>
          </w:tcPr>
          <w:p w14:paraId="532E3919"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1</w:t>
            </w:r>
          </w:p>
        </w:tc>
      </w:tr>
      <w:tr w:rsidR="005644B3" w:rsidRPr="001923A7" w14:paraId="15CA83B6"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5F3AF07B"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Eucalyptus camaldulensis</w:t>
            </w:r>
          </w:p>
        </w:tc>
        <w:tc>
          <w:tcPr>
            <w:tcW w:w="1920" w:type="dxa"/>
            <w:tcBorders>
              <w:top w:val="nil"/>
              <w:left w:val="nil"/>
              <w:bottom w:val="single" w:sz="4" w:space="0" w:color="auto"/>
              <w:right w:val="single" w:sz="4" w:space="0" w:color="auto"/>
            </w:tcBorders>
            <w:shd w:val="clear" w:color="auto" w:fill="auto"/>
            <w:noWrap/>
            <w:vAlign w:val="bottom"/>
            <w:hideMark/>
          </w:tcPr>
          <w:p w14:paraId="73287CF1"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Not inundated</w:t>
            </w:r>
          </w:p>
        </w:tc>
        <w:tc>
          <w:tcPr>
            <w:tcW w:w="1120" w:type="dxa"/>
            <w:tcBorders>
              <w:top w:val="nil"/>
              <w:left w:val="nil"/>
              <w:bottom w:val="single" w:sz="4" w:space="0" w:color="auto"/>
              <w:right w:val="single" w:sz="4" w:space="0" w:color="auto"/>
            </w:tcBorders>
            <w:shd w:val="clear" w:color="auto" w:fill="auto"/>
            <w:noWrap/>
            <w:vAlign w:val="bottom"/>
            <w:hideMark/>
          </w:tcPr>
          <w:p w14:paraId="734E16B8"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0.6807</w:t>
            </w:r>
          </w:p>
        </w:tc>
      </w:tr>
      <w:tr w:rsidR="005644B3" w:rsidRPr="001923A7" w14:paraId="1A071E05"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152BA221"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 xml:space="preserve">Euphorbia </w:t>
            </w:r>
            <w:proofErr w:type="spellStart"/>
            <w:r w:rsidRPr="001923A7">
              <w:rPr>
                <w:rFonts w:cs="Calibri"/>
                <w:i/>
                <w:iCs/>
                <w:kern w:val="0"/>
                <w:sz w:val="19"/>
                <w:szCs w:val="19"/>
                <w:lang w:eastAsia="en-AU"/>
              </w:rPr>
              <w:t>drummondii</w:t>
            </w:r>
            <w:proofErr w:type="spellEnd"/>
          </w:p>
        </w:tc>
        <w:tc>
          <w:tcPr>
            <w:tcW w:w="1920" w:type="dxa"/>
            <w:tcBorders>
              <w:top w:val="nil"/>
              <w:left w:val="nil"/>
              <w:bottom w:val="single" w:sz="4" w:space="0" w:color="auto"/>
              <w:right w:val="single" w:sz="4" w:space="0" w:color="auto"/>
            </w:tcBorders>
            <w:shd w:val="clear" w:color="auto" w:fill="auto"/>
            <w:noWrap/>
            <w:vAlign w:val="bottom"/>
            <w:hideMark/>
          </w:tcPr>
          <w:p w14:paraId="45F78AA1"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Not inundated</w:t>
            </w:r>
          </w:p>
        </w:tc>
        <w:tc>
          <w:tcPr>
            <w:tcW w:w="1120" w:type="dxa"/>
            <w:tcBorders>
              <w:top w:val="nil"/>
              <w:left w:val="nil"/>
              <w:bottom w:val="single" w:sz="4" w:space="0" w:color="auto"/>
              <w:right w:val="single" w:sz="4" w:space="0" w:color="auto"/>
            </w:tcBorders>
            <w:shd w:val="clear" w:color="auto" w:fill="auto"/>
            <w:noWrap/>
            <w:vAlign w:val="bottom"/>
            <w:hideMark/>
          </w:tcPr>
          <w:p w14:paraId="448E16A2"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0.6029</w:t>
            </w:r>
          </w:p>
        </w:tc>
      </w:tr>
      <w:tr w:rsidR="005644B3" w:rsidRPr="001923A7" w14:paraId="487601E2"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1E175F24" w14:textId="77777777" w:rsidR="005644B3" w:rsidRPr="001923A7" w:rsidRDefault="005644B3" w:rsidP="00B31C32">
            <w:pPr>
              <w:spacing w:before="0" w:after="0" w:line="240" w:lineRule="auto"/>
              <w:jc w:val="left"/>
              <w:rPr>
                <w:rFonts w:cs="Calibri"/>
                <w:i/>
                <w:iCs/>
                <w:kern w:val="0"/>
                <w:sz w:val="19"/>
                <w:szCs w:val="19"/>
                <w:lang w:eastAsia="en-AU"/>
              </w:rPr>
            </w:pPr>
            <w:proofErr w:type="spellStart"/>
            <w:r w:rsidRPr="001923A7">
              <w:rPr>
                <w:rFonts w:cs="Calibri"/>
                <w:i/>
                <w:iCs/>
                <w:kern w:val="0"/>
                <w:sz w:val="19"/>
                <w:szCs w:val="19"/>
                <w:lang w:eastAsia="en-AU"/>
              </w:rPr>
              <w:t>Heliotropium</w:t>
            </w:r>
            <w:proofErr w:type="spellEnd"/>
            <w:r w:rsidRPr="001923A7">
              <w:rPr>
                <w:rFonts w:cs="Calibri"/>
                <w:i/>
                <w:iCs/>
                <w:kern w:val="0"/>
                <w:sz w:val="19"/>
                <w:szCs w:val="19"/>
                <w:lang w:eastAsia="en-AU"/>
              </w:rPr>
              <w:t xml:space="preserve"> </w:t>
            </w:r>
            <w:proofErr w:type="spellStart"/>
            <w:r w:rsidRPr="001923A7">
              <w:rPr>
                <w:rFonts w:cs="Calibri"/>
                <w:i/>
                <w:iCs/>
                <w:kern w:val="0"/>
                <w:sz w:val="19"/>
                <w:szCs w:val="19"/>
                <w:lang w:eastAsia="en-AU"/>
              </w:rPr>
              <w:t>curassavicum</w:t>
            </w:r>
            <w:proofErr w:type="spellEnd"/>
            <w:r w:rsidRPr="001923A7">
              <w:rPr>
                <w:rFonts w:cs="Calibri"/>
                <w:i/>
                <w:iCs/>
                <w:kern w:val="0"/>
                <w:sz w:val="19"/>
                <w:szCs w:val="19"/>
                <w:lang w:eastAsia="en-AU"/>
              </w:rPr>
              <w:t>*</w:t>
            </w:r>
          </w:p>
        </w:tc>
        <w:tc>
          <w:tcPr>
            <w:tcW w:w="1920" w:type="dxa"/>
            <w:tcBorders>
              <w:top w:val="nil"/>
              <w:left w:val="nil"/>
              <w:bottom w:val="single" w:sz="4" w:space="0" w:color="auto"/>
              <w:right w:val="single" w:sz="4" w:space="0" w:color="auto"/>
            </w:tcBorders>
            <w:shd w:val="clear" w:color="auto" w:fill="auto"/>
            <w:noWrap/>
            <w:vAlign w:val="bottom"/>
            <w:hideMark/>
          </w:tcPr>
          <w:p w14:paraId="01A999D6"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Inundation extent</w:t>
            </w:r>
          </w:p>
        </w:tc>
        <w:tc>
          <w:tcPr>
            <w:tcW w:w="1120" w:type="dxa"/>
            <w:tcBorders>
              <w:top w:val="nil"/>
              <w:left w:val="nil"/>
              <w:bottom w:val="single" w:sz="4" w:space="0" w:color="auto"/>
              <w:right w:val="single" w:sz="4" w:space="0" w:color="auto"/>
            </w:tcBorders>
            <w:shd w:val="clear" w:color="auto" w:fill="auto"/>
            <w:noWrap/>
            <w:vAlign w:val="bottom"/>
            <w:hideMark/>
          </w:tcPr>
          <w:p w14:paraId="627F4B3B"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0.4005</w:t>
            </w:r>
          </w:p>
        </w:tc>
      </w:tr>
      <w:tr w:rsidR="005644B3" w:rsidRPr="001923A7" w14:paraId="064E2475"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000000" w:fill="FFFF00"/>
            <w:noWrap/>
            <w:vAlign w:val="bottom"/>
            <w:hideMark/>
          </w:tcPr>
          <w:p w14:paraId="72330C2C"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 xml:space="preserve">Juncus </w:t>
            </w:r>
            <w:proofErr w:type="spellStart"/>
            <w:r w:rsidRPr="001923A7">
              <w:rPr>
                <w:rFonts w:cs="Calibri"/>
                <w:i/>
                <w:iCs/>
                <w:kern w:val="0"/>
                <w:sz w:val="19"/>
                <w:szCs w:val="19"/>
                <w:lang w:eastAsia="en-AU"/>
              </w:rPr>
              <w:t>usitatus</w:t>
            </w:r>
            <w:proofErr w:type="spellEnd"/>
          </w:p>
        </w:tc>
        <w:tc>
          <w:tcPr>
            <w:tcW w:w="1920" w:type="dxa"/>
            <w:tcBorders>
              <w:top w:val="nil"/>
              <w:left w:val="nil"/>
              <w:bottom w:val="single" w:sz="4" w:space="0" w:color="auto"/>
              <w:right w:val="single" w:sz="4" w:space="0" w:color="auto"/>
            </w:tcBorders>
            <w:shd w:val="clear" w:color="000000" w:fill="FFFF00"/>
            <w:noWrap/>
            <w:vAlign w:val="bottom"/>
            <w:hideMark/>
          </w:tcPr>
          <w:p w14:paraId="2B66E25B"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Pool level</w:t>
            </w:r>
          </w:p>
        </w:tc>
        <w:tc>
          <w:tcPr>
            <w:tcW w:w="1120" w:type="dxa"/>
            <w:tcBorders>
              <w:top w:val="nil"/>
              <w:left w:val="nil"/>
              <w:bottom w:val="single" w:sz="4" w:space="0" w:color="auto"/>
              <w:right w:val="single" w:sz="4" w:space="0" w:color="auto"/>
            </w:tcBorders>
            <w:shd w:val="clear" w:color="000000" w:fill="FFFF00"/>
            <w:noWrap/>
            <w:vAlign w:val="bottom"/>
            <w:hideMark/>
          </w:tcPr>
          <w:p w14:paraId="250685F7"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0.0076</w:t>
            </w:r>
          </w:p>
        </w:tc>
      </w:tr>
      <w:tr w:rsidR="005644B3" w:rsidRPr="001923A7" w14:paraId="07593EE6"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00FFFF"/>
            <w:noWrap/>
            <w:vAlign w:val="bottom"/>
            <w:hideMark/>
          </w:tcPr>
          <w:p w14:paraId="7ED95A2B" w14:textId="77777777" w:rsidR="005644B3" w:rsidRPr="001923A7" w:rsidRDefault="005644B3" w:rsidP="00B31C32">
            <w:pPr>
              <w:spacing w:before="0" w:after="0" w:line="240" w:lineRule="auto"/>
              <w:jc w:val="left"/>
              <w:rPr>
                <w:rFonts w:cs="Calibri"/>
                <w:i/>
                <w:iCs/>
                <w:kern w:val="0"/>
                <w:sz w:val="19"/>
                <w:szCs w:val="19"/>
                <w:lang w:eastAsia="en-AU"/>
              </w:rPr>
            </w:pPr>
            <w:proofErr w:type="spellStart"/>
            <w:r w:rsidRPr="001923A7">
              <w:rPr>
                <w:rFonts w:cs="Calibri"/>
                <w:i/>
                <w:iCs/>
                <w:kern w:val="0"/>
                <w:sz w:val="19"/>
                <w:szCs w:val="19"/>
                <w:lang w:eastAsia="en-AU"/>
              </w:rPr>
              <w:t>Lachnagrostis</w:t>
            </w:r>
            <w:proofErr w:type="spellEnd"/>
            <w:r w:rsidRPr="001923A7">
              <w:rPr>
                <w:rFonts w:cs="Calibri"/>
                <w:i/>
                <w:iCs/>
                <w:kern w:val="0"/>
                <w:sz w:val="19"/>
                <w:szCs w:val="19"/>
                <w:lang w:eastAsia="en-AU"/>
              </w:rPr>
              <w:t xml:space="preserve"> </w:t>
            </w:r>
            <w:proofErr w:type="spellStart"/>
            <w:r w:rsidRPr="001923A7">
              <w:rPr>
                <w:rFonts w:cs="Calibri"/>
                <w:i/>
                <w:iCs/>
                <w:kern w:val="0"/>
                <w:sz w:val="19"/>
                <w:szCs w:val="19"/>
                <w:lang w:eastAsia="en-AU"/>
              </w:rPr>
              <w:t>filiformis</w:t>
            </w:r>
            <w:proofErr w:type="spellEnd"/>
          </w:p>
        </w:tc>
        <w:tc>
          <w:tcPr>
            <w:tcW w:w="1920" w:type="dxa"/>
            <w:tcBorders>
              <w:top w:val="nil"/>
              <w:left w:val="nil"/>
              <w:bottom w:val="single" w:sz="4" w:space="0" w:color="auto"/>
              <w:right w:val="single" w:sz="4" w:space="0" w:color="auto"/>
            </w:tcBorders>
            <w:shd w:val="clear" w:color="auto" w:fill="00FFFF"/>
            <w:noWrap/>
            <w:vAlign w:val="bottom"/>
            <w:hideMark/>
          </w:tcPr>
          <w:p w14:paraId="73651044"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Pool level</w:t>
            </w:r>
          </w:p>
        </w:tc>
        <w:tc>
          <w:tcPr>
            <w:tcW w:w="1120" w:type="dxa"/>
            <w:tcBorders>
              <w:top w:val="nil"/>
              <w:left w:val="nil"/>
              <w:bottom w:val="single" w:sz="4" w:space="0" w:color="auto"/>
              <w:right w:val="single" w:sz="4" w:space="0" w:color="auto"/>
            </w:tcBorders>
            <w:shd w:val="clear" w:color="auto" w:fill="00FFFF"/>
            <w:noWrap/>
            <w:vAlign w:val="bottom"/>
            <w:hideMark/>
          </w:tcPr>
          <w:p w14:paraId="072DE93B"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0.4945</w:t>
            </w:r>
          </w:p>
        </w:tc>
      </w:tr>
      <w:tr w:rsidR="005644B3" w:rsidRPr="001923A7" w14:paraId="79B36CB7"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00FFFF"/>
            <w:noWrap/>
            <w:vAlign w:val="bottom"/>
            <w:hideMark/>
          </w:tcPr>
          <w:p w14:paraId="05CEB574" w14:textId="77777777" w:rsidR="005644B3" w:rsidRPr="001923A7" w:rsidRDefault="005644B3" w:rsidP="00B31C32">
            <w:pPr>
              <w:spacing w:before="0" w:after="0" w:line="240" w:lineRule="auto"/>
              <w:jc w:val="left"/>
              <w:rPr>
                <w:rFonts w:cs="Calibri"/>
                <w:i/>
                <w:iCs/>
                <w:kern w:val="0"/>
                <w:sz w:val="19"/>
                <w:szCs w:val="19"/>
                <w:lang w:eastAsia="en-AU"/>
              </w:rPr>
            </w:pPr>
            <w:proofErr w:type="spellStart"/>
            <w:r w:rsidRPr="001923A7">
              <w:rPr>
                <w:rFonts w:cs="Calibri"/>
                <w:i/>
                <w:iCs/>
                <w:kern w:val="0"/>
                <w:sz w:val="19"/>
                <w:szCs w:val="19"/>
                <w:lang w:eastAsia="en-AU"/>
              </w:rPr>
              <w:t>Limosella</w:t>
            </w:r>
            <w:proofErr w:type="spellEnd"/>
            <w:r w:rsidRPr="001923A7">
              <w:rPr>
                <w:rFonts w:cs="Calibri"/>
                <w:i/>
                <w:iCs/>
                <w:kern w:val="0"/>
                <w:sz w:val="19"/>
                <w:szCs w:val="19"/>
                <w:lang w:eastAsia="en-AU"/>
              </w:rPr>
              <w:t xml:space="preserve"> australis</w:t>
            </w:r>
          </w:p>
        </w:tc>
        <w:tc>
          <w:tcPr>
            <w:tcW w:w="1920" w:type="dxa"/>
            <w:tcBorders>
              <w:top w:val="nil"/>
              <w:left w:val="nil"/>
              <w:bottom w:val="single" w:sz="4" w:space="0" w:color="auto"/>
              <w:right w:val="single" w:sz="4" w:space="0" w:color="auto"/>
            </w:tcBorders>
            <w:shd w:val="clear" w:color="auto" w:fill="00FFFF"/>
            <w:noWrap/>
            <w:vAlign w:val="bottom"/>
            <w:hideMark/>
          </w:tcPr>
          <w:p w14:paraId="6613E9F2"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Pool level</w:t>
            </w:r>
          </w:p>
        </w:tc>
        <w:tc>
          <w:tcPr>
            <w:tcW w:w="1120" w:type="dxa"/>
            <w:tcBorders>
              <w:top w:val="nil"/>
              <w:left w:val="nil"/>
              <w:bottom w:val="single" w:sz="4" w:space="0" w:color="auto"/>
              <w:right w:val="single" w:sz="4" w:space="0" w:color="auto"/>
            </w:tcBorders>
            <w:shd w:val="clear" w:color="auto" w:fill="00FFFF"/>
            <w:noWrap/>
            <w:vAlign w:val="bottom"/>
            <w:hideMark/>
          </w:tcPr>
          <w:p w14:paraId="2502DBB5"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0.3707</w:t>
            </w:r>
          </w:p>
        </w:tc>
      </w:tr>
      <w:tr w:rsidR="005644B3" w:rsidRPr="001923A7" w14:paraId="11B2B92E"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00FFFF"/>
            <w:noWrap/>
            <w:vAlign w:val="bottom"/>
            <w:hideMark/>
          </w:tcPr>
          <w:p w14:paraId="735EB0FF" w14:textId="77777777" w:rsidR="005644B3" w:rsidRPr="001923A7" w:rsidRDefault="005644B3" w:rsidP="00B31C32">
            <w:pPr>
              <w:spacing w:before="0" w:after="0" w:line="240" w:lineRule="auto"/>
              <w:jc w:val="left"/>
              <w:rPr>
                <w:rFonts w:cs="Calibri"/>
                <w:i/>
                <w:iCs/>
                <w:kern w:val="0"/>
                <w:sz w:val="19"/>
                <w:szCs w:val="19"/>
                <w:lang w:eastAsia="en-AU"/>
              </w:rPr>
            </w:pPr>
            <w:proofErr w:type="spellStart"/>
            <w:r w:rsidRPr="001923A7">
              <w:rPr>
                <w:rFonts w:cs="Calibri"/>
                <w:i/>
                <w:iCs/>
                <w:kern w:val="0"/>
                <w:sz w:val="19"/>
                <w:szCs w:val="19"/>
                <w:lang w:eastAsia="en-AU"/>
              </w:rPr>
              <w:t>Ludwigia</w:t>
            </w:r>
            <w:proofErr w:type="spellEnd"/>
            <w:r w:rsidRPr="001923A7">
              <w:rPr>
                <w:rFonts w:cs="Calibri"/>
                <w:i/>
                <w:iCs/>
                <w:kern w:val="0"/>
                <w:sz w:val="19"/>
                <w:szCs w:val="19"/>
                <w:lang w:eastAsia="en-AU"/>
              </w:rPr>
              <w:t xml:space="preserve"> </w:t>
            </w:r>
            <w:proofErr w:type="spellStart"/>
            <w:r w:rsidRPr="001923A7">
              <w:rPr>
                <w:rFonts w:cs="Calibri"/>
                <w:i/>
                <w:iCs/>
                <w:kern w:val="0"/>
                <w:sz w:val="19"/>
                <w:szCs w:val="19"/>
                <w:lang w:eastAsia="en-AU"/>
              </w:rPr>
              <w:t>peploides</w:t>
            </w:r>
            <w:proofErr w:type="spellEnd"/>
          </w:p>
        </w:tc>
        <w:tc>
          <w:tcPr>
            <w:tcW w:w="1920" w:type="dxa"/>
            <w:tcBorders>
              <w:top w:val="nil"/>
              <w:left w:val="nil"/>
              <w:bottom w:val="single" w:sz="4" w:space="0" w:color="auto"/>
              <w:right w:val="single" w:sz="4" w:space="0" w:color="auto"/>
            </w:tcBorders>
            <w:shd w:val="clear" w:color="auto" w:fill="00FFFF"/>
            <w:noWrap/>
            <w:vAlign w:val="bottom"/>
            <w:hideMark/>
          </w:tcPr>
          <w:p w14:paraId="12B9250B"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Pool level</w:t>
            </w:r>
          </w:p>
        </w:tc>
        <w:tc>
          <w:tcPr>
            <w:tcW w:w="1120" w:type="dxa"/>
            <w:tcBorders>
              <w:top w:val="nil"/>
              <w:left w:val="nil"/>
              <w:bottom w:val="single" w:sz="4" w:space="0" w:color="auto"/>
              <w:right w:val="single" w:sz="4" w:space="0" w:color="auto"/>
            </w:tcBorders>
            <w:shd w:val="clear" w:color="auto" w:fill="00FFFF"/>
            <w:noWrap/>
            <w:vAlign w:val="bottom"/>
            <w:hideMark/>
          </w:tcPr>
          <w:p w14:paraId="63CEDAF4"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0.3379</w:t>
            </w:r>
          </w:p>
        </w:tc>
      </w:tr>
      <w:tr w:rsidR="005644B3" w:rsidRPr="001923A7" w14:paraId="2F9DC271"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FFFF00"/>
            <w:noWrap/>
            <w:vAlign w:val="bottom"/>
            <w:hideMark/>
          </w:tcPr>
          <w:p w14:paraId="1076DAD4" w14:textId="77777777" w:rsidR="005644B3" w:rsidRPr="001923A7" w:rsidRDefault="005644B3" w:rsidP="00B31C32">
            <w:pPr>
              <w:spacing w:before="0" w:after="0" w:line="240" w:lineRule="auto"/>
              <w:jc w:val="left"/>
              <w:rPr>
                <w:rFonts w:cs="Calibri"/>
                <w:i/>
                <w:iCs/>
                <w:kern w:val="0"/>
                <w:sz w:val="19"/>
                <w:szCs w:val="19"/>
                <w:lang w:eastAsia="en-AU"/>
              </w:rPr>
            </w:pPr>
            <w:proofErr w:type="spellStart"/>
            <w:r w:rsidRPr="001923A7">
              <w:rPr>
                <w:rFonts w:cs="Calibri"/>
                <w:i/>
                <w:iCs/>
                <w:kern w:val="0"/>
                <w:sz w:val="19"/>
                <w:szCs w:val="19"/>
                <w:lang w:eastAsia="en-AU"/>
              </w:rPr>
              <w:t>Lythrum</w:t>
            </w:r>
            <w:proofErr w:type="spellEnd"/>
            <w:r w:rsidRPr="001923A7">
              <w:rPr>
                <w:rFonts w:cs="Calibri"/>
                <w:i/>
                <w:iCs/>
                <w:kern w:val="0"/>
                <w:sz w:val="19"/>
                <w:szCs w:val="19"/>
                <w:lang w:eastAsia="en-AU"/>
              </w:rPr>
              <w:t xml:space="preserve"> </w:t>
            </w:r>
            <w:proofErr w:type="spellStart"/>
            <w:r w:rsidRPr="001923A7">
              <w:rPr>
                <w:rFonts w:cs="Calibri"/>
                <w:i/>
                <w:iCs/>
                <w:kern w:val="0"/>
                <w:sz w:val="19"/>
                <w:szCs w:val="19"/>
                <w:lang w:eastAsia="en-AU"/>
              </w:rPr>
              <w:t>hyssopifolia</w:t>
            </w:r>
            <w:proofErr w:type="spellEnd"/>
          </w:p>
        </w:tc>
        <w:tc>
          <w:tcPr>
            <w:tcW w:w="1920" w:type="dxa"/>
            <w:tcBorders>
              <w:top w:val="nil"/>
              <w:left w:val="nil"/>
              <w:bottom w:val="single" w:sz="4" w:space="0" w:color="auto"/>
              <w:right w:val="single" w:sz="4" w:space="0" w:color="auto"/>
            </w:tcBorders>
            <w:shd w:val="clear" w:color="auto" w:fill="FFFF00"/>
            <w:noWrap/>
            <w:vAlign w:val="bottom"/>
            <w:hideMark/>
          </w:tcPr>
          <w:p w14:paraId="3AB5A493"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Pool level</w:t>
            </w:r>
          </w:p>
        </w:tc>
        <w:tc>
          <w:tcPr>
            <w:tcW w:w="1120" w:type="dxa"/>
            <w:tcBorders>
              <w:top w:val="nil"/>
              <w:left w:val="nil"/>
              <w:bottom w:val="single" w:sz="4" w:space="0" w:color="auto"/>
              <w:right w:val="single" w:sz="4" w:space="0" w:color="auto"/>
            </w:tcBorders>
            <w:shd w:val="clear" w:color="auto" w:fill="FFFF00"/>
            <w:noWrap/>
            <w:vAlign w:val="bottom"/>
            <w:hideMark/>
          </w:tcPr>
          <w:p w14:paraId="65775FA9"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0.0416</w:t>
            </w:r>
          </w:p>
        </w:tc>
      </w:tr>
      <w:tr w:rsidR="005644B3" w:rsidRPr="001923A7" w14:paraId="0225C26D"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5239400B" w14:textId="77777777" w:rsidR="005644B3" w:rsidRPr="001923A7" w:rsidRDefault="005644B3" w:rsidP="00B31C32">
            <w:pPr>
              <w:spacing w:before="0" w:after="0" w:line="240" w:lineRule="auto"/>
              <w:jc w:val="left"/>
              <w:rPr>
                <w:rFonts w:cs="Calibri"/>
                <w:i/>
                <w:iCs/>
                <w:kern w:val="0"/>
                <w:sz w:val="19"/>
                <w:szCs w:val="19"/>
                <w:lang w:eastAsia="en-AU"/>
              </w:rPr>
            </w:pPr>
            <w:proofErr w:type="spellStart"/>
            <w:r w:rsidRPr="001923A7">
              <w:rPr>
                <w:rFonts w:cs="Calibri"/>
                <w:i/>
                <w:iCs/>
                <w:kern w:val="0"/>
                <w:sz w:val="19"/>
                <w:szCs w:val="19"/>
                <w:lang w:eastAsia="en-AU"/>
              </w:rPr>
              <w:t>Maireana</w:t>
            </w:r>
            <w:proofErr w:type="spellEnd"/>
          </w:p>
        </w:tc>
        <w:tc>
          <w:tcPr>
            <w:tcW w:w="1920" w:type="dxa"/>
            <w:tcBorders>
              <w:top w:val="nil"/>
              <w:left w:val="nil"/>
              <w:bottom w:val="single" w:sz="4" w:space="0" w:color="auto"/>
              <w:right w:val="single" w:sz="4" w:space="0" w:color="auto"/>
            </w:tcBorders>
            <w:shd w:val="clear" w:color="auto" w:fill="auto"/>
            <w:noWrap/>
            <w:vAlign w:val="bottom"/>
            <w:hideMark/>
          </w:tcPr>
          <w:p w14:paraId="795ABB69"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Inundated</w:t>
            </w:r>
          </w:p>
        </w:tc>
        <w:tc>
          <w:tcPr>
            <w:tcW w:w="1120" w:type="dxa"/>
            <w:tcBorders>
              <w:top w:val="nil"/>
              <w:left w:val="nil"/>
              <w:bottom w:val="single" w:sz="4" w:space="0" w:color="auto"/>
              <w:right w:val="single" w:sz="4" w:space="0" w:color="auto"/>
            </w:tcBorders>
            <w:shd w:val="clear" w:color="auto" w:fill="auto"/>
            <w:noWrap/>
            <w:vAlign w:val="bottom"/>
            <w:hideMark/>
          </w:tcPr>
          <w:p w14:paraId="28D4AE0C"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1</w:t>
            </w:r>
          </w:p>
        </w:tc>
      </w:tr>
      <w:tr w:rsidR="005644B3" w:rsidRPr="001923A7" w14:paraId="2006AAB3"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7DA08EAF"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Medicago*</w:t>
            </w:r>
          </w:p>
        </w:tc>
        <w:tc>
          <w:tcPr>
            <w:tcW w:w="1920" w:type="dxa"/>
            <w:tcBorders>
              <w:top w:val="nil"/>
              <w:left w:val="nil"/>
              <w:bottom w:val="single" w:sz="4" w:space="0" w:color="auto"/>
              <w:right w:val="single" w:sz="4" w:space="0" w:color="auto"/>
            </w:tcBorders>
            <w:shd w:val="clear" w:color="auto" w:fill="auto"/>
            <w:noWrap/>
            <w:vAlign w:val="bottom"/>
            <w:hideMark/>
          </w:tcPr>
          <w:p w14:paraId="138ECD89"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Inundated</w:t>
            </w:r>
          </w:p>
        </w:tc>
        <w:tc>
          <w:tcPr>
            <w:tcW w:w="1120" w:type="dxa"/>
            <w:tcBorders>
              <w:top w:val="nil"/>
              <w:left w:val="nil"/>
              <w:bottom w:val="single" w:sz="4" w:space="0" w:color="auto"/>
              <w:right w:val="single" w:sz="4" w:space="0" w:color="auto"/>
            </w:tcBorders>
            <w:shd w:val="clear" w:color="auto" w:fill="auto"/>
            <w:noWrap/>
            <w:vAlign w:val="bottom"/>
            <w:hideMark/>
          </w:tcPr>
          <w:p w14:paraId="686FB1D8"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1</w:t>
            </w:r>
          </w:p>
        </w:tc>
      </w:tr>
      <w:tr w:rsidR="005644B3" w:rsidRPr="001923A7" w14:paraId="0A2DBA54"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3ACF58D7"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Melilotus albus*</w:t>
            </w:r>
          </w:p>
        </w:tc>
        <w:tc>
          <w:tcPr>
            <w:tcW w:w="1920" w:type="dxa"/>
            <w:tcBorders>
              <w:top w:val="nil"/>
              <w:left w:val="nil"/>
              <w:bottom w:val="single" w:sz="4" w:space="0" w:color="auto"/>
              <w:right w:val="single" w:sz="4" w:space="0" w:color="auto"/>
            </w:tcBorders>
            <w:shd w:val="clear" w:color="auto" w:fill="auto"/>
            <w:noWrap/>
            <w:vAlign w:val="bottom"/>
            <w:hideMark/>
          </w:tcPr>
          <w:p w14:paraId="3F8FF258"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Not inundated</w:t>
            </w:r>
          </w:p>
        </w:tc>
        <w:tc>
          <w:tcPr>
            <w:tcW w:w="1120" w:type="dxa"/>
            <w:tcBorders>
              <w:top w:val="nil"/>
              <w:left w:val="nil"/>
              <w:bottom w:val="single" w:sz="4" w:space="0" w:color="auto"/>
              <w:right w:val="single" w:sz="4" w:space="0" w:color="auto"/>
            </w:tcBorders>
            <w:shd w:val="clear" w:color="auto" w:fill="auto"/>
            <w:noWrap/>
            <w:vAlign w:val="bottom"/>
            <w:hideMark/>
          </w:tcPr>
          <w:p w14:paraId="1050E354"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0.6575</w:t>
            </w:r>
          </w:p>
        </w:tc>
      </w:tr>
      <w:tr w:rsidR="005644B3" w:rsidRPr="001923A7" w14:paraId="792A3039"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1751CD75"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Melilotus indicus*</w:t>
            </w:r>
          </w:p>
        </w:tc>
        <w:tc>
          <w:tcPr>
            <w:tcW w:w="1920" w:type="dxa"/>
            <w:tcBorders>
              <w:top w:val="nil"/>
              <w:left w:val="nil"/>
              <w:bottom w:val="single" w:sz="4" w:space="0" w:color="auto"/>
              <w:right w:val="single" w:sz="4" w:space="0" w:color="auto"/>
            </w:tcBorders>
            <w:shd w:val="clear" w:color="auto" w:fill="auto"/>
            <w:noWrap/>
            <w:vAlign w:val="bottom"/>
            <w:hideMark/>
          </w:tcPr>
          <w:p w14:paraId="3843CA09"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Inundation extent</w:t>
            </w:r>
          </w:p>
        </w:tc>
        <w:tc>
          <w:tcPr>
            <w:tcW w:w="1120" w:type="dxa"/>
            <w:tcBorders>
              <w:top w:val="nil"/>
              <w:left w:val="nil"/>
              <w:bottom w:val="single" w:sz="4" w:space="0" w:color="auto"/>
              <w:right w:val="single" w:sz="4" w:space="0" w:color="auto"/>
            </w:tcBorders>
            <w:shd w:val="clear" w:color="auto" w:fill="auto"/>
            <w:noWrap/>
            <w:vAlign w:val="bottom"/>
            <w:hideMark/>
          </w:tcPr>
          <w:p w14:paraId="1BAA8E84"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0.7459</w:t>
            </w:r>
          </w:p>
        </w:tc>
      </w:tr>
      <w:tr w:rsidR="005644B3" w:rsidRPr="001923A7" w14:paraId="3FEFFA0D"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6288E57A"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 xml:space="preserve">Myoporum </w:t>
            </w:r>
            <w:proofErr w:type="spellStart"/>
            <w:r w:rsidRPr="001923A7">
              <w:rPr>
                <w:rFonts w:cs="Calibri"/>
                <w:i/>
                <w:iCs/>
                <w:kern w:val="0"/>
                <w:sz w:val="19"/>
                <w:szCs w:val="19"/>
                <w:lang w:eastAsia="en-AU"/>
              </w:rPr>
              <w:t>montanum</w:t>
            </w:r>
            <w:proofErr w:type="spellEnd"/>
          </w:p>
        </w:tc>
        <w:tc>
          <w:tcPr>
            <w:tcW w:w="1920" w:type="dxa"/>
            <w:tcBorders>
              <w:top w:val="nil"/>
              <w:left w:val="nil"/>
              <w:bottom w:val="single" w:sz="4" w:space="0" w:color="auto"/>
              <w:right w:val="single" w:sz="4" w:space="0" w:color="auto"/>
            </w:tcBorders>
            <w:shd w:val="clear" w:color="auto" w:fill="auto"/>
            <w:noWrap/>
            <w:vAlign w:val="bottom"/>
            <w:hideMark/>
          </w:tcPr>
          <w:p w14:paraId="38D87361"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Not inundated</w:t>
            </w:r>
          </w:p>
        </w:tc>
        <w:tc>
          <w:tcPr>
            <w:tcW w:w="1120" w:type="dxa"/>
            <w:tcBorders>
              <w:top w:val="nil"/>
              <w:left w:val="nil"/>
              <w:bottom w:val="single" w:sz="4" w:space="0" w:color="auto"/>
              <w:right w:val="single" w:sz="4" w:space="0" w:color="auto"/>
            </w:tcBorders>
            <w:shd w:val="clear" w:color="auto" w:fill="auto"/>
            <w:noWrap/>
            <w:vAlign w:val="bottom"/>
            <w:hideMark/>
          </w:tcPr>
          <w:p w14:paraId="62CF25F4"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0.6331</w:t>
            </w:r>
          </w:p>
        </w:tc>
      </w:tr>
      <w:tr w:rsidR="005644B3" w:rsidRPr="001923A7" w14:paraId="19AF198A"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000000" w:fill="FFFF00"/>
            <w:noWrap/>
            <w:vAlign w:val="bottom"/>
            <w:hideMark/>
          </w:tcPr>
          <w:p w14:paraId="74589A96"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Paspalum distichum</w:t>
            </w:r>
          </w:p>
        </w:tc>
        <w:tc>
          <w:tcPr>
            <w:tcW w:w="1920" w:type="dxa"/>
            <w:tcBorders>
              <w:top w:val="nil"/>
              <w:left w:val="nil"/>
              <w:bottom w:val="single" w:sz="4" w:space="0" w:color="auto"/>
              <w:right w:val="single" w:sz="4" w:space="0" w:color="auto"/>
            </w:tcBorders>
            <w:shd w:val="clear" w:color="000000" w:fill="FFFF00"/>
            <w:noWrap/>
            <w:vAlign w:val="bottom"/>
            <w:hideMark/>
          </w:tcPr>
          <w:p w14:paraId="062F72D8"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Pool level</w:t>
            </w:r>
          </w:p>
        </w:tc>
        <w:tc>
          <w:tcPr>
            <w:tcW w:w="1120" w:type="dxa"/>
            <w:tcBorders>
              <w:top w:val="nil"/>
              <w:left w:val="nil"/>
              <w:bottom w:val="single" w:sz="4" w:space="0" w:color="auto"/>
              <w:right w:val="single" w:sz="4" w:space="0" w:color="auto"/>
            </w:tcBorders>
            <w:shd w:val="clear" w:color="000000" w:fill="FFFF00"/>
            <w:noWrap/>
            <w:vAlign w:val="bottom"/>
            <w:hideMark/>
          </w:tcPr>
          <w:p w14:paraId="65556FCE"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0.002</w:t>
            </w:r>
          </w:p>
        </w:tc>
      </w:tr>
      <w:tr w:rsidR="005644B3" w:rsidRPr="001923A7" w14:paraId="5450D4F1"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6D738597"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Phragmites australis</w:t>
            </w:r>
          </w:p>
        </w:tc>
        <w:tc>
          <w:tcPr>
            <w:tcW w:w="1920" w:type="dxa"/>
            <w:tcBorders>
              <w:top w:val="nil"/>
              <w:left w:val="nil"/>
              <w:bottom w:val="single" w:sz="4" w:space="0" w:color="auto"/>
              <w:right w:val="single" w:sz="4" w:space="0" w:color="auto"/>
            </w:tcBorders>
            <w:shd w:val="clear" w:color="auto" w:fill="auto"/>
            <w:noWrap/>
            <w:vAlign w:val="bottom"/>
            <w:hideMark/>
          </w:tcPr>
          <w:p w14:paraId="03D8F67C"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Pool level</w:t>
            </w:r>
          </w:p>
        </w:tc>
        <w:tc>
          <w:tcPr>
            <w:tcW w:w="1120" w:type="dxa"/>
            <w:tcBorders>
              <w:top w:val="nil"/>
              <w:left w:val="nil"/>
              <w:bottom w:val="single" w:sz="4" w:space="0" w:color="auto"/>
              <w:right w:val="single" w:sz="4" w:space="0" w:color="auto"/>
            </w:tcBorders>
            <w:shd w:val="clear" w:color="auto" w:fill="auto"/>
            <w:noWrap/>
            <w:vAlign w:val="bottom"/>
            <w:hideMark/>
          </w:tcPr>
          <w:p w14:paraId="357493A4"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0.4627</w:t>
            </w:r>
          </w:p>
        </w:tc>
      </w:tr>
      <w:tr w:rsidR="005644B3" w:rsidRPr="001923A7" w14:paraId="750EAAA2"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3C05FDA3"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Picris angustifolia</w:t>
            </w:r>
          </w:p>
        </w:tc>
        <w:tc>
          <w:tcPr>
            <w:tcW w:w="1920" w:type="dxa"/>
            <w:tcBorders>
              <w:top w:val="nil"/>
              <w:left w:val="nil"/>
              <w:bottom w:val="single" w:sz="4" w:space="0" w:color="auto"/>
              <w:right w:val="single" w:sz="4" w:space="0" w:color="auto"/>
            </w:tcBorders>
            <w:shd w:val="clear" w:color="auto" w:fill="auto"/>
            <w:noWrap/>
            <w:vAlign w:val="bottom"/>
            <w:hideMark/>
          </w:tcPr>
          <w:p w14:paraId="4CE0391F"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Inundation extent</w:t>
            </w:r>
          </w:p>
        </w:tc>
        <w:tc>
          <w:tcPr>
            <w:tcW w:w="1120" w:type="dxa"/>
            <w:tcBorders>
              <w:top w:val="nil"/>
              <w:left w:val="nil"/>
              <w:bottom w:val="single" w:sz="4" w:space="0" w:color="auto"/>
              <w:right w:val="single" w:sz="4" w:space="0" w:color="auto"/>
            </w:tcBorders>
            <w:shd w:val="clear" w:color="auto" w:fill="auto"/>
            <w:noWrap/>
            <w:vAlign w:val="bottom"/>
            <w:hideMark/>
          </w:tcPr>
          <w:p w14:paraId="50FC2B1C"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0.7179</w:t>
            </w:r>
          </w:p>
        </w:tc>
      </w:tr>
      <w:tr w:rsidR="005644B3" w:rsidRPr="001923A7" w14:paraId="0F1E5632"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4EB50468" w14:textId="77777777" w:rsidR="005644B3" w:rsidRPr="001923A7" w:rsidRDefault="005644B3" w:rsidP="00B31C32">
            <w:pPr>
              <w:spacing w:before="0" w:after="0" w:line="240" w:lineRule="auto"/>
              <w:jc w:val="left"/>
              <w:rPr>
                <w:rFonts w:cs="Calibri"/>
                <w:i/>
                <w:iCs/>
                <w:kern w:val="0"/>
                <w:sz w:val="19"/>
                <w:szCs w:val="19"/>
                <w:lang w:eastAsia="en-AU"/>
              </w:rPr>
            </w:pPr>
            <w:proofErr w:type="spellStart"/>
            <w:r w:rsidRPr="001923A7">
              <w:rPr>
                <w:rFonts w:cs="Calibri"/>
                <w:i/>
                <w:iCs/>
                <w:kern w:val="0"/>
                <w:sz w:val="19"/>
                <w:szCs w:val="19"/>
                <w:lang w:eastAsia="en-AU"/>
              </w:rPr>
              <w:t>Rhodanthe</w:t>
            </w:r>
            <w:proofErr w:type="spellEnd"/>
            <w:r w:rsidRPr="001923A7">
              <w:rPr>
                <w:rFonts w:cs="Calibri"/>
                <w:i/>
                <w:iCs/>
                <w:kern w:val="0"/>
                <w:sz w:val="19"/>
                <w:szCs w:val="19"/>
                <w:lang w:eastAsia="en-AU"/>
              </w:rPr>
              <w:t xml:space="preserve"> </w:t>
            </w:r>
            <w:proofErr w:type="spellStart"/>
            <w:r w:rsidRPr="001923A7">
              <w:rPr>
                <w:rFonts w:cs="Calibri"/>
                <w:i/>
                <w:iCs/>
                <w:kern w:val="0"/>
                <w:sz w:val="19"/>
                <w:szCs w:val="19"/>
                <w:lang w:eastAsia="en-AU"/>
              </w:rPr>
              <w:t>pygmaea</w:t>
            </w:r>
            <w:proofErr w:type="spellEnd"/>
          </w:p>
        </w:tc>
        <w:tc>
          <w:tcPr>
            <w:tcW w:w="1920" w:type="dxa"/>
            <w:tcBorders>
              <w:top w:val="nil"/>
              <w:left w:val="nil"/>
              <w:bottom w:val="single" w:sz="4" w:space="0" w:color="auto"/>
              <w:right w:val="single" w:sz="4" w:space="0" w:color="auto"/>
            </w:tcBorders>
            <w:shd w:val="clear" w:color="auto" w:fill="auto"/>
            <w:noWrap/>
            <w:vAlign w:val="bottom"/>
            <w:hideMark/>
          </w:tcPr>
          <w:p w14:paraId="1176F7DB"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Not inundated</w:t>
            </w:r>
          </w:p>
        </w:tc>
        <w:tc>
          <w:tcPr>
            <w:tcW w:w="1120" w:type="dxa"/>
            <w:tcBorders>
              <w:top w:val="nil"/>
              <w:left w:val="nil"/>
              <w:bottom w:val="single" w:sz="4" w:space="0" w:color="auto"/>
              <w:right w:val="single" w:sz="4" w:space="0" w:color="auto"/>
            </w:tcBorders>
            <w:shd w:val="clear" w:color="auto" w:fill="auto"/>
            <w:noWrap/>
            <w:vAlign w:val="bottom"/>
            <w:hideMark/>
          </w:tcPr>
          <w:p w14:paraId="1C0F3985"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0.3529</w:t>
            </w:r>
          </w:p>
        </w:tc>
      </w:tr>
      <w:tr w:rsidR="005644B3" w:rsidRPr="001923A7" w14:paraId="3EDE1C7A"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00FFFF"/>
            <w:noWrap/>
            <w:vAlign w:val="bottom"/>
            <w:hideMark/>
          </w:tcPr>
          <w:p w14:paraId="19DD7C75" w14:textId="77777777" w:rsidR="005644B3" w:rsidRPr="001923A7" w:rsidRDefault="005644B3" w:rsidP="00B31C32">
            <w:pPr>
              <w:spacing w:before="0" w:after="0" w:line="240" w:lineRule="auto"/>
              <w:jc w:val="left"/>
              <w:rPr>
                <w:rFonts w:cs="Calibri"/>
                <w:i/>
                <w:iCs/>
                <w:kern w:val="0"/>
                <w:sz w:val="19"/>
                <w:szCs w:val="19"/>
                <w:lang w:eastAsia="en-AU"/>
              </w:rPr>
            </w:pPr>
            <w:proofErr w:type="spellStart"/>
            <w:r w:rsidRPr="001923A7">
              <w:rPr>
                <w:rFonts w:cs="Calibri"/>
                <w:i/>
                <w:iCs/>
                <w:kern w:val="0"/>
                <w:sz w:val="19"/>
                <w:szCs w:val="19"/>
                <w:lang w:eastAsia="en-AU"/>
              </w:rPr>
              <w:t>Schoenoplectus</w:t>
            </w:r>
            <w:proofErr w:type="spellEnd"/>
            <w:r w:rsidRPr="001923A7">
              <w:rPr>
                <w:rFonts w:cs="Calibri"/>
                <w:i/>
                <w:iCs/>
                <w:kern w:val="0"/>
                <w:sz w:val="19"/>
                <w:szCs w:val="19"/>
                <w:lang w:eastAsia="en-AU"/>
              </w:rPr>
              <w:t xml:space="preserve"> </w:t>
            </w:r>
            <w:proofErr w:type="spellStart"/>
            <w:r w:rsidRPr="001923A7">
              <w:rPr>
                <w:rFonts w:cs="Calibri"/>
                <w:i/>
                <w:iCs/>
                <w:kern w:val="0"/>
                <w:sz w:val="19"/>
                <w:szCs w:val="19"/>
                <w:lang w:eastAsia="en-AU"/>
              </w:rPr>
              <w:t>pungens</w:t>
            </w:r>
            <w:proofErr w:type="spellEnd"/>
          </w:p>
        </w:tc>
        <w:tc>
          <w:tcPr>
            <w:tcW w:w="1920" w:type="dxa"/>
            <w:tcBorders>
              <w:top w:val="nil"/>
              <w:left w:val="nil"/>
              <w:bottom w:val="single" w:sz="4" w:space="0" w:color="auto"/>
              <w:right w:val="single" w:sz="4" w:space="0" w:color="auto"/>
            </w:tcBorders>
            <w:shd w:val="clear" w:color="auto" w:fill="00FFFF"/>
            <w:noWrap/>
            <w:vAlign w:val="bottom"/>
            <w:hideMark/>
          </w:tcPr>
          <w:p w14:paraId="60FC4222"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Pool level</w:t>
            </w:r>
          </w:p>
        </w:tc>
        <w:tc>
          <w:tcPr>
            <w:tcW w:w="1120" w:type="dxa"/>
            <w:tcBorders>
              <w:top w:val="nil"/>
              <w:left w:val="nil"/>
              <w:bottom w:val="single" w:sz="4" w:space="0" w:color="auto"/>
              <w:right w:val="single" w:sz="4" w:space="0" w:color="auto"/>
            </w:tcBorders>
            <w:shd w:val="clear" w:color="auto" w:fill="00FFFF"/>
            <w:noWrap/>
            <w:vAlign w:val="bottom"/>
            <w:hideMark/>
          </w:tcPr>
          <w:p w14:paraId="488203F1"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0.3317</w:t>
            </w:r>
          </w:p>
        </w:tc>
      </w:tr>
      <w:tr w:rsidR="005644B3" w:rsidRPr="001923A7" w14:paraId="080673B7"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69F74BAF" w14:textId="77777777" w:rsidR="005644B3" w:rsidRPr="001923A7" w:rsidRDefault="005644B3" w:rsidP="00B31C32">
            <w:pPr>
              <w:spacing w:before="0" w:after="0" w:line="240" w:lineRule="auto"/>
              <w:jc w:val="left"/>
              <w:rPr>
                <w:rFonts w:cs="Calibri"/>
                <w:i/>
                <w:iCs/>
                <w:kern w:val="0"/>
                <w:sz w:val="19"/>
                <w:szCs w:val="19"/>
                <w:lang w:eastAsia="en-AU"/>
              </w:rPr>
            </w:pPr>
            <w:proofErr w:type="spellStart"/>
            <w:r w:rsidRPr="001923A7">
              <w:rPr>
                <w:rFonts w:cs="Calibri"/>
                <w:i/>
                <w:iCs/>
                <w:kern w:val="0"/>
                <w:sz w:val="19"/>
                <w:szCs w:val="19"/>
                <w:lang w:eastAsia="en-AU"/>
              </w:rPr>
              <w:t>Schoenoplectus</w:t>
            </w:r>
            <w:proofErr w:type="spellEnd"/>
            <w:r w:rsidRPr="001923A7">
              <w:rPr>
                <w:rFonts w:cs="Calibri"/>
                <w:i/>
                <w:iCs/>
                <w:kern w:val="0"/>
                <w:sz w:val="19"/>
                <w:szCs w:val="19"/>
                <w:lang w:eastAsia="en-AU"/>
              </w:rPr>
              <w:t xml:space="preserve"> </w:t>
            </w:r>
            <w:proofErr w:type="spellStart"/>
            <w:r w:rsidRPr="001923A7">
              <w:rPr>
                <w:rFonts w:cs="Calibri"/>
                <w:i/>
                <w:iCs/>
                <w:kern w:val="0"/>
                <w:sz w:val="19"/>
                <w:szCs w:val="19"/>
                <w:lang w:eastAsia="en-AU"/>
              </w:rPr>
              <w:t>tabernaemontani</w:t>
            </w:r>
            <w:proofErr w:type="spellEnd"/>
          </w:p>
        </w:tc>
        <w:tc>
          <w:tcPr>
            <w:tcW w:w="1920" w:type="dxa"/>
            <w:tcBorders>
              <w:top w:val="nil"/>
              <w:left w:val="nil"/>
              <w:bottom w:val="single" w:sz="4" w:space="0" w:color="auto"/>
              <w:right w:val="single" w:sz="4" w:space="0" w:color="auto"/>
            </w:tcBorders>
            <w:shd w:val="clear" w:color="auto" w:fill="auto"/>
            <w:noWrap/>
            <w:vAlign w:val="bottom"/>
            <w:hideMark/>
          </w:tcPr>
          <w:p w14:paraId="4F1F70D5"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Inundated</w:t>
            </w:r>
          </w:p>
        </w:tc>
        <w:tc>
          <w:tcPr>
            <w:tcW w:w="1120" w:type="dxa"/>
            <w:tcBorders>
              <w:top w:val="nil"/>
              <w:left w:val="nil"/>
              <w:bottom w:val="single" w:sz="4" w:space="0" w:color="auto"/>
              <w:right w:val="single" w:sz="4" w:space="0" w:color="auto"/>
            </w:tcBorders>
            <w:shd w:val="clear" w:color="auto" w:fill="auto"/>
            <w:noWrap/>
            <w:vAlign w:val="bottom"/>
            <w:hideMark/>
          </w:tcPr>
          <w:p w14:paraId="043889AD"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1</w:t>
            </w:r>
          </w:p>
        </w:tc>
      </w:tr>
      <w:tr w:rsidR="005644B3" w:rsidRPr="001923A7" w14:paraId="54D5D32D"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7A91D9FE"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 xml:space="preserve">Senecio </w:t>
            </w:r>
            <w:proofErr w:type="spellStart"/>
            <w:r w:rsidRPr="001923A7">
              <w:rPr>
                <w:rFonts w:cs="Calibri"/>
                <w:i/>
                <w:iCs/>
                <w:kern w:val="0"/>
                <w:sz w:val="19"/>
                <w:szCs w:val="19"/>
                <w:lang w:eastAsia="en-AU"/>
              </w:rPr>
              <w:t>cunninghamii</w:t>
            </w:r>
            <w:proofErr w:type="spellEnd"/>
          </w:p>
        </w:tc>
        <w:tc>
          <w:tcPr>
            <w:tcW w:w="1920" w:type="dxa"/>
            <w:tcBorders>
              <w:top w:val="nil"/>
              <w:left w:val="nil"/>
              <w:bottom w:val="single" w:sz="4" w:space="0" w:color="auto"/>
              <w:right w:val="single" w:sz="4" w:space="0" w:color="auto"/>
            </w:tcBorders>
            <w:shd w:val="clear" w:color="auto" w:fill="auto"/>
            <w:noWrap/>
            <w:vAlign w:val="bottom"/>
            <w:hideMark/>
          </w:tcPr>
          <w:p w14:paraId="4864CD0D"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Inundation extent</w:t>
            </w:r>
          </w:p>
        </w:tc>
        <w:tc>
          <w:tcPr>
            <w:tcW w:w="1120" w:type="dxa"/>
            <w:tcBorders>
              <w:top w:val="nil"/>
              <w:left w:val="nil"/>
              <w:bottom w:val="single" w:sz="4" w:space="0" w:color="auto"/>
              <w:right w:val="single" w:sz="4" w:space="0" w:color="auto"/>
            </w:tcBorders>
            <w:shd w:val="clear" w:color="auto" w:fill="auto"/>
            <w:noWrap/>
            <w:vAlign w:val="bottom"/>
            <w:hideMark/>
          </w:tcPr>
          <w:p w14:paraId="5E1B353A"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0.1756</w:t>
            </w:r>
          </w:p>
        </w:tc>
      </w:tr>
      <w:tr w:rsidR="005644B3" w:rsidRPr="001923A7" w14:paraId="347C21B7"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00FFFF"/>
            <w:noWrap/>
            <w:vAlign w:val="bottom"/>
            <w:hideMark/>
          </w:tcPr>
          <w:p w14:paraId="2A134EC6"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 xml:space="preserve">Senecio </w:t>
            </w:r>
            <w:proofErr w:type="spellStart"/>
            <w:r w:rsidRPr="001923A7">
              <w:rPr>
                <w:rFonts w:cs="Calibri"/>
                <w:i/>
                <w:iCs/>
                <w:kern w:val="0"/>
                <w:sz w:val="19"/>
                <w:szCs w:val="19"/>
                <w:lang w:eastAsia="en-AU"/>
              </w:rPr>
              <w:t>runcinifolius</w:t>
            </w:r>
            <w:proofErr w:type="spellEnd"/>
          </w:p>
        </w:tc>
        <w:tc>
          <w:tcPr>
            <w:tcW w:w="1920" w:type="dxa"/>
            <w:tcBorders>
              <w:top w:val="nil"/>
              <w:left w:val="nil"/>
              <w:bottom w:val="single" w:sz="4" w:space="0" w:color="auto"/>
              <w:right w:val="single" w:sz="4" w:space="0" w:color="auto"/>
            </w:tcBorders>
            <w:shd w:val="clear" w:color="auto" w:fill="00FFFF"/>
            <w:noWrap/>
            <w:vAlign w:val="bottom"/>
            <w:hideMark/>
          </w:tcPr>
          <w:p w14:paraId="41C1CB36"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Inundated</w:t>
            </w:r>
          </w:p>
        </w:tc>
        <w:tc>
          <w:tcPr>
            <w:tcW w:w="1120" w:type="dxa"/>
            <w:tcBorders>
              <w:top w:val="nil"/>
              <w:left w:val="nil"/>
              <w:bottom w:val="single" w:sz="4" w:space="0" w:color="auto"/>
              <w:right w:val="single" w:sz="4" w:space="0" w:color="auto"/>
            </w:tcBorders>
            <w:shd w:val="clear" w:color="auto" w:fill="00FFFF"/>
            <w:noWrap/>
            <w:vAlign w:val="bottom"/>
            <w:hideMark/>
          </w:tcPr>
          <w:p w14:paraId="429DA2D2"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0.3519</w:t>
            </w:r>
          </w:p>
        </w:tc>
      </w:tr>
      <w:tr w:rsidR="005644B3" w:rsidRPr="001923A7" w14:paraId="02C0AC5A"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00FFFF"/>
            <w:noWrap/>
            <w:vAlign w:val="bottom"/>
            <w:hideMark/>
          </w:tcPr>
          <w:p w14:paraId="192631A4" w14:textId="77777777" w:rsidR="005644B3" w:rsidRPr="001923A7" w:rsidRDefault="005644B3" w:rsidP="00B31C32">
            <w:pPr>
              <w:spacing w:before="0" w:after="0" w:line="240" w:lineRule="auto"/>
              <w:jc w:val="left"/>
              <w:rPr>
                <w:rFonts w:cs="Calibri"/>
                <w:i/>
                <w:iCs/>
                <w:kern w:val="0"/>
                <w:sz w:val="19"/>
                <w:szCs w:val="19"/>
                <w:lang w:eastAsia="en-AU"/>
              </w:rPr>
            </w:pPr>
            <w:proofErr w:type="spellStart"/>
            <w:r w:rsidRPr="001923A7">
              <w:rPr>
                <w:rFonts w:cs="Calibri"/>
                <w:i/>
                <w:iCs/>
                <w:kern w:val="0"/>
                <w:sz w:val="19"/>
                <w:szCs w:val="19"/>
                <w:lang w:eastAsia="en-AU"/>
              </w:rPr>
              <w:t>Sphaeromorphaea</w:t>
            </w:r>
            <w:proofErr w:type="spellEnd"/>
            <w:r w:rsidRPr="001923A7">
              <w:rPr>
                <w:rFonts w:cs="Calibri"/>
                <w:i/>
                <w:iCs/>
                <w:kern w:val="0"/>
                <w:sz w:val="19"/>
                <w:szCs w:val="19"/>
                <w:lang w:eastAsia="en-AU"/>
              </w:rPr>
              <w:t xml:space="preserve"> australis</w:t>
            </w:r>
          </w:p>
        </w:tc>
        <w:tc>
          <w:tcPr>
            <w:tcW w:w="1920" w:type="dxa"/>
            <w:tcBorders>
              <w:top w:val="nil"/>
              <w:left w:val="nil"/>
              <w:bottom w:val="single" w:sz="4" w:space="0" w:color="auto"/>
              <w:right w:val="single" w:sz="4" w:space="0" w:color="auto"/>
            </w:tcBorders>
            <w:shd w:val="clear" w:color="auto" w:fill="00FFFF"/>
            <w:noWrap/>
            <w:vAlign w:val="bottom"/>
            <w:hideMark/>
          </w:tcPr>
          <w:p w14:paraId="694B10FB"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Pool level</w:t>
            </w:r>
          </w:p>
        </w:tc>
        <w:tc>
          <w:tcPr>
            <w:tcW w:w="1120" w:type="dxa"/>
            <w:tcBorders>
              <w:top w:val="nil"/>
              <w:left w:val="nil"/>
              <w:bottom w:val="single" w:sz="4" w:space="0" w:color="auto"/>
              <w:right w:val="single" w:sz="4" w:space="0" w:color="auto"/>
            </w:tcBorders>
            <w:shd w:val="clear" w:color="auto" w:fill="00FFFF"/>
            <w:noWrap/>
            <w:vAlign w:val="bottom"/>
            <w:hideMark/>
          </w:tcPr>
          <w:p w14:paraId="7FD7540E"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0.22</w:t>
            </w:r>
          </w:p>
        </w:tc>
      </w:tr>
      <w:tr w:rsidR="005644B3" w:rsidRPr="001923A7" w14:paraId="54D90F93"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34A0B790"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 xml:space="preserve">Sporobolus </w:t>
            </w:r>
            <w:proofErr w:type="spellStart"/>
            <w:r w:rsidRPr="001923A7">
              <w:rPr>
                <w:rFonts w:cs="Calibri"/>
                <w:i/>
                <w:iCs/>
                <w:kern w:val="0"/>
                <w:sz w:val="19"/>
                <w:szCs w:val="19"/>
                <w:lang w:eastAsia="en-AU"/>
              </w:rPr>
              <w:t>mitchellii</w:t>
            </w:r>
            <w:proofErr w:type="spellEnd"/>
          </w:p>
        </w:tc>
        <w:tc>
          <w:tcPr>
            <w:tcW w:w="1920" w:type="dxa"/>
            <w:tcBorders>
              <w:top w:val="nil"/>
              <w:left w:val="nil"/>
              <w:bottom w:val="single" w:sz="4" w:space="0" w:color="auto"/>
              <w:right w:val="single" w:sz="4" w:space="0" w:color="auto"/>
            </w:tcBorders>
            <w:shd w:val="clear" w:color="auto" w:fill="auto"/>
            <w:noWrap/>
            <w:vAlign w:val="bottom"/>
            <w:hideMark/>
          </w:tcPr>
          <w:p w14:paraId="14AED201"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Not inundated</w:t>
            </w:r>
          </w:p>
        </w:tc>
        <w:tc>
          <w:tcPr>
            <w:tcW w:w="1120" w:type="dxa"/>
            <w:tcBorders>
              <w:top w:val="nil"/>
              <w:left w:val="nil"/>
              <w:bottom w:val="single" w:sz="4" w:space="0" w:color="auto"/>
              <w:right w:val="single" w:sz="4" w:space="0" w:color="auto"/>
            </w:tcBorders>
            <w:shd w:val="clear" w:color="auto" w:fill="auto"/>
            <w:noWrap/>
            <w:vAlign w:val="bottom"/>
            <w:hideMark/>
          </w:tcPr>
          <w:p w14:paraId="11BB2DCF"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0.2557</w:t>
            </w:r>
          </w:p>
        </w:tc>
      </w:tr>
      <w:tr w:rsidR="005644B3" w:rsidRPr="001923A7" w14:paraId="4630C99B"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26376F24" w14:textId="77777777" w:rsidR="005644B3" w:rsidRPr="001923A7" w:rsidRDefault="005644B3" w:rsidP="00B31C32">
            <w:pPr>
              <w:spacing w:before="0" w:after="0" w:line="240" w:lineRule="auto"/>
              <w:jc w:val="left"/>
              <w:rPr>
                <w:rFonts w:cs="Calibri"/>
                <w:i/>
                <w:iCs/>
                <w:kern w:val="0"/>
                <w:sz w:val="19"/>
                <w:szCs w:val="19"/>
                <w:lang w:eastAsia="en-AU"/>
              </w:rPr>
            </w:pPr>
            <w:proofErr w:type="spellStart"/>
            <w:r w:rsidRPr="001923A7">
              <w:rPr>
                <w:rFonts w:cs="Calibri"/>
                <w:i/>
                <w:iCs/>
                <w:kern w:val="0"/>
                <w:sz w:val="19"/>
                <w:szCs w:val="19"/>
                <w:lang w:eastAsia="en-AU"/>
              </w:rPr>
              <w:t>Stemodia</w:t>
            </w:r>
            <w:proofErr w:type="spellEnd"/>
            <w:r w:rsidRPr="001923A7">
              <w:rPr>
                <w:rFonts w:cs="Calibri"/>
                <w:i/>
                <w:iCs/>
                <w:kern w:val="0"/>
                <w:sz w:val="19"/>
                <w:szCs w:val="19"/>
                <w:lang w:eastAsia="en-AU"/>
              </w:rPr>
              <w:t xml:space="preserve"> </w:t>
            </w:r>
            <w:proofErr w:type="spellStart"/>
            <w:r w:rsidRPr="001923A7">
              <w:rPr>
                <w:rFonts w:cs="Calibri"/>
                <w:i/>
                <w:iCs/>
                <w:kern w:val="0"/>
                <w:sz w:val="19"/>
                <w:szCs w:val="19"/>
                <w:lang w:eastAsia="en-AU"/>
              </w:rPr>
              <w:t>florulenta</w:t>
            </w:r>
            <w:proofErr w:type="spellEnd"/>
          </w:p>
        </w:tc>
        <w:tc>
          <w:tcPr>
            <w:tcW w:w="1920" w:type="dxa"/>
            <w:tcBorders>
              <w:top w:val="nil"/>
              <w:left w:val="nil"/>
              <w:bottom w:val="single" w:sz="4" w:space="0" w:color="auto"/>
              <w:right w:val="single" w:sz="4" w:space="0" w:color="auto"/>
            </w:tcBorders>
            <w:shd w:val="clear" w:color="auto" w:fill="auto"/>
            <w:noWrap/>
            <w:vAlign w:val="bottom"/>
            <w:hideMark/>
          </w:tcPr>
          <w:p w14:paraId="37AF91C5"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Inundation extent</w:t>
            </w:r>
          </w:p>
        </w:tc>
        <w:tc>
          <w:tcPr>
            <w:tcW w:w="1120" w:type="dxa"/>
            <w:tcBorders>
              <w:top w:val="nil"/>
              <w:left w:val="nil"/>
              <w:bottom w:val="single" w:sz="4" w:space="0" w:color="auto"/>
              <w:right w:val="single" w:sz="4" w:space="0" w:color="auto"/>
            </w:tcBorders>
            <w:shd w:val="clear" w:color="auto" w:fill="auto"/>
            <w:noWrap/>
            <w:vAlign w:val="bottom"/>
            <w:hideMark/>
          </w:tcPr>
          <w:p w14:paraId="6577F64D"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0.7782</w:t>
            </w:r>
          </w:p>
        </w:tc>
      </w:tr>
      <w:tr w:rsidR="005644B3" w:rsidRPr="001923A7" w14:paraId="5F74B7E2"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FFFF00"/>
            <w:noWrap/>
            <w:vAlign w:val="bottom"/>
            <w:hideMark/>
          </w:tcPr>
          <w:p w14:paraId="58B30CC9" w14:textId="77777777" w:rsidR="005644B3" w:rsidRPr="001923A7" w:rsidRDefault="005644B3" w:rsidP="00B31C32">
            <w:pPr>
              <w:spacing w:before="0" w:after="0" w:line="240" w:lineRule="auto"/>
              <w:jc w:val="left"/>
              <w:rPr>
                <w:rFonts w:cs="Calibri"/>
                <w:i/>
                <w:iCs/>
                <w:kern w:val="0"/>
                <w:sz w:val="19"/>
                <w:szCs w:val="19"/>
                <w:lang w:eastAsia="en-AU"/>
              </w:rPr>
            </w:pPr>
            <w:proofErr w:type="spellStart"/>
            <w:r w:rsidRPr="001923A7">
              <w:rPr>
                <w:rFonts w:cs="Calibri"/>
                <w:i/>
                <w:iCs/>
                <w:kern w:val="0"/>
                <w:sz w:val="19"/>
                <w:szCs w:val="19"/>
                <w:lang w:eastAsia="en-AU"/>
              </w:rPr>
              <w:t>Symphyotrichum</w:t>
            </w:r>
            <w:proofErr w:type="spellEnd"/>
            <w:r w:rsidRPr="001923A7">
              <w:rPr>
                <w:rFonts w:cs="Calibri"/>
                <w:i/>
                <w:iCs/>
                <w:kern w:val="0"/>
                <w:sz w:val="19"/>
                <w:szCs w:val="19"/>
                <w:lang w:eastAsia="en-AU"/>
              </w:rPr>
              <w:t xml:space="preserve"> </w:t>
            </w:r>
            <w:proofErr w:type="spellStart"/>
            <w:r w:rsidRPr="001923A7">
              <w:rPr>
                <w:rFonts w:cs="Calibri"/>
                <w:i/>
                <w:iCs/>
                <w:kern w:val="0"/>
                <w:sz w:val="19"/>
                <w:szCs w:val="19"/>
                <w:lang w:eastAsia="en-AU"/>
              </w:rPr>
              <w:t>subulatum</w:t>
            </w:r>
            <w:proofErr w:type="spellEnd"/>
            <w:r w:rsidRPr="001923A7">
              <w:rPr>
                <w:rFonts w:cs="Calibri"/>
                <w:i/>
                <w:iCs/>
                <w:kern w:val="0"/>
                <w:sz w:val="19"/>
                <w:szCs w:val="19"/>
                <w:lang w:eastAsia="en-AU"/>
              </w:rPr>
              <w:t>*</w:t>
            </w:r>
          </w:p>
        </w:tc>
        <w:tc>
          <w:tcPr>
            <w:tcW w:w="1920" w:type="dxa"/>
            <w:tcBorders>
              <w:top w:val="nil"/>
              <w:left w:val="nil"/>
              <w:bottom w:val="single" w:sz="4" w:space="0" w:color="auto"/>
              <w:right w:val="single" w:sz="4" w:space="0" w:color="auto"/>
            </w:tcBorders>
            <w:shd w:val="clear" w:color="auto" w:fill="FFFF00"/>
            <w:noWrap/>
            <w:vAlign w:val="bottom"/>
            <w:hideMark/>
          </w:tcPr>
          <w:p w14:paraId="67FE4DD0"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Pool level</w:t>
            </w:r>
          </w:p>
        </w:tc>
        <w:tc>
          <w:tcPr>
            <w:tcW w:w="1120" w:type="dxa"/>
            <w:tcBorders>
              <w:top w:val="nil"/>
              <w:left w:val="nil"/>
              <w:bottom w:val="single" w:sz="4" w:space="0" w:color="auto"/>
              <w:right w:val="single" w:sz="4" w:space="0" w:color="auto"/>
            </w:tcBorders>
            <w:shd w:val="clear" w:color="auto" w:fill="FFFF00"/>
            <w:noWrap/>
            <w:vAlign w:val="bottom"/>
            <w:hideMark/>
          </w:tcPr>
          <w:p w14:paraId="21FC19C1"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0.0024</w:t>
            </w:r>
          </w:p>
        </w:tc>
      </w:tr>
      <w:tr w:rsidR="005644B3" w:rsidRPr="001923A7" w14:paraId="2D498336"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1BBF50D7"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 xml:space="preserve">Teucrium </w:t>
            </w:r>
            <w:proofErr w:type="spellStart"/>
            <w:r w:rsidRPr="001923A7">
              <w:rPr>
                <w:rFonts w:cs="Calibri"/>
                <w:i/>
                <w:iCs/>
                <w:kern w:val="0"/>
                <w:sz w:val="19"/>
                <w:szCs w:val="19"/>
                <w:lang w:eastAsia="en-AU"/>
              </w:rPr>
              <w:t>racemosum</w:t>
            </w:r>
            <w:proofErr w:type="spellEnd"/>
          </w:p>
        </w:tc>
        <w:tc>
          <w:tcPr>
            <w:tcW w:w="1920" w:type="dxa"/>
            <w:tcBorders>
              <w:top w:val="nil"/>
              <w:left w:val="nil"/>
              <w:bottom w:val="single" w:sz="4" w:space="0" w:color="auto"/>
              <w:right w:val="single" w:sz="4" w:space="0" w:color="auto"/>
            </w:tcBorders>
            <w:shd w:val="clear" w:color="auto" w:fill="auto"/>
            <w:noWrap/>
            <w:vAlign w:val="bottom"/>
            <w:hideMark/>
          </w:tcPr>
          <w:p w14:paraId="158D05A0"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Not inundated</w:t>
            </w:r>
          </w:p>
        </w:tc>
        <w:tc>
          <w:tcPr>
            <w:tcW w:w="1120" w:type="dxa"/>
            <w:tcBorders>
              <w:top w:val="nil"/>
              <w:left w:val="nil"/>
              <w:bottom w:val="single" w:sz="4" w:space="0" w:color="auto"/>
              <w:right w:val="single" w:sz="4" w:space="0" w:color="auto"/>
            </w:tcBorders>
            <w:shd w:val="clear" w:color="auto" w:fill="auto"/>
            <w:noWrap/>
            <w:vAlign w:val="bottom"/>
            <w:hideMark/>
          </w:tcPr>
          <w:p w14:paraId="5E1D8378"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0.5425</w:t>
            </w:r>
          </w:p>
        </w:tc>
      </w:tr>
      <w:tr w:rsidR="005644B3" w:rsidRPr="001923A7" w14:paraId="30491E5E"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783B88AE" w14:textId="77777777" w:rsidR="005644B3" w:rsidRPr="001923A7" w:rsidRDefault="005644B3" w:rsidP="00B31C32">
            <w:pPr>
              <w:spacing w:before="0" w:after="0" w:line="240" w:lineRule="auto"/>
              <w:jc w:val="left"/>
              <w:rPr>
                <w:rFonts w:cs="Calibri"/>
                <w:i/>
                <w:iCs/>
                <w:kern w:val="0"/>
                <w:sz w:val="19"/>
                <w:szCs w:val="19"/>
                <w:lang w:eastAsia="en-AU"/>
              </w:rPr>
            </w:pPr>
            <w:proofErr w:type="spellStart"/>
            <w:r w:rsidRPr="001923A7">
              <w:rPr>
                <w:rFonts w:cs="Calibri"/>
                <w:i/>
                <w:iCs/>
                <w:kern w:val="0"/>
                <w:sz w:val="19"/>
                <w:szCs w:val="19"/>
                <w:lang w:eastAsia="en-AU"/>
              </w:rPr>
              <w:t>Wahlenbergia</w:t>
            </w:r>
            <w:proofErr w:type="spellEnd"/>
            <w:r w:rsidRPr="001923A7">
              <w:rPr>
                <w:rFonts w:cs="Calibri"/>
                <w:i/>
                <w:iCs/>
                <w:kern w:val="0"/>
                <w:sz w:val="19"/>
                <w:szCs w:val="19"/>
                <w:lang w:eastAsia="en-AU"/>
              </w:rPr>
              <w:t xml:space="preserve"> </w:t>
            </w:r>
            <w:proofErr w:type="spellStart"/>
            <w:r w:rsidRPr="001923A7">
              <w:rPr>
                <w:rFonts w:cs="Calibri"/>
                <w:i/>
                <w:iCs/>
                <w:kern w:val="0"/>
                <w:sz w:val="19"/>
                <w:szCs w:val="19"/>
                <w:lang w:eastAsia="en-AU"/>
              </w:rPr>
              <w:t>fluminalis</w:t>
            </w:r>
            <w:proofErr w:type="spellEnd"/>
          </w:p>
        </w:tc>
        <w:tc>
          <w:tcPr>
            <w:tcW w:w="1920" w:type="dxa"/>
            <w:tcBorders>
              <w:top w:val="nil"/>
              <w:left w:val="nil"/>
              <w:bottom w:val="single" w:sz="4" w:space="0" w:color="auto"/>
              <w:right w:val="single" w:sz="4" w:space="0" w:color="auto"/>
            </w:tcBorders>
            <w:shd w:val="clear" w:color="auto" w:fill="auto"/>
            <w:noWrap/>
            <w:vAlign w:val="bottom"/>
            <w:hideMark/>
          </w:tcPr>
          <w:p w14:paraId="1EF761CA"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Not inundated</w:t>
            </w:r>
          </w:p>
        </w:tc>
        <w:tc>
          <w:tcPr>
            <w:tcW w:w="1120" w:type="dxa"/>
            <w:tcBorders>
              <w:top w:val="nil"/>
              <w:left w:val="nil"/>
              <w:bottom w:val="single" w:sz="4" w:space="0" w:color="auto"/>
              <w:right w:val="single" w:sz="4" w:space="0" w:color="auto"/>
            </w:tcBorders>
            <w:shd w:val="clear" w:color="auto" w:fill="auto"/>
            <w:noWrap/>
            <w:vAlign w:val="bottom"/>
            <w:hideMark/>
          </w:tcPr>
          <w:p w14:paraId="136F4F7D"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0.6753</w:t>
            </w:r>
          </w:p>
        </w:tc>
      </w:tr>
      <w:tr w:rsidR="005644B3" w:rsidRPr="001923A7" w14:paraId="3703D211"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000000" w:fill="FFFF00"/>
            <w:noWrap/>
            <w:vAlign w:val="bottom"/>
            <w:hideMark/>
          </w:tcPr>
          <w:p w14:paraId="001EB938"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Xanthium occidentale**</w:t>
            </w:r>
          </w:p>
        </w:tc>
        <w:tc>
          <w:tcPr>
            <w:tcW w:w="1920" w:type="dxa"/>
            <w:tcBorders>
              <w:top w:val="nil"/>
              <w:left w:val="nil"/>
              <w:bottom w:val="single" w:sz="4" w:space="0" w:color="auto"/>
              <w:right w:val="single" w:sz="4" w:space="0" w:color="auto"/>
            </w:tcBorders>
            <w:shd w:val="clear" w:color="000000" w:fill="FFFF00"/>
            <w:noWrap/>
            <w:vAlign w:val="bottom"/>
            <w:hideMark/>
          </w:tcPr>
          <w:p w14:paraId="35B44E3E"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Inundated</w:t>
            </w:r>
          </w:p>
        </w:tc>
        <w:tc>
          <w:tcPr>
            <w:tcW w:w="1120" w:type="dxa"/>
            <w:tcBorders>
              <w:top w:val="nil"/>
              <w:left w:val="nil"/>
              <w:bottom w:val="single" w:sz="4" w:space="0" w:color="auto"/>
              <w:right w:val="single" w:sz="4" w:space="0" w:color="auto"/>
            </w:tcBorders>
            <w:shd w:val="clear" w:color="000000" w:fill="FFFF00"/>
            <w:noWrap/>
            <w:vAlign w:val="bottom"/>
            <w:hideMark/>
          </w:tcPr>
          <w:p w14:paraId="612A8381"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0.0352</w:t>
            </w:r>
          </w:p>
        </w:tc>
      </w:tr>
    </w:tbl>
    <w:p w14:paraId="289EA6BA" w14:textId="77777777" w:rsidR="005644B3" w:rsidRDefault="005644B3" w:rsidP="005644B3">
      <w:r>
        <w:t xml:space="preserve">b. </w:t>
      </w:r>
    </w:p>
    <w:tbl>
      <w:tblPr>
        <w:tblW w:w="6500" w:type="dxa"/>
        <w:jc w:val="center"/>
        <w:tblLook w:val="04A0" w:firstRow="1" w:lastRow="0" w:firstColumn="1" w:lastColumn="0" w:noHBand="0" w:noVBand="1"/>
      </w:tblPr>
      <w:tblGrid>
        <w:gridCol w:w="3460"/>
        <w:gridCol w:w="1920"/>
        <w:gridCol w:w="1120"/>
      </w:tblGrid>
      <w:tr w:rsidR="005644B3" w:rsidRPr="001923A7" w14:paraId="4F4B4C35" w14:textId="77777777" w:rsidTr="00B31C32">
        <w:trPr>
          <w:trHeight w:val="300"/>
          <w:tblHeader/>
          <w:jc w:val="center"/>
        </w:trPr>
        <w:tc>
          <w:tcPr>
            <w:tcW w:w="34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6EEB29" w14:textId="77777777" w:rsidR="005644B3" w:rsidRPr="001923A7" w:rsidRDefault="005644B3" w:rsidP="00B31C32">
            <w:pPr>
              <w:spacing w:before="0" w:after="0" w:line="240" w:lineRule="auto"/>
              <w:jc w:val="center"/>
              <w:rPr>
                <w:rFonts w:cs="Calibri"/>
                <w:b/>
                <w:bCs/>
                <w:kern w:val="0"/>
                <w:sz w:val="19"/>
                <w:szCs w:val="19"/>
                <w:lang w:eastAsia="en-AU"/>
              </w:rPr>
            </w:pPr>
            <w:r w:rsidRPr="001923A7">
              <w:rPr>
                <w:rFonts w:cs="Calibri"/>
                <w:b/>
                <w:bCs/>
                <w:kern w:val="0"/>
                <w:sz w:val="19"/>
                <w:szCs w:val="19"/>
                <w:lang w:eastAsia="en-AU"/>
              </w:rPr>
              <w:t>Species</w:t>
            </w:r>
          </w:p>
        </w:tc>
        <w:tc>
          <w:tcPr>
            <w:tcW w:w="1920" w:type="dxa"/>
            <w:tcBorders>
              <w:top w:val="single" w:sz="4" w:space="0" w:color="auto"/>
              <w:left w:val="nil"/>
              <w:bottom w:val="single" w:sz="4" w:space="0" w:color="auto"/>
              <w:right w:val="single" w:sz="4" w:space="0" w:color="auto"/>
            </w:tcBorders>
            <w:shd w:val="clear" w:color="auto" w:fill="auto"/>
            <w:noWrap/>
            <w:vAlign w:val="bottom"/>
            <w:hideMark/>
          </w:tcPr>
          <w:p w14:paraId="5F406992" w14:textId="77777777" w:rsidR="005644B3" w:rsidRPr="001923A7" w:rsidRDefault="005644B3" w:rsidP="00B31C32">
            <w:pPr>
              <w:spacing w:before="0" w:after="0" w:line="240" w:lineRule="auto"/>
              <w:jc w:val="center"/>
              <w:rPr>
                <w:rFonts w:cs="Calibri"/>
                <w:b/>
                <w:bCs/>
                <w:kern w:val="0"/>
                <w:sz w:val="19"/>
                <w:szCs w:val="19"/>
                <w:lang w:eastAsia="en-AU"/>
              </w:rPr>
            </w:pPr>
            <w:r w:rsidRPr="001923A7">
              <w:rPr>
                <w:rFonts w:cs="Calibri"/>
                <w:b/>
                <w:bCs/>
                <w:kern w:val="0"/>
                <w:sz w:val="19"/>
                <w:szCs w:val="19"/>
                <w:lang w:eastAsia="en-AU"/>
              </w:rPr>
              <w:t>Zone</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14:paraId="451EF289" w14:textId="77777777" w:rsidR="005644B3" w:rsidRPr="001923A7" w:rsidRDefault="005644B3" w:rsidP="00B31C32">
            <w:pPr>
              <w:spacing w:before="0" w:after="0" w:line="240" w:lineRule="auto"/>
              <w:jc w:val="center"/>
              <w:rPr>
                <w:rFonts w:cs="Calibri"/>
                <w:b/>
                <w:bCs/>
                <w:kern w:val="0"/>
                <w:sz w:val="19"/>
                <w:szCs w:val="19"/>
                <w:lang w:eastAsia="en-AU"/>
              </w:rPr>
            </w:pPr>
            <w:r w:rsidRPr="001923A7">
              <w:rPr>
                <w:rFonts w:cs="Calibri"/>
                <w:b/>
                <w:bCs/>
                <w:kern w:val="0"/>
                <w:sz w:val="19"/>
                <w:szCs w:val="19"/>
                <w:lang w:eastAsia="en-AU"/>
              </w:rPr>
              <w:t>P</w:t>
            </w:r>
          </w:p>
        </w:tc>
      </w:tr>
      <w:tr w:rsidR="005644B3" w:rsidRPr="001923A7" w14:paraId="3EBF8802"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00FFFF"/>
            <w:noWrap/>
            <w:vAlign w:val="bottom"/>
            <w:hideMark/>
          </w:tcPr>
          <w:p w14:paraId="16B77050"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 xml:space="preserve">Alternanthera </w:t>
            </w:r>
            <w:proofErr w:type="spellStart"/>
            <w:r w:rsidRPr="001923A7">
              <w:rPr>
                <w:rFonts w:cs="Calibri"/>
                <w:i/>
                <w:iCs/>
                <w:kern w:val="0"/>
                <w:sz w:val="19"/>
                <w:szCs w:val="19"/>
                <w:lang w:eastAsia="en-AU"/>
              </w:rPr>
              <w:t>denticulata</w:t>
            </w:r>
            <w:proofErr w:type="spellEnd"/>
          </w:p>
        </w:tc>
        <w:tc>
          <w:tcPr>
            <w:tcW w:w="1920" w:type="dxa"/>
            <w:tcBorders>
              <w:top w:val="nil"/>
              <w:left w:val="nil"/>
              <w:bottom w:val="single" w:sz="4" w:space="0" w:color="auto"/>
              <w:right w:val="single" w:sz="4" w:space="0" w:color="auto"/>
            </w:tcBorders>
            <w:shd w:val="clear" w:color="auto" w:fill="00FFFF"/>
            <w:noWrap/>
            <w:vAlign w:val="bottom"/>
            <w:hideMark/>
          </w:tcPr>
          <w:p w14:paraId="165C657D"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Inundated</w:t>
            </w:r>
          </w:p>
        </w:tc>
        <w:tc>
          <w:tcPr>
            <w:tcW w:w="1120" w:type="dxa"/>
            <w:tcBorders>
              <w:top w:val="nil"/>
              <w:left w:val="nil"/>
              <w:bottom w:val="single" w:sz="4" w:space="0" w:color="auto"/>
              <w:right w:val="single" w:sz="4" w:space="0" w:color="auto"/>
            </w:tcBorders>
            <w:shd w:val="clear" w:color="auto" w:fill="00FFFF"/>
            <w:noWrap/>
            <w:vAlign w:val="bottom"/>
            <w:hideMark/>
          </w:tcPr>
          <w:p w14:paraId="71AE1744"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0.0974</w:t>
            </w:r>
          </w:p>
        </w:tc>
      </w:tr>
      <w:tr w:rsidR="005644B3" w:rsidRPr="001923A7" w14:paraId="47A0701E"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54D19BC1"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 xml:space="preserve">Atriplex </w:t>
            </w:r>
            <w:proofErr w:type="spellStart"/>
            <w:r w:rsidRPr="001923A7">
              <w:rPr>
                <w:rFonts w:cs="Calibri"/>
                <w:i/>
                <w:iCs/>
                <w:kern w:val="0"/>
                <w:sz w:val="19"/>
                <w:szCs w:val="19"/>
                <w:lang w:eastAsia="en-AU"/>
              </w:rPr>
              <w:t>suberecta</w:t>
            </w:r>
            <w:proofErr w:type="spellEnd"/>
          </w:p>
        </w:tc>
        <w:tc>
          <w:tcPr>
            <w:tcW w:w="1920" w:type="dxa"/>
            <w:tcBorders>
              <w:top w:val="nil"/>
              <w:left w:val="nil"/>
              <w:bottom w:val="single" w:sz="4" w:space="0" w:color="auto"/>
              <w:right w:val="single" w:sz="4" w:space="0" w:color="auto"/>
            </w:tcBorders>
            <w:shd w:val="clear" w:color="auto" w:fill="auto"/>
            <w:noWrap/>
            <w:vAlign w:val="bottom"/>
            <w:hideMark/>
          </w:tcPr>
          <w:p w14:paraId="08510B97"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Not inundated</w:t>
            </w:r>
          </w:p>
        </w:tc>
        <w:tc>
          <w:tcPr>
            <w:tcW w:w="1120" w:type="dxa"/>
            <w:tcBorders>
              <w:top w:val="nil"/>
              <w:left w:val="nil"/>
              <w:bottom w:val="single" w:sz="4" w:space="0" w:color="auto"/>
              <w:right w:val="single" w:sz="4" w:space="0" w:color="auto"/>
            </w:tcBorders>
            <w:shd w:val="clear" w:color="auto" w:fill="auto"/>
            <w:noWrap/>
            <w:vAlign w:val="bottom"/>
            <w:hideMark/>
          </w:tcPr>
          <w:p w14:paraId="2836567B"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0.1386</w:t>
            </w:r>
          </w:p>
        </w:tc>
      </w:tr>
      <w:tr w:rsidR="005644B3" w:rsidRPr="001923A7" w14:paraId="166C4083"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00FFFF"/>
            <w:noWrap/>
            <w:vAlign w:val="bottom"/>
            <w:hideMark/>
          </w:tcPr>
          <w:p w14:paraId="70FA1B04" w14:textId="77777777" w:rsidR="005644B3" w:rsidRPr="001923A7" w:rsidRDefault="005644B3" w:rsidP="00B31C32">
            <w:pPr>
              <w:spacing w:before="0" w:after="0" w:line="240" w:lineRule="auto"/>
              <w:jc w:val="left"/>
              <w:rPr>
                <w:rFonts w:cs="Calibri"/>
                <w:i/>
                <w:iCs/>
                <w:kern w:val="0"/>
                <w:sz w:val="19"/>
                <w:szCs w:val="19"/>
                <w:lang w:eastAsia="en-AU"/>
              </w:rPr>
            </w:pPr>
            <w:proofErr w:type="spellStart"/>
            <w:r w:rsidRPr="001923A7">
              <w:rPr>
                <w:rFonts w:cs="Calibri"/>
                <w:i/>
                <w:iCs/>
                <w:kern w:val="0"/>
                <w:sz w:val="19"/>
                <w:szCs w:val="19"/>
                <w:lang w:eastAsia="en-AU"/>
              </w:rPr>
              <w:t>Bolboschoenus</w:t>
            </w:r>
            <w:proofErr w:type="spellEnd"/>
            <w:r w:rsidRPr="001923A7">
              <w:rPr>
                <w:rFonts w:cs="Calibri"/>
                <w:i/>
                <w:iCs/>
                <w:kern w:val="0"/>
                <w:sz w:val="19"/>
                <w:szCs w:val="19"/>
                <w:lang w:eastAsia="en-AU"/>
              </w:rPr>
              <w:t xml:space="preserve"> </w:t>
            </w:r>
            <w:proofErr w:type="spellStart"/>
            <w:r w:rsidRPr="001923A7">
              <w:rPr>
                <w:rFonts w:cs="Calibri"/>
                <w:i/>
                <w:iCs/>
                <w:kern w:val="0"/>
                <w:sz w:val="19"/>
                <w:szCs w:val="19"/>
                <w:lang w:eastAsia="en-AU"/>
              </w:rPr>
              <w:t>caldwellii</w:t>
            </w:r>
            <w:proofErr w:type="spellEnd"/>
          </w:p>
        </w:tc>
        <w:tc>
          <w:tcPr>
            <w:tcW w:w="1920" w:type="dxa"/>
            <w:tcBorders>
              <w:top w:val="nil"/>
              <w:left w:val="nil"/>
              <w:bottom w:val="single" w:sz="4" w:space="0" w:color="auto"/>
              <w:right w:val="single" w:sz="4" w:space="0" w:color="auto"/>
            </w:tcBorders>
            <w:shd w:val="clear" w:color="auto" w:fill="00FFFF"/>
            <w:noWrap/>
            <w:vAlign w:val="bottom"/>
            <w:hideMark/>
          </w:tcPr>
          <w:p w14:paraId="45EB6CC7"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Pool level</w:t>
            </w:r>
          </w:p>
        </w:tc>
        <w:tc>
          <w:tcPr>
            <w:tcW w:w="1120" w:type="dxa"/>
            <w:tcBorders>
              <w:top w:val="nil"/>
              <w:left w:val="nil"/>
              <w:bottom w:val="single" w:sz="4" w:space="0" w:color="auto"/>
              <w:right w:val="single" w:sz="4" w:space="0" w:color="auto"/>
            </w:tcBorders>
            <w:shd w:val="clear" w:color="auto" w:fill="00FFFF"/>
            <w:noWrap/>
            <w:vAlign w:val="bottom"/>
            <w:hideMark/>
          </w:tcPr>
          <w:p w14:paraId="73B8DFBD"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0.6365</w:t>
            </w:r>
          </w:p>
        </w:tc>
      </w:tr>
      <w:tr w:rsidR="005644B3" w:rsidRPr="001923A7" w14:paraId="0CFB2F5E"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51F395F7"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 xml:space="preserve">Brachyscome </w:t>
            </w:r>
            <w:proofErr w:type="spellStart"/>
            <w:r w:rsidRPr="001923A7">
              <w:rPr>
                <w:rFonts w:cs="Calibri"/>
                <w:i/>
                <w:iCs/>
                <w:kern w:val="0"/>
                <w:sz w:val="19"/>
                <w:szCs w:val="19"/>
                <w:lang w:eastAsia="en-AU"/>
              </w:rPr>
              <w:t>paludicola</w:t>
            </w:r>
            <w:proofErr w:type="spellEnd"/>
          </w:p>
        </w:tc>
        <w:tc>
          <w:tcPr>
            <w:tcW w:w="1920" w:type="dxa"/>
            <w:tcBorders>
              <w:top w:val="nil"/>
              <w:left w:val="nil"/>
              <w:bottom w:val="single" w:sz="4" w:space="0" w:color="auto"/>
              <w:right w:val="single" w:sz="4" w:space="0" w:color="auto"/>
            </w:tcBorders>
            <w:shd w:val="clear" w:color="auto" w:fill="auto"/>
            <w:noWrap/>
            <w:vAlign w:val="bottom"/>
            <w:hideMark/>
          </w:tcPr>
          <w:p w14:paraId="08CCFD4D"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Not inundated</w:t>
            </w:r>
          </w:p>
        </w:tc>
        <w:tc>
          <w:tcPr>
            <w:tcW w:w="1120" w:type="dxa"/>
            <w:tcBorders>
              <w:top w:val="nil"/>
              <w:left w:val="nil"/>
              <w:bottom w:val="single" w:sz="4" w:space="0" w:color="auto"/>
              <w:right w:val="single" w:sz="4" w:space="0" w:color="auto"/>
            </w:tcBorders>
            <w:shd w:val="clear" w:color="auto" w:fill="auto"/>
            <w:noWrap/>
            <w:vAlign w:val="bottom"/>
            <w:hideMark/>
          </w:tcPr>
          <w:p w14:paraId="3B1E1AE9"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0.0686</w:t>
            </w:r>
          </w:p>
        </w:tc>
      </w:tr>
      <w:tr w:rsidR="005644B3" w:rsidRPr="001923A7" w14:paraId="0427C1E2"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00FFFF"/>
            <w:noWrap/>
            <w:vAlign w:val="bottom"/>
            <w:hideMark/>
          </w:tcPr>
          <w:p w14:paraId="1B54F102" w14:textId="77777777" w:rsidR="005644B3" w:rsidRPr="001923A7" w:rsidRDefault="005644B3" w:rsidP="00B31C32">
            <w:pPr>
              <w:spacing w:before="0" w:after="0" w:line="240" w:lineRule="auto"/>
              <w:jc w:val="left"/>
              <w:rPr>
                <w:rFonts w:cs="Calibri"/>
                <w:i/>
                <w:iCs/>
                <w:kern w:val="0"/>
                <w:sz w:val="19"/>
                <w:szCs w:val="19"/>
                <w:lang w:eastAsia="en-AU"/>
              </w:rPr>
            </w:pPr>
            <w:proofErr w:type="spellStart"/>
            <w:r w:rsidRPr="001923A7">
              <w:rPr>
                <w:rFonts w:cs="Calibri"/>
                <w:i/>
                <w:iCs/>
                <w:kern w:val="0"/>
                <w:sz w:val="19"/>
                <w:szCs w:val="19"/>
                <w:lang w:eastAsia="en-AU"/>
              </w:rPr>
              <w:t>Centipeda</w:t>
            </w:r>
            <w:proofErr w:type="spellEnd"/>
            <w:r w:rsidRPr="001923A7">
              <w:rPr>
                <w:rFonts w:cs="Calibri"/>
                <w:i/>
                <w:iCs/>
                <w:kern w:val="0"/>
                <w:sz w:val="19"/>
                <w:szCs w:val="19"/>
                <w:lang w:eastAsia="en-AU"/>
              </w:rPr>
              <w:t xml:space="preserve"> minima</w:t>
            </w:r>
          </w:p>
        </w:tc>
        <w:tc>
          <w:tcPr>
            <w:tcW w:w="1920" w:type="dxa"/>
            <w:tcBorders>
              <w:top w:val="nil"/>
              <w:left w:val="nil"/>
              <w:bottom w:val="single" w:sz="4" w:space="0" w:color="auto"/>
              <w:right w:val="single" w:sz="4" w:space="0" w:color="auto"/>
            </w:tcBorders>
            <w:shd w:val="clear" w:color="auto" w:fill="00FFFF"/>
            <w:noWrap/>
            <w:vAlign w:val="bottom"/>
            <w:hideMark/>
          </w:tcPr>
          <w:p w14:paraId="24AE949F"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Inundated</w:t>
            </w:r>
          </w:p>
        </w:tc>
        <w:tc>
          <w:tcPr>
            <w:tcW w:w="1120" w:type="dxa"/>
            <w:tcBorders>
              <w:top w:val="nil"/>
              <w:left w:val="nil"/>
              <w:bottom w:val="single" w:sz="4" w:space="0" w:color="auto"/>
              <w:right w:val="single" w:sz="4" w:space="0" w:color="auto"/>
            </w:tcBorders>
            <w:shd w:val="clear" w:color="auto" w:fill="00FFFF"/>
            <w:noWrap/>
            <w:vAlign w:val="bottom"/>
            <w:hideMark/>
          </w:tcPr>
          <w:p w14:paraId="588868C2"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0.1578</w:t>
            </w:r>
          </w:p>
        </w:tc>
      </w:tr>
      <w:tr w:rsidR="005644B3" w:rsidRPr="001923A7" w14:paraId="78A361B0"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0445A1B2"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 xml:space="preserve">Cyperus </w:t>
            </w:r>
            <w:proofErr w:type="spellStart"/>
            <w:r w:rsidRPr="001923A7">
              <w:rPr>
                <w:rFonts w:cs="Calibri"/>
                <w:i/>
                <w:iCs/>
                <w:kern w:val="0"/>
                <w:sz w:val="19"/>
                <w:szCs w:val="19"/>
                <w:lang w:eastAsia="en-AU"/>
              </w:rPr>
              <w:t>gymnocaulos</w:t>
            </w:r>
            <w:proofErr w:type="spellEnd"/>
          </w:p>
        </w:tc>
        <w:tc>
          <w:tcPr>
            <w:tcW w:w="1920" w:type="dxa"/>
            <w:tcBorders>
              <w:top w:val="nil"/>
              <w:left w:val="nil"/>
              <w:bottom w:val="single" w:sz="4" w:space="0" w:color="auto"/>
              <w:right w:val="single" w:sz="4" w:space="0" w:color="auto"/>
            </w:tcBorders>
            <w:shd w:val="clear" w:color="auto" w:fill="auto"/>
            <w:noWrap/>
            <w:vAlign w:val="bottom"/>
            <w:hideMark/>
          </w:tcPr>
          <w:p w14:paraId="7E58CBAE"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Inundation extent</w:t>
            </w:r>
          </w:p>
        </w:tc>
        <w:tc>
          <w:tcPr>
            <w:tcW w:w="1120" w:type="dxa"/>
            <w:tcBorders>
              <w:top w:val="nil"/>
              <w:left w:val="nil"/>
              <w:bottom w:val="single" w:sz="4" w:space="0" w:color="auto"/>
              <w:right w:val="single" w:sz="4" w:space="0" w:color="auto"/>
            </w:tcBorders>
            <w:shd w:val="clear" w:color="auto" w:fill="auto"/>
            <w:noWrap/>
            <w:vAlign w:val="bottom"/>
            <w:hideMark/>
          </w:tcPr>
          <w:p w14:paraId="2F8ABDE2"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0.1354</w:t>
            </w:r>
          </w:p>
        </w:tc>
      </w:tr>
      <w:tr w:rsidR="005644B3" w:rsidRPr="001923A7" w14:paraId="4A9FD424"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2EE78DEE"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 xml:space="preserve">Erigeron </w:t>
            </w:r>
            <w:proofErr w:type="spellStart"/>
            <w:r w:rsidRPr="001923A7">
              <w:rPr>
                <w:rFonts w:cs="Calibri"/>
                <w:i/>
                <w:iCs/>
                <w:kern w:val="0"/>
                <w:sz w:val="19"/>
                <w:szCs w:val="19"/>
                <w:lang w:eastAsia="en-AU"/>
              </w:rPr>
              <w:t>bonariensis</w:t>
            </w:r>
            <w:proofErr w:type="spellEnd"/>
            <w:r w:rsidRPr="001923A7">
              <w:rPr>
                <w:rFonts w:cs="Calibri"/>
                <w:i/>
                <w:iCs/>
                <w:kern w:val="0"/>
                <w:sz w:val="19"/>
                <w:szCs w:val="19"/>
                <w:lang w:eastAsia="en-AU"/>
              </w:rPr>
              <w:t>*</w:t>
            </w:r>
          </w:p>
        </w:tc>
        <w:tc>
          <w:tcPr>
            <w:tcW w:w="1920" w:type="dxa"/>
            <w:tcBorders>
              <w:top w:val="nil"/>
              <w:left w:val="nil"/>
              <w:bottom w:val="single" w:sz="4" w:space="0" w:color="auto"/>
              <w:right w:val="single" w:sz="4" w:space="0" w:color="auto"/>
            </w:tcBorders>
            <w:shd w:val="clear" w:color="auto" w:fill="auto"/>
            <w:noWrap/>
            <w:vAlign w:val="bottom"/>
            <w:hideMark/>
          </w:tcPr>
          <w:p w14:paraId="043CBA02"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Not inundated</w:t>
            </w:r>
          </w:p>
        </w:tc>
        <w:tc>
          <w:tcPr>
            <w:tcW w:w="1120" w:type="dxa"/>
            <w:tcBorders>
              <w:top w:val="nil"/>
              <w:left w:val="nil"/>
              <w:bottom w:val="single" w:sz="4" w:space="0" w:color="auto"/>
              <w:right w:val="single" w:sz="4" w:space="0" w:color="auto"/>
            </w:tcBorders>
            <w:shd w:val="clear" w:color="auto" w:fill="auto"/>
            <w:noWrap/>
            <w:vAlign w:val="bottom"/>
            <w:hideMark/>
          </w:tcPr>
          <w:p w14:paraId="28B88A56"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0.6229</w:t>
            </w:r>
          </w:p>
        </w:tc>
      </w:tr>
      <w:tr w:rsidR="005644B3" w:rsidRPr="001923A7" w14:paraId="7D02EDD6"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709A4D2E"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Eucalyptus camaldulensis</w:t>
            </w:r>
          </w:p>
        </w:tc>
        <w:tc>
          <w:tcPr>
            <w:tcW w:w="1920" w:type="dxa"/>
            <w:tcBorders>
              <w:top w:val="nil"/>
              <w:left w:val="nil"/>
              <w:bottom w:val="single" w:sz="4" w:space="0" w:color="auto"/>
              <w:right w:val="single" w:sz="4" w:space="0" w:color="auto"/>
            </w:tcBorders>
            <w:shd w:val="clear" w:color="auto" w:fill="auto"/>
            <w:noWrap/>
            <w:vAlign w:val="bottom"/>
            <w:hideMark/>
          </w:tcPr>
          <w:p w14:paraId="6A8FD153"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Inundation extent</w:t>
            </w:r>
          </w:p>
        </w:tc>
        <w:tc>
          <w:tcPr>
            <w:tcW w:w="1120" w:type="dxa"/>
            <w:tcBorders>
              <w:top w:val="nil"/>
              <w:left w:val="nil"/>
              <w:bottom w:val="single" w:sz="4" w:space="0" w:color="auto"/>
              <w:right w:val="single" w:sz="4" w:space="0" w:color="auto"/>
            </w:tcBorders>
            <w:shd w:val="clear" w:color="auto" w:fill="auto"/>
            <w:noWrap/>
            <w:vAlign w:val="bottom"/>
            <w:hideMark/>
          </w:tcPr>
          <w:p w14:paraId="2A5E417C"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0.3811</w:t>
            </w:r>
          </w:p>
        </w:tc>
      </w:tr>
      <w:tr w:rsidR="005644B3" w:rsidRPr="001923A7" w14:paraId="2BD146D1"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746B28FE"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 xml:space="preserve">Gazania </w:t>
            </w:r>
            <w:proofErr w:type="spellStart"/>
            <w:r w:rsidRPr="001923A7">
              <w:rPr>
                <w:rFonts w:cs="Calibri"/>
                <w:i/>
                <w:iCs/>
                <w:kern w:val="0"/>
                <w:sz w:val="19"/>
                <w:szCs w:val="19"/>
                <w:lang w:eastAsia="en-AU"/>
              </w:rPr>
              <w:t>rigens</w:t>
            </w:r>
            <w:proofErr w:type="spellEnd"/>
            <w:r w:rsidRPr="001923A7">
              <w:rPr>
                <w:rFonts w:cs="Calibri"/>
                <w:i/>
                <w:iCs/>
                <w:kern w:val="0"/>
                <w:sz w:val="19"/>
                <w:szCs w:val="19"/>
                <w:lang w:eastAsia="en-AU"/>
              </w:rPr>
              <w:t>**</w:t>
            </w:r>
          </w:p>
        </w:tc>
        <w:tc>
          <w:tcPr>
            <w:tcW w:w="1920" w:type="dxa"/>
            <w:tcBorders>
              <w:top w:val="nil"/>
              <w:left w:val="nil"/>
              <w:bottom w:val="single" w:sz="4" w:space="0" w:color="auto"/>
              <w:right w:val="single" w:sz="4" w:space="0" w:color="auto"/>
            </w:tcBorders>
            <w:shd w:val="clear" w:color="auto" w:fill="auto"/>
            <w:noWrap/>
            <w:vAlign w:val="bottom"/>
            <w:hideMark/>
          </w:tcPr>
          <w:p w14:paraId="4E109B06"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Inundation extent</w:t>
            </w:r>
          </w:p>
        </w:tc>
        <w:tc>
          <w:tcPr>
            <w:tcW w:w="1120" w:type="dxa"/>
            <w:tcBorders>
              <w:top w:val="nil"/>
              <w:left w:val="nil"/>
              <w:bottom w:val="single" w:sz="4" w:space="0" w:color="auto"/>
              <w:right w:val="single" w:sz="4" w:space="0" w:color="auto"/>
            </w:tcBorders>
            <w:shd w:val="clear" w:color="auto" w:fill="auto"/>
            <w:noWrap/>
            <w:vAlign w:val="bottom"/>
            <w:hideMark/>
          </w:tcPr>
          <w:p w14:paraId="6E180DAB"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0.1476</w:t>
            </w:r>
          </w:p>
        </w:tc>
      </w:tr>
      <w:tr w:rsidR="005644B3" w:rsidRPr="001923A7" w14:paraId="57DED451"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169696C5" w14:textId="77777777" w:rsidR="005644B3" w:rsidRPr="001923A7" w:rsidRDefault="005644B3" w:rsidP="00B31C32">
            <w:pPr>
              <w:spacing w:before="0" w:after="0" w:line="240" w:lineRule="auto"/>
              <w:jc w:val="left"/>
              <w:rPr>
                <w:rFonts w:cs="Calibri"/>
                <w:i/>
                <w:iCs/>
                <w:kern w:val="0"/>
                <w:sz w:val="19"/>
                <w:szCs w:val="19"/>
                <w:lang w:eastAsia="en-AU"/>
              </w:rPr>
            </w:pPr>
            <w:proofErr w:type="spellStart"/>
            <w:r w:rsidRPr="001923A7">
              <w:rPr>
                <w:rFonts w:cs="Calibri"/>
                <w:i/>
                <w:iCs/>
                <w:kern w:val="0"/>
                <w:sz w:val="19"/>
                <w:szCs w:val="19"/>
                <w:lang w:eastAsia="en-AU"/>
              </w:rPr>
              <w:t>Haloragis</w:t>
            </w:r>
            <w:proofErr w:type="spellEnd"/>
            <w:r w:rsidRPr="001923A7">
              <w:rPr>
                <w:rFonts w:cs="Calibri"/>
                <w:i/>
                <w:iCs/>
                <w:kern w:val="0"/>
                <w:sz w:val="19"/>
                <w:szCs w:val="19"/>
                <w:lang w:eastAsia="en-AU"/>
              </w:rPr>
              <w:t xml:space="preserve"> aspera</w:t>
            </w:r>
          </w:p>
        </w:tc>
        <w:tc>
          <w:tcPr>
            <w:tcW w:w="1920" w:type="dxa"/>
            <w:tcBorders>
              <w:top w:val="nil"/>
              <w:left w:val="nil"/>
              <w:bottom w:val="single" w:sz="4" w:space="0" w:color="auto"/>
              <w:right w:val="single" w:sz="4" w:space="0" w:color="auto"/>
            </w:tcBorders>
            <w:shd w:val="clear" w:color="auto" w:fill="auto"/>
            <w:noWrap/>
            <w:vAlign w:val="bottom"/>
            <w:hideMark/>
          </w:tcPr>
          <w:p w14:paraId="2A22CB0D"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Inundated</w:t>
            </w:r>
          </w:p>
        </w:tc>
        <w:tc>
          <w:tcPr>
            <w:tcW w:w="1120" w:type="dxa"/>
            <w:tcBorders>
              <w:top w:val="nil"/>
              <w:left w:val="nil"/>
              <w:bottom w:val="single" w:sz="4" w:space="0" w:color="auto"/>
              <w:right w:val="single" w:sz="4" w:space="0" w:color="auto"/>
            </w:tcBorders>
            <w:shd w:val="clear" w:color="auto" w:fill="auto"/>
            <w:noWrap/>
            <w:vAlign w:val="bottom"/>
            <w:hideMark/>
          </w:tcPr>
          <w:p w14:paraId="13D47024"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1</w:t>
            </w:r>
          </w:p>
        </w:tc>
      </w:tr>
      <w:tr w:rsidR="005644B3" w:rsidRPr="001923A7" w14:paraId="394B4190"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1A840CF5" w14:textId="77777777" w:rsidR="005644B3" w:rsidRPr="001923A7" w:rsidRDefault="005644B3" w:rsidP="00B31C32">
            <w:pPr>
              <w:spacing w:before="0" w:after="0" w:line="240" w:lineRule="auto"/>
              <w:jc w:val="left"/>
              <w:rPr>
                <w:rFonts w:cs="Calibri"/>
                <w:i/>
                <w:iCs/>
                <w:kern w:val="0"/>
                <w:sz w:val="19"/>
                <w:szCs w:val="19"/>
                <w:lang w:eastAsia="en-AU"/>
              </w:rPr>
            </w:pPr>
            <w:proofErr w:type="spellStart"/>
            <w:r w:rsidRPr="001923A7">
              <w:rPr>
                <w:rFonts w:cs="Calibri"/>
                <w:i/>
                <w:iCs/>
                <w:kern w:val="0"/>
                <w:sz w:val="19"/>
                <w:szCs w:val="19"/>
                <w:lang w:eastAsia="en-AU"/>
              </w:rPr>
              <w:t>Heliotropium</w:t>
            </w:r>
            <w:proofErr w:type="spellEnd"/>
            <w:r w:rsidRPr="001923A7">
              <w:rPr>
                <w:rFonts w:cs="Calibri"/>
                <w:i/>
                <w:iCs/>
                <w:kern w:val="0"/>
                <w:sz w:val="19"/>
                <w:szCs w:val="19"/>
                <w:lang w:eastAsia="en-AU"/>
              </w:rPr>
              <w:t xml:space="preserve"> </w:t>
            </w:r>
            <w:proofErr w:type="spellStart"/>
            <w:r w:rsidRPr="001923A7">
              <w:rPr>
                <w:rFonts w:cs="Calibri"/>
                <w:i/>
                <w:iCs/>
                <w:kern w:val="0"/>
                <w:sz w:val="19"/>
                <w:szCs w:val="19"/>
                <w:lang w:eastAsia="en-AU"/>
              </w:rPr>
              <w:t>curassavicum</w:t>
            </w:r>
            <w:proofErr w:type="spellEnd"/>
            <w:r w:rsidRPr="001923A7">
              <w:rPr>
                <w:rFonts w:cs="Calibri"/>
                <w:i/>
                <w:iCs/>
                <w:kern w:val="0"/>
                <w:sz w:val="19"/>
                <w:szCs w:val="19"/>
                <w:lang w:eastAsia="en-AU"/>
              </w:rPr>
              <w:t>*</w:t>
            </w:r>
          </w:p>
        </w:tc>
        <w:tc>
          <w:tcPr>
            <w:tcW w:w="1920" w:type="dxa"/>
            <w:tcBorders>
              <w:top w:val="nil"/>
              <w:left w:val="nil"/>
              <w:bottom w:val="single" w:sz="4" w:space="0" w:color="auto"/>
              <w:right w:val="single" w:sz="4" w:space="0" w:color="auto"/>
            </w:tcBorders>
            <w:shd w:val="clear" w:color="auto" w:fill="auto"/>
            <w:noWrap/>
            <w:vAlign w:val="bottom"/>
            <w:hideMark/>
          </w:tcPr>
          <w:p w14:paraId="56F1CB33"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Not inundated</w:t>
            </w:r>
          </w:p>
        </w:tc>
        <w:tc>
          <w:tcPr>
            <w:tcW w:w="1120" w:type="dxa"/>
            <w:tcBorders>
              <w:top w:val="nil"/>
              <w:left w:val="nil"/>
              <w:bottom w:val="single" w:sz="4" w:space="0" w:color="auto"/>
              <w:right w:val="single" w:sz="4" w:space="0" w:color="auto"/>
            </w:tcBorders>
            <w:shd w:val="clear" w:color="auto" w:fill="auto"/>
            <w:noWrap/>
            <w:vAlign w:val="bottom"/>
            <w:hideMark/>
          </w:tcPr>
          <w:p w14:paraId="150D4636"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0.6725</w:t>
            </w:r>
          </w:p>
        </w:tc>
      </w:tr>
      <w:tr w:rsidR="005644B3" w:rsidRPr="001923A7" w14:paraId="06B5A3FE"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00FFFF"/>
            <w:noWrap/>
            <w:vAlign w:val="bottom"/>
            <w:hideMark/>
          </w:tcPr>
          <w:p w14:paraId="171EF0C8" w14:textId="77777777" w:rsidR="005644B3" w:rsidRPr="001923A7" w:rsidRDefault="005644B3" w:rsidP="00B31C32">
            <w:pPr>
              <w:spacing w:before="0" w:after="0" w:line="240" w:lineRule="auto"/>
              <w:jc w:val="left"/>
              <w:rPr>
                <w:rFonts w:cs="Calibri"/>
                <w:i/>
                <w:iCs/>
                <w:kern w:val="0"/>
                <w:sz w:val="19"/>
                <w:szCs w:val="19"/>
                <w:lang w:eastAsia="en-AU"/>
              </w:rPr>
            </w:pPr>
            <w:proofErr w:type="spellStart"/>
            <w:r w:rsidRPr="001923A7">
              <w:rPr>
                <w:rFonts w:cs="Calibri"/>
                <w:i/>
                <w:iCs/>
                <w:kern w:val="0"/>
                <w:sz w:val="19"/>
                <w:szCs w:val="19"/>
                <w:lang w:eastAsia="en-AU"/>
              </w:rPr>
              <w:t>Isoetopsis</w:t>
            </w:r>
            <w:proofErr w:type="spellEnd"/>
            <w:r w:rsidRPr="001923A7">
              <w:rPr>
                <w:rFonts w:cs="Calibri"/>
                <w:i/>
                <w:iCs/>
                <w:kern w:val="0"/>
                <w:sz w:val="19"/>
                <w:szCs w:val="19"/>
                <w:lang w:eastAsia="en-AU"/>
              </w:rPr>
              <w:t xml:space="preserve"> </w:t>
            </w:r>
            <w:proofErr w:type="spellStart"/>
            <w:r w:rsidRPr="001923A7">
              <w:rPr>
                <w:rFonts w:cs="Calibri"/>
                <w:i/>
                <w:iCs/>
                <w:kern w:val="0"/>
                <w:sz w:val="19"/>
                <w:szCs w:val="19"/>
                <w:lang w:eastAsia="en-AU"/>
              </w:rPr>
              <w:t>graminifolia</w:t>
            </w:r>
            <w:proofErr w:type="spellEnd"/>
          </w:p>
        </w:tc>
        <w:tc>
          <w:tcPr>
            <w:tcW w:w="1920" w:type="dxa"/>
            <w:tcBorders>
              <w:top w:val="nil"/>
              <w:left w:val="nil"/>
              <w:bottom w:val="single" w:sz="4" w:space="0" w:color="auto"/>
              <w:right w:val="single" w:sz="4" w:space="0" w:color="auto"/>
            </w:tcBorders>
            <w:shd w:val="clear" w:color="auto" w:fill="00FFFF"/>
            <w:noWrap/>
            <w:vAlign w:val="bottom"/>
            <w:hideMark/>
          </w:tcPr>
          <w:p w14:paraId="1907D65D"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Inundated</w:t>
            </w:r>
          </w:p>
        </w:tc>
        <w:tc>
          <w:tcPr>
            <w:tcW w:w="1120" w:type="dxa"/>
            <w:tcBorders>
              <w:top w:val="nil"/>
              <w:left w:val="nil"/>
              <w:bottom w:val="single" w:sz="4" w:space="0" w:color="auto"/>
              <w:right w:val="single" w:sz="4" w:space="0" w:color="auto"/>
            </w:tcBorders>
            <w:shd w:val="clear" w:color="auto" w:fill="00FFFF"/>
            <w:noWrap/>
            <w:vAlign w:val="bottom"/>
            <w:hideMark/>
          </w:tcPr>
          <w:p w14:paraId="5CB77FFB"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0.2623</w:t>
            </w:r>
          </w:p>
        </w:tc>
      </w:tr>
      <w:tr w:rsidR="005644B3" w:rsidRPr="001923A7" w14:paraId="70DF672B"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0160F8A8" w14:textId="77777777" w:rsidR="005644B3" w:rsidRPr="001923A7" w:rsidRDefault="005644B3" w:rsidP="00B31C32">
            <w:pPr>
              <w:spacing w:before="0" w:after="0" w:line="240" w:lineRule="auto"/>
              <w:jc w:val="left"/>
              <w:rPr>
                <w:rFonts w:cs="Calibri"/>
                <w:i/>
                <w:iCs/>
                <w:kern w:val="0"/>
                <w:sz w:val="19"/>
                <w:szCs w:val="19"/>
                <w:lang w:eastAsia="en-AU"/>
              </w:rPr>
            </w:pPr>
            <w:proofErr w:type="spellStart"/>
            <w:r w:rsidRPr="001923A7">
              <w:rPr>
                <w:rFonts w:cs="Calibri"/>
                <w:i/>
                <w:iCs/>
                <w:kern w:val="0"/>
                <w:sz w:val="19"/>
                <w:szCs w:val="19"/>
                <w:lang w:eastAsia="en-AU"/>
              </w:rPr>
              <w:t>Isolepis</w:t>
            </w:r>
            <w:proofErr w:type="spellEnd"/>
            <w:r w:rsidRPr="001923A7">
              <w:rPr>
                <w:rFonts w:cs="Calibri"/>
                <w:i/>
                <w:iCs/>
                <w:kern w:val="0"/>
                <w:sz w:val="19"/>
                <w:szCs w:val="19"/>
                <w:lang w:eastAsia="en-AU"/>
              </w:rPr>
              <w:t xml:space="preserve"> </w:t>
            </w:r>
            <w:proofErr w:type="spellStart"/>
            <w:r w:rsidRPr="001923A7">
              <w:rPr>
                <w:rFonts w:cs="Calibri"/>
                <w:i/>
                <w:iCs/>
                <w:kern w:val="0"/>
                <w:sz w:val="19"/>
                <w:szCs w:val="19"/>
                <w:lang w:eastAsia="en-AU"/>
              </w:rPr>
              <w:t>australiensis</w:t>
            </w:r>
            <w:proofErr w:type="spellEnd"/>
          </w:p>
        </w:tc>
        <w:tc>
          <w:tcPr>
            <w:tcW w:w="1920" w:type="dxa"/>
            <w:tcBorders>
              <w:top w:val="nil"/>
              <w:left w:val="nil"/>
              <w:bottom w:val="single" w:sz="4" w:space="0" w:color="auto"/>
              <w:right w:val="single" w:sz="4" w:space="0" w:color="auto"/>
            </w:tcBorders>
            <w:shd w:val="clear" w:color="auto" w:fill="auto"/>
            <w:noWrap/>
            <w:vAlign w:val="bottom"/>
            <w:hideMark/>
          </w:tcPr>
          <w:p w14:paraId="002FED0C"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Inundated</w:t>
            </w:r>
          </w:p>
        </w:tc>
        <w:tc>
          <w:tcPr>
            <w:tcW w:w="1120" w:type="dxa"/>
            <w:tcBorders>
              <w:top w:val="nil"/>
              <w:left w:val="nil"/>
              <w:bottom w:val="single" w:sz="4" w:space="0" w:color="auto"/>
              <w:right w:val="single" w:sz="4" w:space="0" w:color="auto"/>
            </w:tcBorders>
            <w:shd w:val="clear" w:color="auto" w:fill="auto"/>
            <w:noWrap/>
            <w:vAlign w:val="bottom"/>
            <w:hideMark/>
          </w:tcPr>
          <w:p w14:paraId="49A598B0"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1</w:t>
            </w:r>
          </w:p>
        </w:tc>
      </w:tr>
      <w:tr w:rsidR="005644B3" w:rsidRPr="001923A7" w14:paraId="6F02EDC9"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00FFFF"/>
            <w:noWrap/>
            <w:vAlign w:val="bottom"/>
            <w:hideMark/>
          </w:tcPr>
          <w:p w14:paraId="4585DF25"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 xml:space="preserve">Juncus </w:t>
            </w:r>
            <w:proofErr w:type="spellStart"/>
            <w:r w:rsidRPr="001923A7">
              <w:rPr>
                <w:rFonts w:cs="Calibri"/>
                <w:i/>
                <w:iCs/>
                <w:kern w:val="0"/>
                <w:sz w:val="19"/>
                <w:szCs w:val="19"/>
                <w:lang w:eastAsia="en-AU"/>
              </w:rPr>
              <w:t>usitatus</w:t>
            </w:r>
            <w:proofErr w:type="spellEnd"/>
          </w:p>
        </w:tc>
        <w:tc>
          <w:tcPr>
            <w:tcW w:w="1920" w:type="dxa"/>
            <w:tcBorders>
              <w:top w:val="nil"/>
              <w:left w:val="nil"/>
              <w:bottom w:val="single" w:sz="4" w:space="0" w:color="auto"/>
              <w:right w:val="single" w:sz="4" w:space="0" w:color="auto"/>
            </w:tcBorders>
            <w:shd w:val="clear" w:color="auto" w:fill="00FFFF"/>
            <w:noWrap/>
            <w:vAlign w:val="bottom"/>
            <w:hideMark/>
          </w:tcPr>
          <w:p w14:paraId="3BCE7877"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Pool level</w:t>
            </w:r>
          </w:p>
        </w:tc>
        <w:tc>
          <w:tcPr>
            <w:tcW w:w="1120" w:type="dxa"/>
            <w:tcBorders>
              <w:top w:val="nil"/>
              <w:left w:val="nil"/>
              <w:bottom w:val="single" w:sz="4" w:space="0" w:color="auto"/>
              <w:right w:val="single" w:sz="4" w:space="0" w:color="auto"/>
            </w:tcBorders>
            <w:shd w:val="clear" w:color="auto" w:fill="00FFFF"/>
            <w:noWrap/>
            <w:vAlign w:val="bottom"/>
            <w:hideMark/>
          </w:tcPr>
          <w:p w14:paraId="7AF047E4"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0.5887</w:t>
            </w:r>
          </w:p>
        </w:tc>
      </w:tr>
      <w:tr w:rsidR="005644B3" w:rsidRPr="001923A7" w14:paraId="103292BC"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5E6930E1" w14:textId="77777777" w:rsidR="005644B3" w:rsidRPr="001923A7" w:rsidRDefault="005644B3" w:rsidP="00B31C32">
            <w:pPr>
              <w:spacing w:before="0" w:after="0" w:line="240" w:lineRule="auto"/>
              <w:jc w:val="left"/>
              <w:rPr>
                <w:rFonts w:cs="Calibri"/>
                <w:i/>
                <w:iCs/>
                <w:kern w:val="0"/>
                <w:sz w:val="19"/>
                <w:szCs w:val="19"/>
                <w:lang w:eastAsia="en-AU"/>
              </w:rPr>
            </w:pPr>
            <w:proofErr w:type="spellStart"/>
            <w:r w:rsidRPr="001923A7">
              <w:rPr>
                <w:rFonts w:cs="Calibri"/>
                <w:i/>
                <w:iCs/>
                <w:kern w:val="0"/>
                <w:sz w:val="19"/>
                <w:szCs w:val="19"/>
                <w:lang w:eastAsia="en-AU"/>
              </w:rPr>
              <w:t>Lachnagrostis</w:t>
            </w:r>
            <w:proofErr w:type="spellEnd"/>
            <w:r w:rsidRPr="001923A7">
              <w:rPr>
                <w:rFonts w:cs="Calibri"/>
                <w:i/>
                <w:iCs/>
                <w:kern w:val="0"/>
                <w:sz w:val="19"/>
                <w:szCs w:val="19"/>
                <w:lang w:eastAsia="en-AU"/>
              </w:rPr>
              <w:t xml:space="preserve"> </w:t>
            </w:r>
            <w:proofErr w:type="spellStart"/>
            <w:r w:rsidRPr="001923A7">
              <w:rPr>
                <w:rFonts w:cs="Calibri"/>
                <w:i/>
                <w:iCs/>
                <w:kern w:val="0"/>
                <w:sz w:val="19"/>
                <w:szCs w:val="19"/>
                <w:lang w:eastAsia="en-AU"/>
              </w:rPr>
              <w:t>filiformis</w:t>
            </w:r>
            <w:proofErr w:type="spellEnd"/>
          </w:p>
        </w:tc>
        <w:tc>
          <w:tcPr>
            <w:tcW w:w="1920" w:type="dxa"/>
            <w:tcBorders>
              <w:top w:val="nil"/>
              <w:left w:val="nil"/>
              <w:bottom w:val="single" w:sz="4" w:space="0" w:color="auto"/>
              <w:right w:val="single" w:sz="4" w:space="0" w:color="auto"/>
            </w:tcBorders>
            <w:shd w:val="clear" w:color="auto" w:fill="auto"/>
            <w:noWrap/>
            <w:vAlign w:val="bottom"/>
            <w:hideMark/>
          </w:tcPr>
          <w:p w14:paraId="04850122"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Inundation extent</w:t>
            </w:r>
          </w:p>
        </w:tc>
        <w:tc>
          <w:tcPr>
            <w:tcW w:w="1120" w:type="dxa"/>
            <w:tcBorders>
              <w:top w:val="nil"/>
              <w:left w:val="nil"/>
              <w:bottom w:val="single" w:sz="4" w:space="0" w:color="auto"/>
              <w:right w:val="single" w:sz="4" w:space="0" w:color="auto"/>
            </w:tcBorders>
            <w:shd w:val="clear" w:color="auto" w:fill="auto"/>
            <w:noWrap/>
            <w:vAlign w:val="bottom"/>
            <w:hideMark/>
          </w:tcPr>
          <w:p w14:paraId="7D891D36"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0.1518</w:t>
            </w:r>
          </w:p>
        </w:tc>
      </w:tr>
      <w:tr w:rsidR="005644B3" w:rsidRPr="001923A7" w14:paraId="10D1FEB8"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00FFFF"/>
            <w:noWrap/>
            <w:vAlign w:val="bottom"/>
            <w:hideMark/>
          </w:tcPr>
          <w:p w14:paraId="7F340258" w14:textId="77777777" w:rsidR="005644B3" w:rsidRPr="001923A7" w:rsidRDefault="005644B3" w:rsidP="00B31C32">
            <w:pPr>
              <w:spacing w:before="0" w:after="0" w:line="240" w:lineRule="auto"/>
              <w:jc w:val="left"/>
              <w:rPr>
                <w:rFonts w:cs="Calibri"/>
                <w:i/>
                <w:iCs/>
                <w:kern w:val="0"/>
                <w:sz w:val="19"/>
                <w:szCs w:val="19"/>
                <w:lang w:eastAsia="en-AU"/>
              </w:rPr>
            </w:pPr>
            <w:proofErr w:type="spellStart"/>
            <w:r w:rsidRPr="001923A7">
              <w:rPr>
                <w:rFonts w:cs="Calibri"/>
                <w:i/>
                <w:iCs/>
                <w:kern w:val="0"/>
                <w:sz w:val="19"/>
                <w:szCs w:val="19"/>
                <w:lang w:eastAsia="en-AU"/>
              </w:rPr>
              <w:t>Ludwigia</w:t>
            </w:r>
            <w:proofErr w:type="spellEnd"/>
            <w:r w:rsidRPr="001923A7">
              <w:rPr>
                <w:rFonts w:cs="Calibri"/>
                <w:i/>
                <w:iCs/>
                <w:kern w:val="0"/>
                <w:sz w:val="19"/>
                <w:szCs w:val="19"/>
                <w:lang w:eastAsia="en-AU"/>
              </w:rPr>
              <w:t xml:space="preserve"> </w:t>
            </w:r>
            <w:proofErr w:type="spellStart"/>
            <w:r w:rsidRPr="001923A7">
              <w:rPr>
                <w:rFonts w:cs="Calibri"/>
                <w:i/>
                <w:iCs/>
                <w:kern w:val="0"/>
                <w:sz w:val="19"/>
                <w:szCs w:val="19"/>
                <w:lang w:eastAsia="en-AU"/>
              </w:rPr>
              <w:t>peploides</w:t>
            </w:r>
            <w:proofErr w:type="spellEnd"/>
          </w:p>
        </w:tc>
        <w:tc>
          <w:tcPr>
            <w:tcW w:w="1920" w:type="dxa"/>
            <w:tcBorders>
              <w:top w:val="nil"/>
              <w:left w:val="nil"/>
              <w:bottom w:val="single" w:sz="4" w:space="0" w:color="auto"/>
              <w:right w:val="single" w:sz="4" w:space="0" w:color="auto"/>
            </w:tcBorders>
            <w:shd w:val="clear" w:color="auto" w:fill="00FFFF"/>
            <w:noWrap/>
            <w:vAlign w:val="bottom"/>
            <w:hideMark/>
          </w:tcPr>
          <w:p w14:paraId="094AF830"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Inundated</w:t>
            </w:r>
          </w:p>
        </w:tc>
        <w:tc>
          <w:tcPr>
            <w:tcW w:w="1120" w:type="dxa"/>
            <w:tcBorders>
              <w:top w:val="nil"/>
              <w:left w:val="nil"/>
              <w:bottom w:val="single" w:sz="4" w:space="0" w:color="auto"/>
              <w:right w:val="single" w:sz="4" w:space="0" w:color="auto"/>
            </w:tcBorders>
            <w:shd w:val="clear" w:color="auto" w:fill="00FFFF"/>
            <w:noWrap/>
            <w:vAlign w:val="bottom"/>
            <w:hideMark/>
          </w:tcPr>
          <w:p w14:paraId="1C1FF3A0"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0.1008</w:t>
            </w:r>
          </w:p>
        </w:tc>
      </w:tr>
      <w:tr w:rsidR="005644B3" w:rsidRPr="001923A7" w14:paraId="2438893E"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00FFFF"/>
            <w:noWrap/>
            <w:vAlign w:val="bottom"/>
            <w:hideMark/>
          </w:tcPr>
          <w:p w14:paraId="63259828" w14:textId="77777777" w:rsidR="005644B3" w:rsidRPr="001923A7" w:rsidRDefault="005644B3" w:rsidP="00B31C32">
            <w:pPr>
              <w:spacing w:before="0" w:after="0" w:line="240" w:lineRule="auto"/>
              <w:jc w:val="left"/>
              <w:rPr>
                <w:rFonts w:cs="Calibri"/>
                <w:i/>
                <w:iCs/>
                <w:kern w:val="0"/>
                <w:sz w:val="19"/>
                <w:szCs w:val="19"/>
                <w:lang w:eastAsia="en-AU"/>
              </w:rPr>
            </w:pPr>
            <w:proofErr w:type="spellStart"/>
            <w:r w:rsidRPr="001923A7">
              <w:rPr>
                <w:rFonts w:cs="Calibri"/>
                <w:i/>
                <w:iCs/>
                <w:kern w:val="0"/>
                <w:sz w:val="19"/>
                <w:szCs w:val="19"/>
                <w:lang w:eastAsia="en-AU"/>
              </w:rPr>
              <w:t>Lythrum</w:t>
            </w:r>
            <w:proofErr w:type="spellEnd"/>
            <w:r w:rsidRPr="001923A7">
              <w:rPr>
                <w:rFonts w:cs="Calibri"/>
                <w:i/>
                <w:iCs/>
                <w:kern w:val="0"/>
                <w:sz w:val="19"/>
                <w:szCs w:val="19"/>
                <w:lang w:eastAsia="en-AU"/>
              </w:rPr>
              <w:t xml:space="preserve"> </w:t>
            </w:r>
            <w:proofErr w:type="spellStart"/>
            <w:r w:rsidRPr="001923A7">
              <w:rPr>
                <w:rFonts w:cs="Calibri"/>
                <w:i/>
                <w:iCs/>
                <w:kern w:val="0"/>
                <w:sz w:val="19"/>
                <w:szCs w:val="19"/>
                <w:lang w:eastAsia="en-AU"/>
              </w:rPr>
              <w:t>hyssopifolia</w:t>
            </w:r>
            <w:proofErr w:type="spellEnd"/>
          </w:p>
        </w:tc>
        <w:tc>
          <w:tcPr>
            <w:tcW w:w="1920" w:type="dxa"/>
            <w:tcBorders>
              <w:top w:val="nil"/>
              <w:left w:val="nil"/>
              <w:bottom w:val="single" w:sz="4" w:space="0" w:color="auto"/>
              <w:right w:val="single" w:sz="4" w:space="0" w:color="auto"/>
            </w:tcBorders>
            <w:shd w:val="clear" w:color="auto" w:fill="00FFFF"/>
            <w:noWrap/>
            <w:vAlign w:val="bottom"/>
            <w:hideMark/>
          </w:tcPr>
          <w:p w14:paraId="344B2307"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Inundated</w:t>
            </w:r>
          </w:p>
        </w:tc>
        <w:tc>
          <w:tcPr>
            <w:tcW w:w="1120" w:type="dxa"/>
            <w:tcBorders>
              <w:top w:val="nil"/>
              <w:left w:val="nil"/>
              <w:bottom w:val="single" w:sz="4" w:space="0" w:color="auto"/>
              <w:right w:val="single" w:sz="4" w:space="0" w:color="auto"/>
            </w:tcBorders>
            <w:shd w:val="clear" w:color="auto" w:fill="00FFFF"/>
            <w:noWrap/>
            <w:vAlign w:val="bottom"/>
            <w:hideMark/>
          </w:tcPr>
          <w:p w14:paraId="418B9DFB"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0.2543</w:t>
            </w:r>
          </w:p>
        </w:tc>
      </w:tr>
      <w:tr w:rsidR="005644B3" w:rsidRPr="001923A7" w14:paraId="30FEB7FC"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27F5C7F2"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Melaleuca lanceolata</w:t>
            </w:r>
          </w:p>
        </w:tc>
        <w:tc>
          <w:tcPr>
            <w:tcW w:w="1920" w:type="dxa"/>
            <w:tcBorders>
              <w:top w:val="nil"/>
              <w:left w:val="nil"/>
              <w:bottom w:val="single" w:sz="4" w:space="0" w:color="auto"/>
              <w:right w:val="single" w:sz="4" w:space="0" w:color="auto"/>
            </w:tcBorders>
            <w:shd w:val="clear" w:color="auto" w:fill="auto"/>
            <w:noWrap/>
            <w:vAlign w:val="bottom"/>
            <w:hideMark/>
          </w:tcPr>
          <w:p w14:paraId="1B046024"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Inundation extent</w:t>
            </w:r>
          </w:p>
        </w:tc>
        <w:tc>
          <w:tcPr>
            <w:tcW w:w="1120" w:type="dxa"/>
            <w:tcBorders>
              <w:top w:val="nil"/>
              <w:left w:val="nil"/>
              <w:bottom w:val="single" w:sz="4" w:space="0" w:color="auto"/>
              <w:right w:val="single" w:sz="4" w:space="0" w:color="auto"/>
            </w:tcBorders>
            <w:shd w:val="clear" w:color="auto" w:fill="auto"/>
            <w:noWrap/>
            <w:vAlign w:val="bottom"/>
            <w:hideMark/>
          </w:tcPr>
          <w:p w14:paraId="11E8F4A9"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0.1518</w:t>
            </w:r>
          </w:p>
        </w:tc>
      </w:tr>
      <w:tr w:rsidR="005644B3" w:rsidRPr="001923A7" w14:paraId="5250C154"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00FFFF"/>
            <w:noWrap/>
            <w:vAlign w:val="bottom"/>
            <w:hideMark/>
          </w:tcPr>
          <w:p w14:paraId="36E5080D" w14:textId="77777777" w:rsidR="005644B3" w:rsidRPr="001923A7" w:rsidRDefault="005644B3" w:rsidP="00B31C32">
            <w:pPr>
              <w:spacing w:before="0" w:after="0" w:line="240" w:lineRule="auto"/>
              <w:jc w:val="left"/>
              <w:rPr>
                <w:rFonts w:cs="Calibri"/>
                <w:i/>
                <w:iCs/>
                <w:kern w:val="0"/>
                <w:sz w:val="19"/>
                <w:szCs w:val="19"/>
                <w:lang w:eastAsia="en-AU"/>
              </w:rPr>
            </w:pPr>
            <w:proofErr w:type="spellStart"/>
            <w:r w:rsidRPr="001923A7">
              <w:rPr>
                <w:rFonts w:cs="Calibri"/>
                <w:i/>
                <w:iCs/>
                <w:kern w:val="0"/>
                <w:sz w:val="19"/>
                <w:szCs w:val="19"/>
                <w:lang w:eastAsia="en-AU"/>
              </w:rPr>
              <w:t>Myriophyllum</w:t>
            </w:r>
            <w:proofErr w:type="spellEnd"/>
            <w:r w:rsidRPr="001923A7">
              <w:rPr>
                <w:rFonts w:cs="Calibri"/>
                <w:i/>
                <w:iCs/>
                <w:kern w:val="0"/>
                <w:sz w:val="19"/>
                <w:szCs w:val="19"/>
                <w:lang w:eastAsia="en-AU"/>
              </w:rPr>
              <w:t xml:space="preserve"> </w:t>
            </w:r>
            <w:proofErr w:type="spellStart"/>
            <w:r w:rsidRPr="001923A7">
              <w:rPr>
                <w:rFonts w:cs="Calibri"/>
                <w:i/>
                <w:iCs/>
                <w:kern w:val="0"/>
                <w:sz w:val="19"/>
                <w:szCs w:val="19"/>
                <w:lang w:eastAsia="en-AU"/>
              </w:rPr>
              <w:t>papillosum</w:t>
            </w:r>
            <w:proofErr w:type="spellEnd"/>
            <w:r w:rsidRPr="001923A7">
              <w:rPr>
                <w:rFonts w:cs="Calibri"/>
                <w:i/>
                <w:iCs/>
                <w:kern w:val="0"/>
                <w:sz w:val="19"/>
                <w:szCs w:val="19"/>
                <w:lang w:eastAsia="en-AU"/>
              </w:rPr>
              <w:t>#</w:t>
            </w:r>
          </w:p>
        </w:tc>
        <w:tc>
          <w:tcPr>
            <w:tcW w:w="1920" w:type="dxa"/>
            <w:tcBorders>
              <w:top w:val="nil"/>
              <w:left w:val="nil"/>
              <w:bottom w:val="single" w:sz="4" w:space="0" w:color="auto"/>
              <w:right w:val="single" w:sz="4" w:space="0" w:color="auto"/>
            </w:tcBorders>
            <w:shd w:val="clear" w:color="auto" w:fill="00FFFF"/>
            <w:noWrap/>
            <w:vAlign w:val="bottom"/>
            <w:hideMark/>
          </w:tcPr>
          <w:p w14:paraId="0B72BBD5"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Pool level</w:t>
            </w:r>
          </w:p>
        </w:tc>
        <w:tc>
          <w:tcPr>
            <w:tcW w:w="1120" w:type="dxa"/>
            <w:tcBorders>
              <w:top w:val="nil"/>
              <w:left w:val="nil"/>
              <w:bottom w:val="single" w:sz="4" w:space="0" w:color="auto"/>
              <w:right w:val="single" w:sz="4" w:space="0" w:color="auto"/>
            </w:tcBorders>
            <w:shd w:val="clear" w:color="auto" w:fill="00FFFF"/>
            <w:noWrap/>
            <w:vAlign w:val="bottom"/>
            <w:hideMark/>
          </w:tcPr>
          <w:p w14:paraId="4B9C9D70"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0.1672</w:t>
            </w:r>
          </w:p>
        </w:tc>
      </w:tr>
      <w:tr w:rsidR="005644B3" w:rsidRPr="001923A7" w14:paraId="2E68795E"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7F15A614" w14:textId="77777777" w:rsidR="005644B3" w:rsidRPr="001923A7" w:rsidRDefault="005644B3" w:rsidP="00B31C32">
            <w:pPr>
              <w:spacing w:before="0" w:after="0" w:line="240" w:lineRule="auto"/>
              <w:jc w:val="left"/>
              <w:rPr>
                <w:rFonts w:cs="Calibri"/>
                <w:i/>
                <w:iCs/>
                <w:kern w:val="0"/>
                <w:sz w:val="19"/>
                <w:szCs w:val="19"/>
                <w:lang w:eastAsia="en-AU"/>
              </w:rPr>
            </w:pPr>
            <w:proofErr w:type="spellStart"/>
            <w:r w:rsidRPr="001923A7">
              <w:rPr>
                <w:rFonts w:cs="Calibri"/>
                <w:i/>
                <w:iCs/>
                <w:kern w:val="0"/>
                <w:sz w:val="19"/>
                <w:szCs w:val="19"/>
                <w:lang w:eastAsia="en-AU"/>
              </w:rPr>
              <w:t>Paspalidium</w:t>
            </w:r>
            <w:proofErr w:type="spellEnd"/>
            <w:r w:rsidRPr="001923A7">
              <w:rPr>
                <w:rFonts w:cs="Calibri"/>
                <w:i/>
                <w:iCs/>
                <w:kern w:val="0"/>
                <w:sz w:val="19"/>
                <w:szCs w:val="19"/>
                <w:lang w:eastAsia="en-AU"/>
              </w:rPr>
              <w:t xml:space="preserve"> </w:t>
            </w:r>
            <w:proofErr w:type="spellStart"/>
            <w:r w:rsidRPr="001923A7">
              <w:rPr>
                <w:rFonts w:cs="Calibri"/>
                <w:i/>
                <w:iCs/>
                <w:kern w:val="0"/>
                <w:sz w:val="19"/>
                <w:szCs w:val="19"/>
                <w:lang w:eastAsia="en-AU"/>
              </w:rPr>
              <w:t>jubiflorum</w:t>
            </w:r>
            <w:proofErr w:type="spellEnd"/>
          </w:p>
        </w:tc>
        <w:tc>
          <w:tcPr>
            <w:tcW w:w="1920" w:type="dxa"/>
            <w:tcBorders>
              <w:top w:val="nil"/>
              <w:left w:val="nil"/>
              <w:bottom w:val="single" w:sz="4" w:space="0" w:color="auto"/>
              <w:right w:val="single" w:sz="4" w:space="0" w:color="auto"/>
            </w:tcBorders>
            <w:shd w:val="clear" w:color="auto" w:fill="auto"/>
            <w:noWrap/>
            <w:vAlign w:val="bottom"/>
            <w:hideMark/>
          </w:tcPr>
          <w:p w14:paraId="7C91430D"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Inundation extent</w:t>
            </w:r>
          </w:p>
        </w:tc>
        <w:tc>
          <w:tcPr>
            <w:tcW w:w="1120" w:type="dxa"/>
            <w:tcBorders>
              <w:top w:val="nil"/>
              <w:left w:val="nil"/>
              <w:bottom w:val="single" w:sz="4" w:space="0" w:color="auto"/>
              <w:right w:val="single" w:sz="4" w:space="0" w:color="auto"/>
            </w:tcBorders>
            <w:shd w:val="clear" w:color="auto" w:fill="auto"/>
            <w:noWrap/>
            <w:vAlign w:val="bottom"/>
            <w:hideMark/>
          </w:tcPr>
          <w:p w14:paraId="6BC6383D"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0.1476</w:t>
            </w:r>
          </w:p>
        </w:tc>
      </w:tr>
      <w:tr w:rsidR="005644B3" w:rsidRPr="001923A7" w14:paraId="79FBAACE"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00FFFF"/>
            <w:noWrap/>
            <w:vAlign w:val="bottom"/>
            <w:hideMark/>
          </w:tcPr>
          <w:p w14:paraId="7904D2B4" w14:textId="77777777" w:rsidR="005644B3" w:rsidRPr="001923A7" w:rsidRDefault="005644B3" w:rsidP="00B31C32">
            <w:pPr>
              <w:spacing w:before="0" w:after="0" w:line="240" w:lineRule="auto"/>
              <w:jc w:val="left"/>
              <w:rPr>
                <w:rFonts w:cs="Calibri"/>
                <w:i/>
                <w:iCs/>
                <w:kern w:val="0"/>
                <w:sz w:val="19"/>
                <w:szCs w:val="19"/>
                <w:lang w:eastAsia="en-AU"/>
              </w:rPr>
            </w:pPr>
            <w:proofErr w:type="spellStart"/>
            <w:r w:rsidRPr="001923A7">
              <w:rPr>
                <w:rFonts w:cs="Calibri"/>
                <w:i/>
                <w:iCs/>
                <w:kern w:val="0"/>
                <w:sz w:val="19"/>
                <w:szCs w:val="19"/>
                <w:lang w:eastAsia="en-AU"/>
              </w:rPr>
              <w:t>Persicaria</w:t>
            </w:r>
            <w:proofErr w:type="spellEnd"/>
            <w:r w:rsidRPr="001923A7">
              <w:rPr>
                <w:rFonts w:cs="Calibri"/>
                <w:i/>
                <w:iCs/>
                <w:kern w:val="0"/>
                <w:sz w:val="19"/>
                <w:szCs w:val="19"/>
                <w:lang w:eastAsia="en-AU"/>
              </w:rPr>
              <w:t xml:space="preserve"> </w:t>
            </w:r>
            <w:proofErr w:type="spellStart"/>
            <w:r w:rsidRPr="001923A7">
              <w:rPr>
                <w:rFonts w:cs="Calibri"/>
                <w:i/>
                <w:iCs/>
                <w:kern w:val="0"/>
                <w:sz w:val="19"/>
                <w:szCs w:val="19"/>
                <w:lang w:eastAsia="en-AU"/>
              </w:rPr>
              <w:t>lapathifolia</w:t>
            </w:r>
            <w:proofErr w:type="spellEnd"/>
          </w:p>
        </w:tc>
        <w:tc>
          <w:tcPr>
            <w:tcW w:w="1920" w:type="dxa"/>
            <w:tcBorders>
              <w:top w:val="nil"/>
              <w:left w:val="nil"/>
              <w:bottom w:val="single" w:sz="4" w:space="0" w:color="auto"/>
              <w:right w:val="single" w:sz="4" w:space="0" w:color="auto"/>
            </w:tcBorders>
            <w:shd w:val="clear" w:color="auto" w:fill="00FFFF"/>
            <w:noWrap/>
            <w:vAlign w:val="bottom"/>
            <w:hideMark/>
          </w:tcPr>
          <w:p w14:paraId="49142F23"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Inundated</w:t>
            </w:r>
          </w:p>
        </w:tc>
        <w:tc>
          <w:tcPr>
            <w:tcW w:w="1120" w:type="dxa"/>
            <w:tcBorders>
              <w:top w:val="nil"/>
              <w:left w:val="nil"/>
              <w:bottom w:val="single" w:sz="4" w:space="0" w:color="auto"/>
              <w:right w:val="single" w:sz="4" w:space="0" w:color="auto"/>
            </w:tcBorders>
            <w:shd w:val="clear" w:color="auto" w:fill="00FFFF"/>
            <w:noWrap/>
            <w:vAlign w:val="bottom"/>
            <w:hideMark/>
          </w:tcPr>
          <w:p w14:paraId="26613359"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0.3951</w:t>
            </w:r>
          </w:p>
        </w:tc>
      </w:tr>
      <w:tr w:rsidR="005644B3" w:rsidRPr="001923A7" w14:paraId="41A327A0"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46D499FF"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Picris angustifolia</w:t>
            </w:r>
          </w:p>
        </w:tc>
        <w:tc>
          <w:tcPr>
            <w:tcW w:w="1920" w:type="dxa"/>
            <w:tcBorders>
              <w:top w:val="nil"/>
              <w:left w:val="nil"/>
              <w:bottom w:val="single" w:sz="4" w:space="0" w:color="auto"/>
              <w:right w:val="single" w:sz="4" w:space="0" w:color="auto"/>
            </w:tcBorders>
            <w:shd w:val="clear" w:color="auto" w:fill="auto"/>
            <w:noWrap/>
            <w:vAlign w:val="bottom"/>
            <w:hideMark/>
          </w:tcPr>
          <w:p w14:paraId="65249A89"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Inundation extent</w:t>
            </w:r>
          </w:p>
        </w:tc>
        <w:tc>
          <w:tcPr>
            <w:tcW w:w="1120" w:type="dxa"/>
            <w:tcBorders>
              <w:top w:val="nil"/>
              <w:left w:val="nil"/>
              <w:bottom w:val="single" w:sz="4" w:space="0" w:color="auto"/>
              <w:right w:val="single" w:sz="4" w:space="0" w:color="auto"/>
            </w:tcBorders>
            <w:shd w:val="clear" w:color="auto" w:fill="auto"/>
            <w:noWrap/>
            <w:vAlign w:val="bottom"/>
            <w:hideMark/>
          </w:tcPr>
          <w:p w14:paraId="48495DE0"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0.4649</w:t>
            </w:r>
          </w:p>
        </w:tc>
      </w:tr>
      <w:tr w:rsidR="005644B3" w:rsidRPr="001923A7" w14:paraId="5166BA9C"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2B340961" w14:textId="77777777" w:rsidR="005644B3" w:rsidRPr="001923A7" w:rsidRDefault="005644B3" w:rsidP="00B31C32">
            <w:pPr>
              <w:spacing w:before="0" w:after="0" w:line="240" w:lineRule="auto"/>
              <w:jc w:val="left"/>
              <w:rPr>
                <w:rFonts w:cs="Calibri"/>
                <w:i/>
                <w:iCs/>
                <w:kern w:val="0"/>
                <w:sz w:val="19"/>
                <w:szCs w:val="19"/>
                <w:lang w:eastAsia="en-AU"/>
              </w:rPr>
            </w:pPr>
            <w:proofErr w:type="spellStart"/>
            <w:r w:rsidRPr="001923A7">
              <w:rPr>
                <w:rFonts w:cs="Calibri"/>
                <w:i/>
                <w:iCs/>
                <w:kern w:val="0"/>
                <w:sz w:val="19"/>
                <w:szCs w:val="19"/>
                <w:lang w:eastAsia="en-AU"/>
              </w:rPr>
              <w:t>Rorippa</w:t>
            </w:r>
            <w:proofErr w:type="spellEnd"/>
            <w:r w:rsidRPr="001923A7">
              <w:rPr>
                <w:rFonts w:cs="Calibri"/>
                <w:i/>
                <w:iCs/>
                <w:kern w:val="0"/>
                <w:sz w:val="19"/>
                <w:szCs w:val="19"/>
                <w:lang w:eastAsia="en-AU"/>
              </w:rPr>
              <w:t xml:space="preserve"> palustris*</w:t>
            </w:r>
          </w:p>
        </w:tc>
        <w:tc>
          <w:tcPr>
            <w:tcW w:w="1920" w:type="dxa"/>
            <w:tcBorders>
              <w:top w:val="nil"/>
              <w:left w:val="nil"/>
              <w:bottom w:val="single" w:sz="4" w:space="0" w:color="auto"/>
              <w:right w:val="single" w:sz="4" w:space="0" w:color="auto"/>
            </w:tcBorders>
            <w:shd w:val="clear" w:color="auto" w:fill="auto"/>
            <w:noWrap/>
            <w:vAlign w:val="bottom"/>
            <w:hideMark/>
          </w:tcPr>
          <w:p w14:paraId="0658A96E"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Not inundated</w:t>
            </w:r>
          </w:p>
        </w:tc>
        <w:tc>
          <w:tcPr>
            <w:tcW w:w="1120" w:type="dxa"/>
            <w:tcBorders>
              <w:top w:val="nil"/>
              <w:left w:val="nil"/>
              <w:bottom w:val="single" w:sz="4" w:space="0" w:color="auto"/>
              <w:right w:val="single" w:sz="4" w:space="0" w:color="auto"/>
            </w:tcBorders>
            <w:shd w:val="clear" w:color="auto" w:fill="auto"/>
            <w:noWrap/>
            <w:vAlign w:val="bottom"/>
            <w:hideMark/>
          </w:tcPr>
          <w:p w14:paraId="1268969D"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0.6309</w:t>
            </w:r>
          </w:p>
        </w:tc>
      </w:tr>
      <w:tr w:rsidR="005644B3" w:rsidRPr="001923A7" w14:paraId="3CE814DA"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6D11C7A3" w14:textId="77777777" w:rsidR="005644B3" w:rsidRPr="001923A7" w:rsidRDefault="005644B3" w:rsidP="00B31C32">
            <w:pPr>
              <w:spacing w:before="0" w:after="0" w:line="240" w:lineRule="auto"/>
              <w:jc w:val="left"/>
              <w:rPr>
                <w:rFonts w:cs="Calibri"/>
                <w:i/>
                <w:iCs/>
                <w:kern w:val="0"/>
                <w:sz w:val="19"/>
                <w:szCs w:val="19"/>
                <w:lang w:eastAsia="en-AU"/>
              </w:rPr>
            </w:pPr>
            <w:proofErr w:type="spellStart"/>
            <w:r w:rsidRPr="001923A7">
              <w:rPr>
                <w:rFonts w:cs="Calibri"/>
                <w:i/>
                <w:iCs/>
                <w:kern w:val="0"/>
                <w:sz w:val="19"/>
                <w:szCs w:val="19"/>
                <w:lang w:eastAsia="en-AU"/>
              </w:rPr>
              <w:t>Sclerolaena</w:t>
            </w:r>
            <w:proofErr w:type="spellEnd"/>
            <w:r w:rsidRPr="001923A7">
              <w:rPr>
                <w:rFonts w:cs="Calibri"/>
                <w:i/>
                <w:iCs/>
                <w:kern w:val="0"/>
                <w:sz w:val="19"/>
                <w:szCs w:val="19"/>
                <w:lang w:eastAsia="en-AU"/>
              </w:rPr>
              <w:t xml:space="preserve"> </w:t>
            </w:r>
            <w:proofErr w:type="spellStart"/>
            <w:r w:rsidRPr="001923A7">
              <w:rPr>
                <w:rFonts w:cs="Calibri"/>
                <w:i/>
                <w:iCs/>
                <w:kern w:val="0"/>
                <w:sz w:val="19"/>
                <w:szCs w:val="19"/>
                <w:lang w:eastAsia="en-AU"/>
              </w:rPr>
              <w:t>divaricata</w:t>
            </w:r>
            <w:proofErr w:type="spellEnd"/>
          </w:p>
        </w:tc>
        <w:tc>
          <w:tcPr>
            <w:tcW w:w="1920" w:type="dxa"/>
            <w:tcBorders>
              <w:top w:val="nil"/>
              <w:left w:val="nil"/>
              <w:bottom w:val="single" w:sz="4" w:space="0" w:color="auto"/>
              <w:right w:val="single" w:sz="4" w:space="0" w:color="auto"/>
            </w:tcBorders>
            <w:shd w:val="clear" w:color="auto" w:fill="auto"/>
            <w:noWrap/>
            <w:vAlign w:val="bottom"/>
            <w:hideMark/>
          </w:tcPr>
          <w:p w14:paraId="5E24B7AB"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Not inundated</w:t>
            </w:r>
          </w:p>
        </w:tc>
        <w:tc>
          <w:tcPr>
            <w:tcW w:w="1120" w:type="dxa"/>
            <w:tcBorders>
              <w:top w:val="nil"/>
              <w:left w:val="nil"/>
              <w:bottom w:val="single" w:sz="4" w:space="0" w:color="auto"/>
              <w:right w:val="single" w:sz="4" w:space="0" w:color="auto"/>
            </w:tcBorders>
            <w:shd w:val="clear" w:color="auto" w:fill="auto"/>
            <w:noWrap/>
            <w:vAlign w:val="bottom"/>
            <w:hideMark/>
          </w:tcPr>
          <w:p w14:paraId="41A6F3E9"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0.6459</w:t>
            </w:r>
          </w:p>
        </w:tc>
      </w:tr>
      <w:tr w:rsidR="005644B3" w:rsidRPr="001923A7" w14:paraId="406DBC0F"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2E74B58E"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 xml:space="preserve">Senecio </w:t>
            </w:r>
            <w:proofErr w:type="spellStart"/>
            <w:r w:rsidRPr="001923A7">
              <w:rPr>
                <w:rFonts w:cs="Calibri"/>
                <w:i/>
                <w:iCs/>
                <w:kern w:val="0"/>
                <w:sz w:val="19"/>
                <w:szCs w:val="19"/>
                <w:lang w:eastAsia="en-AU"/>
              </w:rPr>
              <w:t>cunninghamii</w:t>
            </w:r>
            <w:proofErr w:type="spellEnd"/>
          </w:p>
        </w:tc>
        <w:tc>
          <w:tcPr>
            <w:tcW w:w="1920" w:type="dxa"/>
            <w:tcBorders>
              <w:top w:val="nil"/>
              <w:left w:val="nil"/>
              <w:bottom w:val="single" w:sz="4" w:space="0" w:color="auto"/>
              <w:right w:val="single" w:sz="4" w:space="0" w:color="auto"/>
            </w:tcBorders>
            <w:shd w:val="clear" w:color="auto" w:fill="auto"/>
            <w:noWrap/>
            <w:vAlign w:val="bottom"/>
            <w:hideMark/>
          </w:tcPr>
          <w:p w14:paraId="4E65D191"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Inundated</w:t>
            </w:r>
          </w:p>
        </w:tc>
        <w:tc>
          <w:tcPr>
            <w:tcW w:w="1120" w:type="dxa"/>
            <w:tcBorders>
              <w:top w:val="nil"/>
              <w:left w:val="nil"/>
              <w:bottom w:val="single" w:sz="4" w:space="0" w:color="auto"/>
              <w:right w:val="single" w:sz="4" w:space="0" w:color="auto"/>
            </w:tcBorders>
            <w:shd w:val="clear" w:color="auto" w:fill="auto"/>
            <w:noWrap/>
            <w:vAlign w:val="bottom"/>
            <w:hideMark/>
          </w:tcPr>
          <w:p w14:paraId="33257E5E"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1</w:t>
            </w:r>
          </w:p>
        </w:tc>
      </w:tr>
      <w:tr w:rsidR="005644B3" w:rsidRPr="001923A7" w14:paraId="6D22D223"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4CD4521B"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 xml:space="preserve">Silene </w:t>
            </w:r>
            <w:proofErr w:type="spellStart"/>
            <w:r w:rsidRPr="001923A7">
              <w:rPr>
                <w:rFonts w:cs="Calibri"/>
                <w:i/>
                <w:iCs/>
                <w:kern w:val="0"/>
                <w:sz w:val="19"/>
                <w:szCs w:val="19"/>
                <w:lang w:eastAsia="en-AU"/>
              </w:rPr>
              <w:t>nocturna</w:t>
            </w:r>
            <w:proofErr w:type="spellEnd"/>
            <w:r w:rsidRPr="001923A7">
              <w:rPr>
                <w:rFonts w:cs="Calibri"/>
                <w:i/>
                <w:iCs/>
                <w:kern w:val="0"/>
                <w:sz w:val="19"/>
                <w:szCs w:val="19"/>
                <w:lang w:eastAsia="en-AU"/>
              </w:rPr>
              <w:t>*</w:t>
            </w:r>
          </w:p>
        </w:tc>
        <w:tc>
          <w:tcPr>
            <w:tcW w:w="1920" w:type="dxa"/>
            <w:tcBorders>
              <w:top w:val="nil"/>
              <w:left w:val="nil"/>
              <w:bottom w:val="single" w:sz="4" w:space="0" w:color="auto"/>
              <w:right w:val="single" w:sz="4" w:space="0" w:color="auto"/>
            </w:tcBorders>
            <w:shd w:val="clear" w:color="auto" w:fill="auto"/>
            <w:noWrap/>
            <w:vAlign w:val="bottom"/>
            <w:hideMark/>
          </w:tcPr>
          <w:p w14:paraId="085EBAAA"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Not inundated</w:t>
            </w:r>
          </w:p>
        </w:tc>
        <w:tc>
          <w:tcPr>
            <w:tcW w:w="1120" w:type="dxa"/>
            <w:tcBorders>
              <w:top w:val="nil"/>
              <w:left w:val="nil"/>
              <w:bottom w:val="single" w:sz="4" w:space="0" w:color="auto"/>
              <w:right w:val="single" w:sz="4" w:space="0" w:color="auto"/>
            </w:tcBorders>
            <w:shd w:val="clear" w:color="auto" w:fill="auto"/>
            <w:noWrap/>
            <w:vAlign w:val="bottom"/>
            <w:hideMark/>
          </w:tcPr>
          <w:p w14:paraId="352BD1F7"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0.6459</w:t>
            </w:r>
          </w:p>
        </w:tc>
      </w:tr>
      <w:tr w:rsidR="005644B3" w:rsidRPr="001923A7" w14:paraId="103AAFED"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00FFFF"/>
            <w:noWrap/>
            <w:vAlign w:val="bottom"/>
            <w:hideMark/>
          </w:tcPr>
          <w:p w14:paraId="6BE467A6" w14:textId="77777777" w:rsidR="005644B3" w:rsidRPr="001923A7" w:rsidRDefault="005644B3" w:rsidP="00B31C32">
            <w:pPr>
              <w:spacing w:before="0" w:after="0" w:line="240" w:lineRule="auto"/>
              <w:jc w:val="left"/>
              <w:rPr>
                <w:rFonts w:cs="Calibri"/>
                <w:i/>
                <w:iCs/>
                <w:kern w:val="0"/>
                <w:sz w:val="19"/>
                <w:szCs w:val="19"/>
                <w:lang w:eastAsia="en-AU"/>
              </w:rPr>
            </w:pPr>
            <w:proofErr w:type="spellStart"/>
            <w:r w:rsidRPr="001923A7">
              <w:rPr>
                <w:rFonts w:cs="Calibri"/>
                <w:i/>
                <w:iCs/>
                <w:kern w:val="0"/>
                <w:sz w:val="19"/>
                <w:szCs w:val="19"/>
                <w:lang w:eastAsia="en-AU"/>
              </w:rPr>
              <w:t>Sphaeromorphaea</w:t>
            </w:r>
            <w:proofErr w:type="spellEnd"/>
            <w:r w:rsidRPr="001923A7">
              <w:rPr>
                <w:rFonts w:cs="Calibri"/>
                <w:i/>
                <w:iCs/>
                <w:kern w:val="0"/>
                <w:sz w:val="19"/>
                <w:szCs w:val="19"/>
                <w:lang w:eastAsia="en-AU"/>
              </w:rPr>
              <w:t xml:space="preserve"> australis</w:t>
            </w:r>
          </w:p>
        </w:tc>
        <w:tc>
          <w:tcPr>
            <w:tcW w:w="1920" w:type="dxa"/>
            <w:tcBorders>
              <w:top w:val="nil"/>
              <w:left w:val="nil"/>
              <w:bottom w:val="single" w:sz="4" w:space="0" w:color="auto"/>
              <w:right w:val="single" w:sz="4" w:space="0" w:color="auto"/>
            </w:tcBorders>
            <w:shd w:val="clear" w:color="auto" w:fill="00FFFF"/>
            <w:noWrap/>
            <w:vAlign w:val="bottom"/>
            <w:hideMark/>
          </w:tcPr>
          <w:p w14:paraId="34692A8A"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Inundated</w:t>
            </w:r>
          </w:p>
        </w:tc>
        <w:tc>
          <w:tcPr>
            <w:tcW w:w="1120" w:type="dxa"/>
            <w:tcBorders>
              <w:top w:val="nil"/>
              <w:left w:val="nil"/>
              <w:bottom w:val="single" w:sz="4" w:space="0" w:color="auto"/>
              <w:right w:val="single" w:sz="4" w:space="0" w:color="auto"/>
            </w:tcBorders>
            <w:shd w:val="clear" w:color="auto" w:fill="00FFFF"/>
            <w:noWrap/>
            <w:vAlign w:val="bottom"/>
            <w:hideMark/>
          </w:tcPr>
          <w:p w14:paraId="4191C4E0"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0.0562</w:t>
            </w:r>
          </w:p>
        </w:tc>
      </w:tr>
      <w:tr w:rsidR="005644B3" w:rsidRPr="001923A7" w14:paraId="66BB06E2"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367BD5D0"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 xml:space="preserve">Sporobolus </w:t>
            </w:r>
            <w:proofErr w:type="spellStart"/>
            <w:r w:rsidRPr="001923A7">
              <w:rPr>
                <w:rFonts w:cs="Calibri"/>
                <w:i/>
                <w:iCs/>
                <w:kern w:val="0"/>
                <w:sz w:val="19"/>
                <w:szCs w:val="19"/>
                <w:lang w:eastAsia="en-AU"/>
              </w:rPr>
              <w:t>mitchellii</w:t>
            </w:r>
            <w:proofErr w:type="spellEnd"/>
          </w:p>
        </w:tc>
        <w:tc>
          <w:tcPr>
            <w:tcW w:w="1920" w:type="dxa"/>
            <w:tcBorders>
              <w:top w:val="nil"/>
              <w:left w:val="nil"/>
              <w:bottom w:val="single" w:sz="4" w:space="0" w:color="auto"/>
              <w:right w:val="single" w:sz="4" w:space="0" w:color="auto"/>
            </w:tcBorders>
            <w:shd w:val="clear" w:color="auto" w:fill="auto"/>
            <w:noWrap/>
            <w:vAlign w:val="bottom"/>
            <w:hideMark/>
          </w:tcPr>
          <w:p w14:paraId="47C667AD"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Inundation extent</w:t>
            </w:r>
          </w:p>
        </w:tc>
        <w:tc>
          <w:tcPr>
            <w:tcW w:w="1120" w:type="dxa"/>
            <w:tcBorders>
              <w:top w:val="nil"/>
              <w:left w:val="nil"/>
              <w:bottom w:val="single" w:sz="4" w:space="0" w:color="auto"/>
              <w:right w:val="single" w:sz="4" w:space="0" w:color="auto"/>
            </w:tcBorders>
            <w:shd w:val="clear" w:color="auto" w:fill="auto"/>
            <w:noWrap/>
            <w:vAlign w:val="bottom"/>
            <w:hideMark/>
          </w:tcPr>
          <w:p w14:paraId="21842CE5"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0.3689</w:t>
            </w:r>
          </w:p>
        </w:tc>
      </w:tr>
      <w:tr w:rsidR="005644B3" w:rsidRPr="001923A7" w14:paraId="554A7AEE"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00FFFF"/>
            <w:noWrap/>
            <w:vAlign w:val="bottom"/>
            <w:hideMark/>
          </w:tcPr>
          <w:p w14:paraId="3004070F" w14:textId="77777777" w:rsidR="005644B3" w:rsidRPr="001923A7" w:rsidRDefault="005644B3" w:rsidP="00B31C32">
            <w:pPr>
              <w:spacing w:before="0" w:after="0" w:line="240" w:lineRule="auto"/>
              <w:jc w:val="left"/>
              <w:rPr>
                <w:rFonts w:cs="Calibri"/>
                <w:i/>
                <w:iCs/>
                <w:kern w:val="0"/>
                <w:sz w:val="19"/>
                <w:szCs w:val="19"/>
                <w:lang w:eastAsia="en-AU"/>
              </w:rPr>
            </w:pPr>
            <w:proofErr w:type="spellStart"/>
            <w:r w:rsidRPr="001923A7">
              <w:rPr>
                <w:rFonts w:cs="Calibri"/>
                <w:i/>
                <w:iCs/>
                <w:kern w:val="0"/>
                <w:sz w:val="19"/>
                <w:szCs w:val="19"/>
                <w:lang w:eastAsia="en-AU"/>
              </w:rPr>
              <w:t>Stemodia</w:t>
            </w:r>
            <w:proofErr w:type="spellEnd"/>
            <w:r w:rsidRPr="001923A7">
              <w:rPr>
                <w:rFonts w:cs="Calibri"/>
                <w:i/>
                <w:iCs/>
                <w:kern w:val="0"/>
                <w:sz w:val="19"/>
                <w:szCs w:val="19"/>
                <w:lang w:eastAsia="en-AU"/>
              </w:rPr>
              <w:t xml:space="preserve"> </w:t>
            </w:r>
            <w:proofErr w:type="spellStart"/>
            <w:r w:rsidRPr="001923A7">
              <w:rPr>
                <w:rFonts w:cs="Calibri"/>
                <w:i/>
                <w:iCs/>
                <w:kern w:val="0"/>
                <w:sz w:val="19"/>
                <w:szCs w:val="19"/>
                <w:lang w:eastAsia="en-AU"/>
              </w:rPr>
              <w:t>florulenta</w:t>
            </w:r>
            <w:proofErr w:type="spellEnd"/>
          </w:p>
        </w:tc>
        <w:tc>
          <w:tcPr>
            <w:tcW w:w="1920" w:type="dxa"/>
            <w:tcBorders>
              <w:top w:val="nil"/>
              <w:left w:val="nil"/>
              <w:bottom w:val="single" w:sz="4" w:space="0" w:color="auto"/>
              <w:right w:val="single" w:sz="4" w:space="0" w:color="auto"/>
            </w:tcBorders>
            <w:shd w:val="clear" w:color="auto" w:fill="00FFFF"/>
            <w:noWrap/>
            <w:vAlign w:val="bottom"/>
            <w:hideMark/>
          </w:tcPr>
          <w:p w14:paraId="258FA710"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Inundated</w:t>
            </w:r>
          </w:p>
        </w:tc>
        <w:tc>
          <w:tcPr>
            <w:tcW w:w="1120" w:type="dxa"/>
            <w:tcBorders>
              <w:top w:val="nil"/>
              <w:left w:val="nil"/>
              <w:bottom w:val="single" w:sz="4" w:space="0" w:color="auto"/>
              <w:right w:val="single" w:sz="4" w:space="0" w:color="auto"/>
            </w:tcBorders>
            <w:shd w:val="clear" w:color="auto" w:fill="00FFFF"/>
            <w:noWrap/>
            <w:vAlign w:val="bottom"/>
            <w:hideMark/>
          </w:tcPr>
          <w:p w14:paraId="1308D7C6"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0.2392</w:t>
            </w:r>
          </w:p>
        </w:tc>
      </w:tr>
      <w:tr w:rsidR="005644B3" w:rsidRPr="001923A7" w14:paraId="28C7F930"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00FFFF"/>
            <w:noWrap/>
            <w:vAlign w:val="bottom"/>
            <w:hideMark/>
          </w:tcPr>
          <w:p w14:paraId="255AD88D" w14:textId="77777777" w:rsidR="005644B3" w:rsidRPr="001923A7" w:rsidRDefault="005644B3" w:rsidP="00B31C32">
            <w:pPr>
              <w:spacing w:before="0" w:after="0" w:line="240" w:lineRule="auto"/>
              <w:jc w:val="left"/>
              <w:rPr>
                <w:rFonts w:cs="Calibri"/>
                <w:i/>
                <w:iCs/>
                <w:kern w:val="0"/>
                <w:sz w:val="19"/>
                <w:szCs w:val="19"/>
                <w:lang w:eastAsia="en-AU"/>
              </w:rPr>
            </w:pPr>
            <w:proofErr w:type="spellStart"/>
            <w:r w:rsidRPr="001923A7">
              <w:rPr>
                <w:rFonts w:cs="Calibri"/>
                <w:i/>
                <w:iCs/>
                <w:kern w:val="0"/>
                <w:sz w:val="19"/>
                <w:szCs w:val="19"/>
                <w:lang w:eastAsia="en-AU"/>
              </w:rPr>
              <w:t>Symphyotrichum</w:t>
            </w:r>
            <w:proofErr w:type="spellEnd"/>
            <w:r w:rsidRPr="001923A7">
              <w:rPr>
                <w:rFonts w:cs="Calibri"/>
                <w:i/>
                <w:iCs/>
                <w:kern w:val="0"/>
                <w:sz w:val="19"/>
                <w:szCs w:val="19"/>
                <w:lang w:eastAsia="en-AU"/>
              </w:rPr>
              <w:t xml:space="preserve"> </w:t>
            </w:r>
            <w:proofErr w:type="spellStart"/>
            <w:r w:rsidRPr="001923A7">
              <w:rPr>
                <w:rFonts w:cs="Calibri"/>
                <w:i/>
                <w:iCs/>
                <w:kern w:val="0"/>
                <w:sz w:val="19"/>
                <w:szCs w:val="19"/>
                <w:lang w:eastAsia="en-AU"/>
              </w:rPr>
              <w:t>subulatum</w:t>
            </w:r>
            <w:proofErr w:type="spellEnd"/>
            <w:r w:rsidRPr="001923A7">
              <w:rPr>
                <w:rFonts w:cs="Calibri"/>
                <w:i/>
                <w:iCs/>
                <w:kern w:val="0"/>
                <w:sz w:val="19"/>
                <w:szCs w:val="19"/>
                <w:lang w:eastAsia="en-AU"/>
              </w:rPr>
              <w:t>*</w:t>
            </w:r>
          </w:p>
        </w:tc>
        <w:tc>
          <w:tcPr>
            <w:tcW w:w="1920" w:type="dxa"/>
            <w:tcBorders>
              <w:top w:val="nil"/>
              <w:left w:val="nil"/>
              <w:bottom w:val="single" w:sz="4" w:space="0" w:color="auto"/>
              <w:right w:val="single" w:sz="4" w:space="0" w:color="auto"/>
            </w:tcBorders>
            <w:shd w:val="clear" w:color="auto" w:fill="00FFFF"/>
            <w:noWrap/>
            <w:vAlign w:val="bottom"/>
            <w:hideMark/>
          </w:tcPr>
          <w:p w14:paraId="293255C4"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Inundated</w:t>
            </w:r>
          </w:p>
        </w:tc>
        <w:tc>
          <w:tcPr>
            <w:tcW w:w="1120" w:type="dxa"/>
            <w:tcBorders>
              <w:top w:val="nil"/>
              <w:left w:val="nil"/>
              <w:bottom w:val="single" w:sz="4" w:space="0" w:color="auto"/>
              <w:right w:val="single" w:sz="4" w:space="0" w:color="auto"/>
            </w:tcBorders>
            <w:shd w:val="clear" w:color="auto" w:fill="00FFFF"/>
            <w:noWrap/>
            <w:vAlign w:val="bottom"/>
            <w:hideMark/>
          </w:tcPr>
          <w:p w14:paraId="0B11110E"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0.2494</w:t>
            </w:r>
          </w:p>
        </w:tc>
      </w:tr>
      <w:tr w:rsidR="005644B3" w:rsidRPr="001923A7" w14:paraId="39DBC86B"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00FFFF"/>
            <w:noWrap/>
            <w:vAlign w:val="bottom"/>
            <w:hideMark/>
          </w:tcPr>
          <w:p w14:paraId="1AAF7BA2"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Xanthium occidentale**</w:t>
            </w:r>
          </w:p>
        </w:tc>
        <w:tc>
          <w:tcPr>
            <w:tcW w:w="1920" w:type="dxa"/>
            <w:tcBorders>
              <w:top w:val="nil"/>
              <w:left w:val="nil"/>
              <w:bottom w:val="single" w:sz="4" w:space="0" w:color="auto"/>
              <w:right w:val="single" w:sz="4" w:space="0" w:color="auto"/>
            </w:tcBorders>
            <w:shd w:val="clear" w:color="auto" w:fill="00FFFF"/>
            <w:noWrap/>
            <w:vAlign w:val="bottom"/>
            <w:hideMark/>
          </w:tcPr>
          <w:p w14:paraId="5926BD7B"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Inundated</w:t>
            </w:r>
          </w:p>
        </w:tc>
        <w:tc>
          <w:tcPr>
            <w:tcW w:w="1120" w:type="dxa"/>
            <w:tcBorders>
              <w:top w:val="nil"/>
              <w:left w:val="nil"/>
              <w:bottom w:val="single" w:sz="4" w:space="0" w:color="auto"/>
              <w:right w:val="single" w:sz="4" w:space="0" w:color="auto"/>
            </w:tcBorders>
            <w:shd w:val="clear" w:color="auto" w:fill="00FFFF"/>
            <w:noWrap/>
            <w:vAlign w:val="bottom"/>
            <w:hideMark/>
          </w:tcPr>
          <w:p w14:paraId="3E400A66"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0.88</w:t>
            </w:r>
          </w:p>
        </w:tc>
      </w:tr>
    </w:tbl>
    <w:p w14:paraId="6AB1CA4E" w14:textId="77777777" w:rsidR="007E7388" w:rsidRDefault="007E7388" w:rsidP="005644B3"/>
    <w:p w14:paraId="582A29E0" w14:textId="77777777" w:rsidR="007E7388" w:rsidRDefault="007E7388" w:rsidP="005644B3"/>
    <w:p w14:paraId="52D0B602" w14:textId="77777777" w:rsidR="007E7388" w:rsidRDefault="007E7388" w:rsidP="005644B3"/>
    <w:p w14:paraId="3FA470C9" w14:textId="64956857" w:rsidR="005644B3" w:rsidRDefault="005644B3" w:rsidP="005644B3">
      <w:r>
        <w:t>c.</w:t>
      </w:r>
    </w:p>
    <w:tbl>
      <w:tblPr>
        <w:tblW w:w="6281" w:type="dxa"/>
        <w:jc w:val="center"/>
        <w:tblLook w:val="04A0" w:firstRow="1" w:lastRow="0" w:firstColumn="1" w:lastColumn="0" w:noHBand="0" w:noVBand="1"/>
      </w:tblPr>
      <w:tblGrid>
        <w:gridCol w:w="3460"/>
        <w:gridCol w:w="1920"/>
        <w:gridCol w:w="901"/>
      </w:tblGrid>
      <w:tr w:rsidR="005644B3" w:rsidRPr="001923A7" w14:paraId="15D5B19D" w14:textId="77777777" w:rsidTr="00B31C32">
        <w:trPr>
          <w:trHeight w:val="300"/>
          <w:tblHeader/>
          <w:jc w:val="center"/>
        </w:trPr>
        <w:tc>
          <w:tcPr>
            <w:tcW w:w="34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87A68A" w14:textId="77777777" w:rsidR="005644B3" w:rsidRPr="001923A7" w:rsidRDefault="005644B3" w:rsidP="00B31C32">
            <w:pPr>
              <w:spacing w:before="0" w:after="0" w:line="240" w:lineRule="auto"/>
              <w:jc w:val="center"/>
              <w:rPr>
                <w:rFonts w:cs="Calibri"/>
                <w:b/>
                <w:bCs/>
                <w:kern w:val="0"/>
                <w:sz w:val="19"/>
                <w:szCs w:val="19"/>
                <w:lang w:eastAsia="en-AU"/>
              </w:rPr>
            </w:pPr>
            <w:r w:rsidRPr="001923A7">
              <w:rPr>
                <w:rFonts w:cs="Calibri"/>
                <w:b/>
                <w:bCs/>
                <w:kern w:val="0"/>
                <w:sz w:val="19"/>
                <w:szCs w:val="19"/>
                <w:lang w:eastAsia="en-AU"/>
              </w:rPr>
              <w:t>Species</w:t>
            </w:r>
          </w:p>
        </w:tc>
        <w:tc>
          <w:tcPr>
            <w:tcW w:w="1920" w:type="dxa"/>
            <w:tcBorders>
              <w:top w:val="single" w:sz="4" w:space="0" w:color="auto"/>
              <w:left w:val="nil"/>
              <w:bottom w:val="single" w:sz="4" w:space="0" w:color="auto"/>
              <w:right w:val="single" w:sz="4" w:space="0" w:color="auto"/>
            </w:tcBorders>
            <w:shd w:val="clear" w:color="auto" w:fill="auto"/>
            <w:noWrap/>
            <w:vAlign w:val="bottom"/>
            <w:hideMark/>
          </w:tcPr>
          <w:p w14:paraId="490CB59A" w14:textId="77777777" w:rsidR="005644B3" w:rsidRPr="001923A7" w:rsidRDefault="005644B3" w:rsidP="00B31C32">
            <w:pPr>
              <w:spacing w:before="0" w:after="0" w:line="240" w:lineRule="auto"/>
              <w:jc w:val="center"/>
              <w:rPr>
                <w:rFonts w:cs="Calibri"/>
                <w:b/>
                <w:bCs/>
                <w:kern w:val="0"/>
                <w:sz w:val="19"/>
                <w:szCs w:val="19"/>
                <w:lang w:eastAsia="en-AU"/>
              </w:rPr>
            </w:pPr>
            <w:r w:rsidRPr="001923A7">
              <w:rPr>
                <w:rFonts w:cs="Calibri"/>
                <w:b/>
                <w:bCs/>
                <w:kern w:val="0"/>
                <w:sz w:val="19"/>
                <w:szCs w:val="19"/>
                <w:lang w:eastAsia="en-AU"/>
              </w:rPr>
              <w:t>Zone</w:t>
            </w:r>
          </w:p>
        </w:tc>
        <w:tc>
          <w:tcPr>
            <w:tcW w:w="901" w:type="dxa"/>
            <w:tcBorders>
              <w:top w:val="single" w:sz="4" w:space="0" w:color="auto"/>
              <w:left w:val="nil"/>
              <w:bottom w:val="single" w:sz="4" w:space="0" w:color="auto"/>
              <w:right w:val="single" w:sz="4" w:space="0" w:color="auto"/>
            </w:tcBorders>
            <w:shd w:val="clear" w:color="auto" w:fill="auto"/>
            <w:noWrap/>
            <w:vAlign w:val="bottom"/>
            <w:hideMark/>
          </w:tcPr>
          <w:p w14:paraId="079FBB00" w14:textId="77777777" w:rsidR="005644B3" w:rsidRPr="001923A7" w:rsidRDefault="005644B3" w:rsidP="00B31C32">
            <w:pPr>
              <w:spacing w:before="0" w:after="0" w:line="240" w:lineRule="auto"/>
              <w:jc w:val="center"/>
              <w:rPr>
                <w:rFonts w:cs="Calibri"/>
                <w:b/>
                <w:bCs/>
                <w:kern w:val="0"/>
                <w:sz w:val="19"/>
                <w:szCs w:val="19"/>
                <w:lang w:eastAsia="en-AU"/>
              </w:rPr>
            </w:pPr>
            <w:r w:rsidRPr="001923A7">
              <w:rPr>
                <w:rFonts w:cs="Calibri"/>
                <w:b/>
                <w:bCs/>
                <w:kern w:val="0"/>
                <w:sz w:val="19"/>
                <w:szCs w:val="19"/>
                <w:lang w:eastAsia="en-AU"/>
              </w:rPr>
              <w:t>P</w:t>
            </w:r>
          </w:p>
        </w:tc>
      </w:tr>
      <w:tr w:rsidR="005644B3" w:rsidRPr="001923A7" w14:paraId="1F46FAD7"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420B99DE"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 xml:space="preserve">Acacia </w:t>
            </w:r>
            <w:proofErr w:type="spellStart"/>
            <w:r w:rsidRPr="001923A7">
              <w:rPr>
                <w:rFonts w:cs="Calibri"/>
                <w:i/>
                <w:iCs/>
                <w:kern w:val="0"/>
                <w:sz w:val="19"/>
                <w:szCs w:val="19"/>
                <w:lang w:eastAsia="en-AU"/>
              </w:rPr>
              <w:t>stenophylla</w:t>
            </w:r>
            <w:proofErr w:type="spellEnd"/>
          </w:p>
        </w:tc>
        <w:tc>
          <w:tcPr>
            <w:tcW w:w="1920" w:type="dxa"/>
            <w:tcBorders>
              <w:top w:val="nil"/>
              <w:left w:val="nil"/>
              <w:bottom w:val="single" w:sz="4" w:space="0" w:color="auto"/>
              <w:right w:val="single" w:sz="4" w:space="0" w:color="auto"/>
            </w:tcBorders>
            <w:shd w:val="clear" w:color="auto" w:fill="auto"/>
            <w:noWrap/>
            <w:vAlign w:val="bottom"/>
            <w:hideMark/>
          </w:tcPr>
          <w:p w14:paraId="521ABE93"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Inundation extent</w:t>
            </w:r>
          </w:p>
        </w:tc>
        <w:tc>
          <w:tcPr>
            <w:tcW w:w="901" w:type="dxa"/>
            <w:tcBorders>
              <w:top w:val="nil"/>
              <w:left w:val="nil"/>
              <w:bottom w:val="single" w:sz="4" w:space="0" w:color="auto"/>
              <w:right w:val="single" w:sz="4" w:space="0" w:color="auto"/>
            </w:tcBorders>
            <w:shd w:val="clear" w:color="auto" w:fill="auto"/>
            <w:noWrap/>
            <w:vAlign w:val="bottom"/>
            <w:hideMark/>
          </w:tcPr>
          <w:p w14:paraId="670E00F1"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0.7712</w:t>
            </w:r>
          </w:p>
        </w:tc>
      </w:tr>
      <w:tr w:rsidR="005644B3" w:rsidRPr="001923A7" w14:paraId="663441D0"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00FFFF"/>
            <w:noWrap/>
            <w:vAlign w:val="bottom"/>
            <w:hideMark/>
          </w:tcPr>
          <w:p w14:paraId="0111C30E"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 xml:space="preserve">Alternanthera </w:t>
            </w:r>
            <w:proofErr w:type="spellStart"/>
            <w:r w:rsidRPr="001923A7">
              <w:rPr>
                <w:rFonts w:cs="Calibri"/>
                <w:i/>
                <w:iCs/>
                <w:kern w:val="0"/>
                <w:sz w:val="19"/>
                <w:szCs w:val="19"/>
                <w:lang w:eastAsia="en-AU"/>
              </w:rPr>
              <w:t>denticulata</w:t>
            </w:r>
            <w:proofErr w:type="spellEnd"/>
          </w:p>
        </w:tc>
        <w:tc>
          <w:tcPr>
            <w:tcW w:w="1920" w:type="dxa"/>
            <w:tcBorders>
              <w:top w:val="nil"/>
              <w:left w:val="nil"/>
              <w:bottom w:val="single" w:sz="4" w:space="0" w:color="auto"/>
              <w:right w:val="single" w:sz="4" w:space="0" w:color="auto"/>
            </w:tcBorders>
            <w:shd w:val="clear" w:color="auto" w:fill="00FFFF"/>
            <w:noWrap/>
            <w:vAlign w:val="bottom"/>
            <w:hideMark/>
          </w:tcPr>
          <w:p w14:paraId="2174A55D"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Pool level</w:t>
            </w:r>
          </w:p>
        </w:tc>
        <w:tc>
          <w:tcPr>
            <w:tcW w:w="901" w:type="dxa"/>
            <w:tcBorders>
              <w:top w:val="nil"/>
              <w:left w:val="nil"/>
              <w:bottom w:val="single" w:sz="4" w:space="0" w:color="auto"/>
              <w:right w:val="single" w:sz="4" w:space="0" w:color="auto"/>
            </w:tcBorders>
            <w:shd w:val="clear" w:color="auto" w:fill="00FFFF"/>
            <w:noWrap/>
            <w:vAlign w:val="bottom"/>
            <w:hideMark/>
          </w:tcPr>
          <w:p w14:paraId="12F899E2"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0.1862</w:t>
            </w:r>
          </w:p>
        </w:tc>
      </w:tr>
      <w:tr w:rsidR="005644B3" w:rsidRPr="001923A7" w14:paraId="3B2BF336"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7DCDAE6D" w14:textId="77777777" w:rsidR="005644B3" w:rsidRPr="001923A7" w:rsidRDefault="005644B3" w:rsidP="00B31C32">
            <w:pPr>
              <w:spacing w:before="0" w:after="0" w:line="240" w:lineRule="auto"/>
              <w:jc w:val="left"/>
              <w:rPr>
                <w:rFonts w:cs="Calibri"/>
                <w:i/>
                <w:iCs/>
                <w:kern w:val="0"/>
                <w:sz w:val="19"/>
                <w:szCs w:val="19"/>
                <w:lang w:eastAsia="en-AU"/>
              </w:rPr>
            </w:pPr>
            <w:proofErr w:type="spellStart"/>
            <w:r w:rsidRPr="001923A7">
              <w:rPr>
                <w:rFonts w:cs="Calibri"/>
                <w:i/>
                <w:iCs/>
                <w:kern w:val="0"/>
                <w:sz w:val="19"/>
                <w:szCs w:val="19"/>
                <w:lang w:eastAsia="en-AU"/>
              </w:rPr>
              <w:t>Ammannia</w:t>
            </w:r>
            <w:proofErr w:type="spellEnd"/>
            <w:r w:rsidRPr="001923A7">
              <w:rPr>
                <w:rFonts w:cs="Calibri"/>
                <w:i/>
                <w:iCs/>
                <w:kern w:val="0"/>
                <w:sz w:val="19"/>
                <w:szCs w:val="19"/>
                <w:lang w:eastAsia="en-AU"/>
              </w:rPr>
              <w:t xml:space="preserve"> multiflora</w:t>
            </w:r>
          </w:p>
        </w:tc>
        <w:tc>
          <w:tcPr>
            <w:tcW w:w="1920" w:type="dxa"/>
            <w:tcBorders>
              <w:top w:val="nil"/>
              <w:left w:val="nil"/>
              <w:bottom w:val="single" w:sz="4" w:space="0" w:color="auto"/>
              <w:right w:val="single" w:sz="4" w:space="0" w:color="auto"/>
            </w:tcBorders>
            <w:shd w:val="clear" w:color="auto" w:fill="auto"/>
            <w:noWrap/>
            <w:vAlign w:val="bottom"/>
            <w:hideMark/>
          </w:tcPr>
          <w:p w14:paraId="56A9764B"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Inundated</w:t>
            </w:r>
          </w:p>
        </w:tc>
        <w:tc>
          <w:tcPr>
            <w:tcW w:w="901" w:type="dxa"/>
            <w:tcBorders>
              <w:top w:val="nil"/>
              <w:left w:val="nil"/>
              <w:bottom w:val="single" w:sz="4" w:space="0" w:color="auto"/>
              <w:right w:val="single" w:sz="4" w:space="0" w:color="auto"/>
            </w:tcBorders>
            <w:shd w:val="clear" w:color="auto" w:fill="auto"/>
            <w:noWrap/>
            <w:vAlign w:val="bottom"/>
            <w:hideMark/>
          </w:tcPr>
          <w:p w14:paraId="3E2C0E43"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1</w:t>
            </w:r>
          </w:p>
        </w:tc>
      </w:tr>
      <w:tr w:rsidR="005644B3" w:rsidRPr="001923A7" w14:paraId="6535D2EF"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201E346A"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 xml:space="preserve">Atriplex </w:t>
            </w:r>
            <w:proofErr w:type="spellStart"/>
            <w:r w:rsidRPr="001923A7">
              <w:rPr>
                <w:rFonts w:cs="Calibri"/>
                <w:i/>
                <w:iCs/>
                <w:kern w:val="0"/>
                <w:sz w:val="19"/>
                <w:szCs w:val="19"/>
                <w:lang w:eastAsia="en-AU"/>
              </w:rPr>
              <w:t>suberecta</w:t>
            </w:r>
            <w:proofErr w:type="spellEnd"/>
          </w:p>
        </w:tc>
        <w:tc>
          <w:tcPr>
            <w:tcW w:w="1920" w:type="dxa"/>
            <w:tcBorders>
              <w:top w:val="nil"/>
              <w:left w:val="nil"/>
              <w:bottom w:val="single" w:sz="4" w:space="0" w:color="auto"/>
              <w:right w:val="single" w:sz="4" w:space="0" w:color="auto"/>
            </w:tcBorders>
            <w:shd w:val="clear" w:color="auto" w:fill="auto"/>
            <w:noWrap/>
            <w:vAlign w:val="bottom"/>
            <w:hideMark/>
          </w:tcPr>
          <w:p w14:paraId="41CD7929"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Not inundated</w:t>
            </w:r>
          </w:p>
        </w:tc>
        <w:tc>
          <w:tcPr>
            <w:tcW w:w="901" w:type="dxa"/>
            <w:tcBorders>
              <w:top w:val="nil"/>
              <w:left w:val="nil"/>
              <w:bottom w:val="single" w:sz="4" w:space="0" w:color="auto"/>
              <w:right w:val="single" w:sz="4" w:space="0" w:color="auto"/>
            </w:tcBorders>
            <w:shd w:val="clear" w:color="auto" w:fill="auto"/>
            <w:noWrap/>
            <w:vAlign w:val="bottom"/>
            <w:hideMark/>
          </w:tcPr>
          <w:p w14:paraId="02ADEBA5"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0.2575</w:t>
            </w:r>
          </w:p>
        </w:tc>
      </w:tr>
      <w:tr w:rsidR="005644B3" w:rsidRPr="001923A7" w14:paraId="30796C97"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5CEA0B4B" w14:textId="77777777" w:rsidR="005644B3" w:rsidRPr="001923A7" w:rsidRDefault="005644B3" w:rsidP="00B31C32">
            <w:pPr>
              <w:spacing w:before="0" w:after="0" w:line="240" w:lineRule="auto"/>
              <w:jc w:val="left"/>
              <w:rPr>
                <w:rFonts w:cs="Calibri"/>
                <w:kern w:val="0"/>
                <w:sz w:val="19"/>
                <w:szCs w:val="19"/>
                <w:lang w:eastAsia="en-AU"/>
              </w:rPr>
            </w:pPr>
            <w:r w:rsidRPr="001923A7">
              <w:rPr>
                <w:rFonts w:cs="Calibri"/>
                <w:kern w:val="0"/>
                <w:sz w:val="19"/>
                <w:szCs w:val="19"/>
                <w:lang w:eastAsia="en-AU"/>
              </w:rPr>
              <w:t>Bare soil</w:t>
            </w:r>
          </w:p>
        </w:tc>
        <w:tc>
          <w:tcPr>
            <w:tcW w:w="1920" w:type="dxa"/>
            <w:tcBorders>
              <w:top w:val="nil"/>
              <w:left w:val="nil"/>
              <w:bottom w:val="single" w:sz="4" w:space="0" w:color="auto"/>
              <w:right w:val="single" w:sz="4" w:space="0" w:color="auto"/>
            </w:tcBorders>
            <w:shd w:val="clear" w:color="auto" w:fill="auto"/>
            <w:noWrap/>
            <w:vAlign w:val="bottom"/>
            <w:hideMark/>
          </w:tcPr>
          <w:p w14:paraId="19C01F61"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Not inundated</w:t>
            </w:r>
          </w:p>
        </w:tc>
        <w:tc>
          <w:tcPr>
            <w:tcW w:w="901" w:type="dxa"/>
            <w:tcBorders>
              <w:top w:val="nil"/>
              <w:left w:val="nil"/>
              <w:bottom w:val="single" w:sz="4" w:space="0" w:color="auto"/>
              <w:right w:val="single" w:sz="4" w:space="0" w:color="auto"/>
            </w:tcBorders>
            <w:shd w:val="clear" w:color="auto" w:fill="auto"/>
            <w:noWrap/>
            <w:vAlign w:val="bottom"/>
            <w:hideMark/>
          </w:tcPr>
          <w:p w14:paraId="7A808BA0"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1</w:t>
            </w:r>
          </w:p>
        </w:tc>
      </w:tr>
      <w:tr w:rsidR="005644B3" w:rsidRPr="001923A7" w14:paraId="644E73C0"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000000" w:fill="FFFF00"/>
            <w:noWrap/>
            <w:vAlign w:val="bottom"/>
            <w:hideMark/>
          </w:tcPr>
          <w:p w14:paraId="3D47B340" w14:textId="77777777" w:rsidR="005644B3" w:rsidRPr="001923A7" w:rsidRDefault="005644B3" w:rsidP="00B31C32">
            <w:pPr>
              <w:spacing w:before="0" w:after="0" w:line="240" w:lineRule="auto"/>
              <w:jc w:val="left"/>
              <w:rPr>
                <w:rFonts w:cs="Calibri"/>
                <w:i/>
                <w:iCs/>
                <w:kern w:val="0"/>
                <w:sz w:val="19"/>
                <w:szCs w:val="19"/>
                <w:lang w:eastAsia="en-AU"/>
              </w:rPr>
            </w:pPr>
            <w:proofErr w:type="spellStart"/>
            <w:r w:rsidRPr="001923A7">
              <w:rPr>
                <w:rFonts w:cs="Calibri"/>
                <w:i/>
                <w:iCs/>
                <w:kern w:val="0"/>
                <w:sz w:val="19"/>
                <w:szCs w:val="19"/>
                <w:lang w:eastAsia="en-AU"/>
              </w:rPr>
              <w:t>Bolboschoenus</w:t>
            </w:r>
            <w:proofErr w:type="spellEnd"/>
            <w:r w:rsidRPr="001923A7">
              <w:rPr>
                <w:rFonts w:cs="Calibri"/>
                <w:i/>
                <w:iCs/>
                <w:kern w:val="0"/>
                <w:sz w:val="19"/>
                <w:szCs w:val="19"/>
                <w:lang w:eastAsia="en-AU"/>
              </w:rPr>
              <w:t xml:space="preserve"> </w:t>
            </w:r>
            <w:proofErr w:type="spellStart"/>
            <w:r w:rsidRPr="001923A7">
              <w:rPr>
                <w:rFonts w:cs="Calibri"/>
                <w:i/>
                <w:iCs/>
                <w:kern w:val="0"/>
                <w:sz w:val="19"/>
                <w:szCs w:val="19"/>
                <w:lang w:eastAsia="en-AU"/>
              </w:rPr>
              <w:t>caldwellii</w:t>
            </w:r>
            <w:proofErr w:type="spellEnd"/>
          </w:p>
        </w:tc>
        <w:tc>
          <w:tcPr>
            <w:tcW w:w="1920" w:type="dxa"/>
            <w:tcBorders>
              <w:top w:val="nil"/>
              <w:left w:val="nil"/>
              <w:bottom w:val="single" w:sz="4" w:space="0" w:color="auto"/>
              <w:right w:val="single" w:sz="4" w:space="0" w:color="auto"/>
            </w:tcBorders>
            <w:shd w:val="clear" w:color="000000" w:fill="FFFF00"/>
            <w:noWrap/>
            <w:vAlign w:val="bottom"/>
            <w:hideMark/>
          </w:tcPr>
          <w:p w14:paraId="02B4624A"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Pool level</w:t>
            </w:r>
          </w:p>
        </w:tc>
        <w:tc>
          <w:tcPr>
            <w:tcW w:w="901" w:type="dxa"/>
            <w:tcBorders>
              <w:top w:val="nil"/>
              <w:left w:val="nil"/>
              <w:bottom w:val="single" w:sz="4" w:space="0" w:color="auto"/>
              <w:right w:val="single" w:sz="4" w:space="0" w:color="auto"/>
            </w:tcBorders>
            <w:shd w:val="clear" w:color="000000" w:fill="FFFF00"/>
            <w:noWrap/>
            <w:vAlign w:val="bottom"/>
            <w:hideMark/>
          </w:tcPr>
          <w:p w14:paraId="5D2B61A9"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0.0056</w:t>
            </w:r>
          </w:p>
        </w:tc>
      </w:tr>
      <w:tr w:rsidR="005644B3" w:rsidRPr="001923A7" w14:paraId="54E633CB"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30BB780C"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 xml:space="preserve">Brachyscome </w:t>
            </w:r>
            <w:proofErr w:type="spellStart"/>
            <w:r w:rsidRPr="001923A7">
              <w:rPr>
                <w:rFonts w:cs="Calibri"/>
                <w:i/>
                <w:iCs/>
                <w:kern w:val="0"/>
                <w:sz w:val="19"/>
                <w:szCs w:val="19"/>
                <w:lang w:eastAsia="en-AU"/>
              </w:rPr>
              <w:t>paludicola</w:t>
            </w:r>
            <w:proofErr w:type="spellEnd"/>
          </w:p>
        </w:tc>
        <w:tc>
          <w:tcPr>
            <w:tcW w:w="1920" w:type="dxa"/>
            <w:tcBorders>
              <w:top w:val="nil"/>
              <w:left w:val="nil"/>
              <w:bottom w:val="single" w:sz="4" w:space="0" w:color="auto"/>
              <w:right w:val="single" w:sz="4" w:space="0" w:color="auto"/>
            </w:tcBorders>
            <w:shd w:val="clear" w:color="auto" w:fill="auto"/>
            <w:noWrap/>
            <w:vAlign w:val="bottom"/>
            <w:hideMark/>
          </w:tcPr>
          <w:p w14:paraId="22F94265"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Not inundated</w:t>
            </w:r>
          </w:p>
        </w:tc>
        <w:tc>
          <w:tcPr>
            <w:tcW w:w="901" w:type="dxa"/>
            <w:tcBorders>
              <w:top w:val="nil"/>
              <w:left w:val="nil"/>
              <w:bottom w:val="single" w:sz="4" w:space="0" w:color="auto"/>
              <w:right w:val="single" w:sz="4" w:space="0" w:color="auto"/>
            </w:tcBorders>
            <w:shd w:val="clear" w:color="auto" w:fill="auto"/>
            <w:noWrap/>
            <w:vAlign w:val="bottom"/>
            <w:hideMark/>
          </w:tcPr>
          <w:p w14:paraId="4F74F4F5"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1</w:t>
            </w:r>
          </w:p>
        </w:tc>
      </w:tr>
      <w:tr w:rsidR="005644B3" w:rsidRPr="001923A7" w14:paraId="79BC93DF"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00FFFF"/>
            <w:noWrap/>
            <w:vAlign w:val="bottom"/>
            <w:hideMark/>
          </w:tcPr>
          <w:p w14:paraId="1E5DD5F4" w14:textId="77777777" w:rsidR="005644B3" w:rsidRPr="001923A7" w:rsidRDefault="005644B3" w:rsidP="00B31C32">
            <w:pPr>
              <w:spacing w:before="0" w:after="0" w:line="240" w:lineRule="auto"/>
              <w:jc w:val="left"/>
              <w:rPr>
                <w:rFonts w:cs="Calibri"/>
                <w:i/>
                <w:iCs/>
                <w:kern w:val="0"/>
                <w:sz w:val="19"/>
                <w:szCs w:val="19"/>
                <w:lang w:eastAsia="en-AU"/>
              </w:rPr>
            </w:pPr>
            <w:proofErr w:type="spellStart"/>
            <w:r w:rsidRPr="001923A7">
              <w:rPr>
                <w:rFonts w:cs="Calibri"/>
                <w:i/>
                <w:iCs/>
                <w:kern w:val="0"/>
                <w:sz w:val="19"/>
                <w:szCs w:val="19"/>
                <w:lang w:eastAsia="en-AU"/>
              </w:rPr>
              <w:t>Centipeda</w:t>
            </w:r>
            <w:proofErr w:type="spellEnd"/>
            <w:r w:rsidRPr="001923A7">
              <w:rPr>
                <w:rFonts w:cs="Calibri"/>
                <w:i/>
                <w:iCs/>
                <w:kern w:val="0"/>
                <w:sz w:val="19"/>
                <w:szCs w:val="19"/>
                <w:lang w:eastAsia="en-AU"/>
              </w:rPr>
              <w:t xml:space="preserve"> minima</w:t>
            </w:r>
          </w:p>
        </w:tc>
        <w:tc>
          <w:tcPr>
            <w:tcW w:w="1920" w:type="dxa"/>
            <w:tcBorders>
              <w:top w:val="nil"/>
              <w:left w:val="nil"/>
              <w:bottom w:val="single" w:sz="4" w:space="0" w:color="auto"/>
              <w:right w:val="single" w:sz="4" w:space="0" w:color="auto"/>
            </w:tcBorders>
            <w:shd w:val="clear" w:color="auto" w:fill="00FFFF"/>
            <w:noWrap/>
            <w:vAlign w:val="bottom"/>
            <w:hideMark/>
          </w:tcPr>
          <w:p w14:paraId="10E5B800"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Inundated</w:t>
            </w:r>
          </w:p>
        </w:tc>
        <w:tc>
          <w:tcPr>
            <w:tcW w:w="901" w:type="dxa"/>
            <w:tcBorders>
              <w:top w:val="nil"/>
              <w:left w:val="nil"/>
              <w:bottom w:val="single" w:sz="4" w:space="0" w:color="auto"/>
              <w:right w:val="single" w:sz="4" w:space="0" w:color="auto"/>
            </w:tcBorders>
            <w:shd w:val="clear" w:color="auto" w:fill="00FFFF"/>
            <w:noWrap/>
            <w:vAlign w:val="bottom"/>
            <w:hideMark/>
          </w:tcPr>
          <w:p w14:paraId="57D0A0FB"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0.2811</w:t>
            </w:r>
          </w:p>
        </w:tc>
      </w:tr>
      <w:tr w:rsidR="005644B3" w:rsidRPr="001923A7" w14:paraId="416BAF19"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00FFFF"/>
            <w:noWrap/>
            <w:vAlign w:val="bottom"/>
            <w:hideMark/>
          </w:tcPr>
          <w:p w14:paraId="5281D848"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 xml:space="preserve">Cyperus </w:t>
            </w:r>
            <w:proofErr w:type="spellStart"/>
            <w:r w:rsidRPr="001923A7">
              <w:rPr>
                <w:rFonts w:cs="Calibri"/>
                <w:i/>
                <w:iCs/>
                <w:kern w:val="0"/>
                <w:sz w:val="19"/>
                <w:szCs w:val="19"/>
                <w:lang w:eastAsia="en-AU"/>
              </w:rPr>
              <w:t>gymnocaulos</w:t>
            </w:r>
            <w:proofErr w:type="spellEnd"/>
          </w:p>
        </w:tc>
        <w:tc>
          <w:tcPr>
            <w:tcW w:w="1920" w:type="dxa"/>
            <w:tcBorders>
              <w:top w:val="nil"/>
              <w:left w:val="nil"/>
              <w:bottom w:val="single" w:sz="4" w:space="0" w:color="auto"/>
              <w:right w:val="single" w:sz="4" w:space="0" w:color="auto"/>
            </w:tcBorders>
            <w:shd w:val="clear" w:color="auto" w:fill="00FFFF"/>
            <w:noWrap/>
            <w:vAlign w:val="bottom"/>
            <w:hideMark/>
          </w:tcPr>
          <w:p w14:paraId="5A532F2D"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Inundated</w:t>
            </w:r>
          </w:p>
        </w:tc>
        <w:tc>
          <w:tcPr>
            <w:tcW w:w="901" w:type="dxa"/>
            <w:tcBorders>
              <w:top w:val="nil"/>
              <w:left w:val="nil"/>
              <w:bottom w:val="single" w:sz="4" w:space="0" w:color="auto"/>
              <w:right w:val="single" w:sz="4" w:space="0" w:color="auto"/>
            </w:tcBorders>
            <w:shd w:val="clear" w:color="auto" w:fill="00FFFF"/>
            <w:noWrap/>
            <w:vAlign w:val="bottom"/>
            <w:hideMark/>
          </w:tcPr>
          <w:p w14:paraId="4445B634"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0.8232</w:t>
            </w:r>
          </w:p>
        </w:tc>
      </w:tr>
      <w:tr w:rsidR="005644B3" w:rsidRPr="001923A7" w14:paraId="58EB1BB0"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00FFFF"/>
            <w:noWrap/>
            <w:vAlign w:val="bottom"/>
            <w:hideMark/>
          </w:tcPr>
          <w:p w14:paraId="5B29337D" w14:textId="77777777" w:rsidR="005644B3" w:rsidRPr="001923A7" w:rsidRDefault="005644B3" w:rsidP="00B31C32">
            <w:pPr>
              <w:spacing w:before="0" w:after="0" w:line="240" w:lineRule="auto"/>
              <w:jc w:val="left"/>
              <w:rPr>
                <w:rFonts w:cs="Calibri"/>
                <w:i/>
                <w:iCs/>
                <w:kern w:val="0"/>
                <w:sz w:val="19"/>
                <w:szCs w:val="19"/>
                <w:lang w:eastAsia="en-AU"/>
              </w:rPr>
            </w:pPr>
            <w:proofErr w:type="spellStart"/>
            <w:r w:rsidRPr="001923A7">
              <w:rPr>
                <w:rFonts w:cs="Calibri"/>
                <w:i/>
                <w:iCs/>
                <w:kern w:val="0"/>
                <w:sz w:val="19"/>
                <w:szCs w:val="19"/>
                <w:lang w:eastAsia="en-AU"/>
              </w:rPr>
              <w:t>Dittrichia</w:t>
            </w:r>
            <w:proofErr w:type="spellEnd"/>
            <w:r w:rsidRPr="001923A7">
              <w:rPr>
                <w:rFonts w:cs="Calibri"/>
                <w:i/>
                <w:iCs/>
                <w:kern w:val="0"/>
                <w:sz w:val="19"/>
                <w:szCs w:val="19"/>
                <w:lang w:eastAsia="en-AU"/>
              </w:rPr>
              <w:t xml:space="preserve"> graveolens*</w:t>
            </w:r>
          </w:p>
        </w:tc>
        <w:tc>
          <w:tcPr>
            <w:tcW w:w="1920" w:type="dxa"/>
            <w:tcBorders>
              <w:top w:val="nil"/>
              <w:left w:val="nil"/>
              <w:bottom w:val="single" w:sz="4" w:space="0" w:color="auto"/>
              <w:right w:val="single" w:sz="4" w:space="0" w:color="auto"/>
            </w:tcBorders>
            <w:shd w:val="clear" w:color="auto" w:fill="00FFFF"/>
            <w:noWrap/>
            <w:vAlign w:val="bottom"/>
            <w:hideMark/>
          </w:tcPr>
          <w:p w14:paraId="56A92158"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Inundated</w:t>
            </w:r>
          </w:p>
        </w:tc>
        <w:tc>
          <w:tcPr>
            <w:tcW w:w="901" w:type="dxa"/>
            <w:tcBorders>
              <w:top w:val="nil"/>
              <w:left w:val="nil"/>
              <w:bottom w:val="single" w:sz="4" w:space="0" w:color="auto"/>
              <w:right w:val="single" w:sz="4" w:space="0" w:color="auto"/>
            </w:tcBorders>
            <w:shd w:val="clear" w:color="auto" w:fill="00FFFF"/>
            <w:noWrap/>
            <w:vAlign w:val="bottom"/>
            <w:hideMark/>
          </w:tcPr>
          <w:p w14:paraId="31710C21"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0.244</w:t>
            </w:r>
          </w:p>
        </w:tc>
      </w:tr>
      <w:tr w:rsidR="005644B3" w:rsidRPr="001923A7" w14:paraId="680DD4FF"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4E9216A3" w14:textId="77777777" w:rsidR="005644B3" w:rsidRPr="001923A7" w:rsidRDefault="005644B3" w:rsidP="00B31C32">
            <w:pPr>
              <w:spacing w:before="0" w:after="0" w:line="240" w:lineRule="auto"/>
              <w:jc w:val="left"/>
              <w:rPr>
                <w:rFonts w:cs="Calibri"/>
                <w:i/>
                <w:iCs/>
                <w:kern w:val="0"/>
                <w:sz w:val="19"/>
                <w:szCs w:val="19"/>
                <w:lang w:eastAsia="en-AU"/>
              </w:rPr>
            </w:pPr>
            <w:proofErr w:type="spellStart"/>
            <w:r w:rsidRPr="001923A7">
              <w:rPr>
                <w:rFonts w:cs="Calibri"/>
                <w:i/>
                <w:iCs/>
                <w:kern w:val="0"/>
                <w:sz w:val="19"/>
                <w:szCs w:val="19"/>
                <w:lang w:eastAsia="en-AU"/>
              </w:rPr>
              <w:t>Enchylaena</w:t>
            </w:r>
            <w:proofErr w:type="spellEnd"/>
            <w:r w:rsidRPr="001923A7">
              <w:rPr>
                <w:rFonts w:cs="Calibri"/>
                <w:i/>
                <w:iCs/>
                <w:kern w:val="0"/>
                <w:sz w:val="19"/>
                <w:szCs w:val="19"/>
                <w:lang w:eastAsia="en-AU"/>
              </w:rPr>
              <w:t xml:space="preserve"> tomentosa</w:t>
            </w:r>
          </w:p>
        </w:tc>
        <w:tc>
          <w:tcPr>
            <w:tcW w:w="1920" w:type="dxa"/>
            <w:tcBorders>
              <w:top w:val="nil"/>
              <w:left w:val="nil"/>
              <w:bottom w:val="single" w:sz="4" w:space="0" w:color="auto"/>
              <w:right w:val="single" w:sz="4" w:space="0" w:color="auto"/>
            </w:tcBorders>
            <w:shd w:val="clear" w:color="auto" w:fill="auto"/>
            <w:noWrap/>
            <w:vAlign w:val="bottom"/>
            <w:hideMark/>
          </w:tcPr>
          <w:p w14:paraId="557B540A"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Not inundated</w:t>
            </w:r>
          </w:p>
        </w:tc>
        <w:tc>
          <w:tcPr>
            <w:tcW w:w="901" w:type="dxa"/>
            <w:tcBorders>
              <w:top w:val="nil"/>
              <w:left w:val="nil"/>
              <w:bottom w:val="single" w:sz="4" w:space="0" w:color="auto"/>
              <w:right w:val="single" w:sz="4" w:space="0" w:color="auto"/>
            </w:tcBorders>
            <w:shd w:val="clear" w:color="auto" w:fill="auto"/>
            <w:noWrap/>
            <w:vAlign w:val="bottom"/>
            <w:hideMark/>
          </w:tcPr>
          <w:p w14:paraId="7753E1E4"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0.1474</w:t>
            </w:r>
          </w:p>
        </w:tc>
      </w:tr>
      <w:tr w:rsidR="005644B3" w:rsidRPr="001923A7" w14:paraId="60C095B5"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75B12D80"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 xml:space="preserve">Erigeron </w:t>
            </w:r>
            <w:proofErr w:type="spellStart"/>
            <w:r w:rsidRPr="001923A7">
              <w:rPr>
                <w:rFonts w:cs="Calibri"/>
                <w:i/>
                <w:iCs/>
                <w:kern w:val="0"/>
                <w:sz w:val="19"/>
                <w:szCs w:val="19"/>
                <w:lang w:eastAsia="en-AU"/>
              </w:rPr>
              <w:t>bonariensis</w:t>
            </w:r>
            <w:proofErr w:type="spellEnd"/>
            <w:r w:rsidRPr="001923A7">
              <w:rPr>
                <w:rFonts w:cs="Calibri"/>
                <w:i/>
                <w:iCs/>
                <w:kern w:val="0"/>
                <w:sz w:val="19"/>
                <w:szCs w:val="19"/>
                <w:lang w:eastAsia="en-AU"/>
              </w:rPr>
              <w:t>*</w:t>
            </w:r>
          </w:p>
        </w:tc>
        <w:tc>
          <w:tcPr>
            <w:tcW w:w="1920" w:type="dxa"/>
            <w:tcBorders>
              <w:top w:val="nil"/>
              <w:left w:val="nil"/>
              <w:bottom w:val="single" w:sz="4" w:space="0" w:color="auto"/>
              <w:right w:val="single" w:sz="4" w:space="0" w:color="auto"/>
            </w:tcBorders>
            <w:shd w:val="clear" w:color="auto" w:fill="auto"/>
            <w:noWrap/>
            <w:vAlign w:val="bottom"/>
            <w:hideMark/>
          </w:tcPr>
          <w:p w14:paraId="292B72CD"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Inundated</w:t>
            </w:r>
          </w:p>
        </w:tc>
        <w:tc>
          <w:tcPr>
            <w:tcW w:w="901" w:type="dxa"/>
            <w:tcBorders>
              <w:top w:val="nil"/>
              <w:left w:val="nil"/>
              <w:bottom w:val="single" w:sz="4" w:space="0" w:color="auto"/>
              <w:right w:val="single" w:sz="4" w:space="0" w:color="auto"/>
            </w:tcBorders>
            <w:shd w:val="clear" w:color="auto" w:fill="auto"/>
            <w:noWrap/>
            <w:vAlign w:val="bottom"/>
            <w:hideMark/>
          </w:tcPr>
          <w:p w14:paraId="02DFDA26"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1</w:t>
            </w:r>
          </w:p>
        </w:tc>
      </w:tr>
      <w:tr w:rsidR="005644B3" w:rsidRPr="001923A7" w14:paraId="1AAD1A2B"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00FFFF"/>
            <w:noWrap/>
            <w:vAlign w:val="bottom"/>
            <w:hideMark/>
          </w:tcPr>
          <w:p w14:paraId="573C198C"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Eucalyptus camaldulensis</w:t>
            </w:r>
          </w:p>
        </w:tc>
        <w:tc>
          <w:tcPr>
            <w:tcW w:w="1920" w:type="dxa"/>
            <w:tcBorders>
              <w:top w:val="nil"/>
              <w:left w:val="nil"/>
              <w:bottom w:val="single" w:sz="4" w:space="0" w:color="auto"/>
              <w:right w:val="single" w:sz="4" w:space="0" w:color="auto"/>
            </w:tcBorders>
            <w:shd w:val="clear" w:color="auto" w:fill="00FFFF"/>
            <w:noWrap/>
            <w:vAlign w:val="bottom"/>
            <w:hideMark/>
          </w:tcPr>
          <w:p w14:paraId="37ACE3B4"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Pool level</w:t>
            </w:r>
          </w:p>
        </w:tc>
        <w:tc>
          <w:tcPr>
            <w:tcW w:w="901" w:type="dxa"/>
            <w:tcBorders>
              <w:top w:val="nil"/>
              <w:left w:val="nil"/>
              <w:bottom w:val="single" w:sz="4" w:space="0" w:color="auto"/>
              <w:right w:val="single" w:sz="4" w:space="0" w:color="auto"/>
            </w:tcBorders>
            <w:shd w:val="clear" w:color="auto" w:fill="00FFFF"/>
            <w:noWrap/>
            <w:vAlign w:val="bottom"/>
            <w:hideMark/>
          </w:tcPr>
          <w:p w14:paraId="7EA8540B"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0.3665</w:t>
            </w:r>
          </w:p>
        </w:tc>
      </w:tr>
      <w:tr w:rsidR="005644B3" w:rsidRPr="001923A7" w14:paraId="34668EA6"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7DD193F2"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 xml:space="preserve">Euphorbia </w:t>
            </w:r>
            <w:proofErr w:type="spellStart"/>
            <w:r w:rsidRPr="001923A7">
              <w:rPr>
                <w:rFonts w:cs="Calibri"/>
                <w:i/>
                <w:iCs/>
                <w:kern w:val="0"/>
                <w:sz w:val="19"/>
                <w:szCs w:val="19"/>
                <w:lang w:eastAsia="en-AU"/>
              </w:rPr>
              <w:t>drummondii</w:t>
            </w:r>
            <w:proofErr w:type="spellEnd"/>
          </w:p>
        </w:tc>
        <w:tc>
          <w:tcPr>
            <w:tcW w:w="1920" w:type="dxa"/>
            <w:tcBorders>
              <w:top w:val="nil"/>
              <w:left w:val="nil"/>
              <w:bottom w:val="single" w:sz="4" w:space="0" w:color="auto"/>
              <w:right w:val="single" w:sz="4" w:space="0" w:color="auto"/>
            </w:tcBorders>
            <w:shd w:val="clear" w:color="auto" w:fill="auto"/>
            <w:noWrap/>
            <w:vAlign w:val="bottom"/>
            <w:hideMark/>
          </w:tcPr>
          <w:p w14:paraId="6C25B12F"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Not inundated</w:t>
            </w:r>
          </w:p>
        </w:tc>
        <w:tc>
          <w:tcPr>
            <w:tcW w:w="901" w:type="dxa"/>
            <w:tcBorders>
              <w:top w:val="nil"/>
              <w:left w:val="nil"/>
              <w:bottom w:val="single" w:sz="4" w:space="0" w:color="auto"/>
              <w:right w:val="single" w:sz="4" w:space="0" w:color="auto"/>
            </w:tcBorders>
            <w:shd w:val="clear" w:color="auto" w:fill="auto"/>
            <w:noWrap/>
            <w:vAlign w:val="bottom"/>
            <w:hideMark/>
          </w:tcPr>
          <w:p w14:paraId="7D0B4517"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0.5427</w:t>
            </w:r>
          </w:p>
        </w:tc>
      </w:tr>
      <w:tr w:rsidR="005644B3" w:rsidRPr="001923A7" w14:paraId="209D1243"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5D7B438E" w14:textId="77777777" w:rsidR="005644B3" w:rsidRPr="001923A7" w:rsidRDefault="005644B3" w:rsidP="00B31C32">
            <w:pPr>
              <w:spacing w:before="0" w:after="0" w:line="240" w:lineRule="auto"/>
              <w:jc w:val="left"/>
              <w:rPr>
                <w:rFonts w:cs="Calibri"/>
                <w:i/>
                <w:iCs/>
                <w:kern w:val="0"/>
                <w:sz w:val="19"/>
                <w:szCs w:val="19"/>
                <w:lang w:eastAsia="en-AU"/>
              </w:rPr>
            </w:pPr>
            <w:proofErr w:type="spellStart"/>
            <w:r w:rsidRPr="001923A7">
              <w:rPr>
                <w:rFonts w:cs="Calibri"/>
                <w:i/>
                <w:iCs/>
                <w:kern w:val="0"/>
                <w:sz w:val="19"/>
                <w:szCs w:val="19"/>
                <w:lang w:eastAsia="en-AU"/>
              </w:rPr>
              <w:t>Glinus</w:t>
            </w:r>
            <w:proofErr w:type="spellEnd"/>
            <w:r w:rsidRPr="001923A7">
              <w:rPr>
                <w:rFonts w:cs="Calibri"/>
                <w:i/>
                <w:iCs/>
                <w:kern w:val="0"/>
                <w:sz w:val="19"/>
                <w:szCs w:val="19"/>
                <w:lang w:eastAsia="en-AU"/>
              </w:rPr>
              <w:t xml:space="preserve"> </w:t>
            </w:r>
            <w:proofErr w:type="spellStart"/>
            <w:r w:rsidRPr="001923A7">
              <w:rPr>
                <w:rFonts w:cs="Calibri"/>
                <w:i/>
                <w:iCs/>
                <w:kern w:val="0"/>
                <w:sz w:val="19"/>
                <w:szCs w:val="19"/>
                <w:lang w:eastAsia="en-AU"/>
              </w:rPr>
              <w:t>lotoides</w:t>
            </w:r>
            <w:proofErr w:type="spellEnd"/>
          </w:p>
        </w:tc>
        <w:tc>
          <w:tcPr>
            <w:tcW w:w="1920" w:type="dxa"/>
            <w:tcBorders>
              <w:top w:val="nil"/>
              <w:left w:val="nil"/>
              <w:bottom w:val="single" w:sz="4" w:space="0" w:color="auto"/>
              <w:right w:val="single" w:sz="4" w:space="0" w:color="auto"/>
            </w:tcBorders>
            <w:shd w:val="clear" w:color="auto" w:fill="auto"/>
            <w:noWrap/>
            <w:vAlign w:val="bottom"/>
            <w:hideMark/>
          </w:tcPr>
          <w:p w14:paraId="5CDB82D7"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Inundated</w:t>
            </w:r>
          </w:p>
        </w:tc>
        <w:tc>
          <w:tcPr>
            <w:tcW w:w="901" w:type="dxa"/>
            <w:tcBorders>
              <w:top w:val="nil"/>
              <w:left w:val="nil"/>
              <w:bottom w:val="single" w:sz="4" w:space="0" w:color="auto"/>
              <w:right w:val="single" w:sz="4" w:space="0" w:color="auto"/>
            </w:tcBorders>
            <w:shd w:val="clear" w:color="auto" w:fill="auto"/>
            <w:noWrap/>
            <w:vAlign w:val="bottom"/>
            <w:hideMark/>
          </w:tcPr>
          <w:p w14:paraId="6C374D4A"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1</w:t>
            </w:r>
          </w:p>
        </w:tc>
      </w:tr>
      <w:tr w:rsidR="005644B3" w:rsidRPr="001923A7" w14:paraId="4FFFB05C"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44D249EA"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 xml:space="preserve">Glycyrrhiza </w:t>
            </w:r>
            <w:proofErr w:type="spellStart"/>
            <w:r w:rsidRPr="001923A7">
              <w:rPr>
                <w:rFonts w:cs="Calibri"/>
                <w:i/>
                <w:iCs/>
                <w:kern w:val="0"/>
                <w:sz w:val="19"/>
                <w:szCs w:val="19"/>
                <w:lang w:eastAsia="en-AU"/>
              </w:rPr>
              <w:t>acanthocarpa</w:t>
            </w:r>
            <w:proofErr w:type="spellEnd"/>
          </w:p>
        </w:tc>
        <w:tc>
          <w:tcPr>
            <w:tcW w:w="1920" w:type="dxa"/>
            <w:tcBorders>
              <w:top w:val="nil"/>
              <w:left w:val="nil"/>
              <w:bottom w:val="single" w:sz="4" w:space="0" w:color="auto"/>
              <w:right w:val="single" w:sz="4" w:space="0" w:color="auto"/>
            </w:tcBorders>
            <w:shd w:val="clear" w:color="auto" w:fill="auto"/>
            <w:noWrap/>
            <w:vAlign w:val="bottom"/>
            <w:hideMark/>
          </w:tcPr>
          <w:p w14:paraId="526A6AFA"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Not inundated</w:t>
            </w:r>
          </w:p>
        </w:tc>
        <w:tc>
          <w:tcPr>
            <w:tcW w:w="901" w:type="dxa"/>
            <w:tcBorders>
              <w:top w:val="nil"/>
              <w:left w:val="nil"/>
              <w:bottom w:val="single" w:sz="4" w:space="0" w:color="auto"/>
              <w:right w:val="single" w:sz="4" w:space="0" w:color="auto"/>
            </w:tcBorders>
            <w:shd w:val="clear" w:color="auto" w:fill="auto"/>
            <w:noWrap/>
            <w:vAlign w:val="bottom"/>
            <w:hideMark/>
          </w:tcPr>
          <w:p w14:paraId="5796D1E9"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1</w:t>
            </w:r>
          </w:p>
        </w:tc>
      </w:tr>
      <w:tr w:rsidR="005644B3" w:rsidRPr="001923A7" w14:paraId="7A907A65"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1F1D95A9" w14:textId="77777777" w:rsidR="005644B3" w:rsidRPr="001923A7" w:rsidRDefault="005644B3" w:rsidP="00B31C32">
            <w:pPr>
              <w:spacing w:before="0" w:after="0" w:line="240" w:lineRule="auto"/>
              <w:jc w:val="left"/>
              <w:rPr>
                <w:rFonts w:cs="Calibri"/>
                <w:i/>
                <w:iCs/>
                <w:kern w:val="0"/>
                <w:sz w:val="19"/>
                <w:szCs w:val="19"/>
                <w:lang w:eastAsia="en-AU"/>
              </w:rPr>
            </w:pPr>
            <w:proofErr w:type="spellStart"/>
            <w:r w:rsidRPr="001923A7">
              <w:rPr>
                <w:rFonts w:cs="Calibri"/>
                <w:i/>
                <w:iCs/>
                <w:kern w:val="0"/>
                <w:sz w:val="19"/>
                <w:szCs w:val="19"/>
                <w:lang w:eastAsia="en-AU"/>
              </w:rPr>
              <w:t>Heliotropium</w:t>
            </w:r>
            <w:proofErr w:type="spellEnd"/>
            <w:r w:rsidRPr="001923A7">
              <w:rPr>
                <w:rFonts w:cs="Calibri"/>
                <w:i/>
                <w:iCs/>
                <w:kern w:val="0"/>
                <w:sz w:val="19"/>
                <w:szCs w:val="19"/>
                <w:lang w:eastAsia="en-AU"/>
              </w:rPr>
              <w:t xml:space="preserve"> </w:t>
            </w:r>
            <w:proofErr w:type="spellStart"/>
            <w:r w:rsidRPr="001923A7">
              <w:rPr>
                <w:rFonts w:cs="Calibri"/>
                <w:i/>
                <w:iCs/>
                <w:kern w:val="0"/>
                <w:sz w:val="19"/>
                <w:szCs w:val="19"/>
                <w:lang w:eastAsia="en-AU"/>
              </w:rPr>
              <w:t>curassavicum</w:t>
            </w:r>
            <w:proofErr w:type="spellEnd"/>
            <w:r w:rsidRPr="001923A7">
              <w:rPr>
                <w:rFonts w:cs="Calibri"/>
                <w:i/>
                <w:iCs/>
                <w:kern w:val="0"/>
                <w:sz w:val="19"/>
                <w:szCs w:val="19"/>
                <w:lang w:eastAsia="en-AU"/>
              </w:rPr>
              <w:t>*</w:t>
            </w:r>
          </w:p>
        </w:tc>
        <w:tc>
          <w:tcPr>
            <w:tcW w:w="1920" w:type="dxa"/>
            <w:tcBorders>
              <w:top w:val="nil"/>
              <w:left w:val="nil"/>
              <w:bottom w:val="single" w:sz="4" w:space="0" w:color="auto"/>
              <w:right w:val="single" w:sz="4" w:space="0" w:color="auto"/>
            </w:tcBorders>
            <w:shd w:val="clear" w:color="auto" w:fill="auto"/>
            <w:noWrap/>
            <w:vAlign w:val="bottom"/>
            <w:hideMark/>
          </w:tcPr>
          <w:p w14:paraId="4D033EDF"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Inundation extent</w:t>
            </w:r>
          </w:p>
        </w:tc>
        <w:tc>
          <w:tcPr>
            <w:tcW w:w="901" w:type="dxa"/>
            <w:tcBorders>
              <w:top w:val="nil"/>
              <w:left w:val="nil"/>
              <w:bottom w:val="single" w:sz="4" w:space="0" w:color="auto"/>
              <w:right w:val="single" w:sz="4" w:space="0" w:color="auto"/>
            </w:tcBorders>
            <w:shd w:val="clear" w:color="auto" w:fill="auto"/>
            <w:noWrap/>
            <w:vAlign w:val="bottom"/>
            <w:hideMark/>
          </w:tcPr>
          <w:p w14:paraId="108FDFFC"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0.7644</w:t>
            </w:r>
          </w:p>
        </w:tc>
      </w:tr>
      <w:tr w:rsidR="005644B3" w:rsidRPr="001923A7" w14:paraId="348AF655"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13B46935" w14:textId="77777777" w:rsidR="005644B3" w:rsidRPr="001923A7" w:rsidRDefault="005644B3" w:rsidP="00B31C32">
            <w:pPr>
              <w:spacing w:before="0" w:after="0" w:line="240" w:lineRule="auto"/>
              <w:jc w:val="left"/>
              <w:rPr>
                <w:rFonts w:cs="Calibri"/>
                <w:i/>
                <w:iCs/>
                <w:kern w:val="0"/>
                <w:sz w:val="19"/>
                <w:szCs w:val="19"/>
                <w:lang w:eastAsia="en-AU"/>
              </w:rPr>
            </w:pPr>
            <w:proofErr w:type="spellStart"/>
            <w:r w:rsidRPr="001923A7">
              <w:rPr>
                <w:rFonts w:cs="Calibri"/>
                <w:i/>
                <w:iCs/>
                <w:kern w:val="0"/>
                <w:sz w:val="19"/>
                <w:szCs w:val="19"/>
                <w:lang w:eastAsia="en-AU"/>
              </w:rPr>
              <w:t>Heliotropium</w:t>
            </w:r>
            <w:proofErr w:type="spellEnd"/>
            <w:r w:rsidRPr="001923A7">
              <w:rPr>
                <w:rFonts w:cs="Calibri"/>
                <w:i/>
                <w:iCs/>
                <w:kern w:val="0"/>
                <w:sz w:val="19"/>
                <w:szCs w:val="19"/>
                <w:lang w:eastAsia="en-AU"/>
              </w:rPr>
              <w:t xml:space="preserve"> </w:t>
            </w:r>
            <w:proofErr w:type="spellStart"/>
            <w:r w:rsidRPr="001923A7">
              <w:rPr>
                <w:rFonts w:cs="Calibri"/>
                <w:i/>
                <w:iCs/>
                <w:kern w:val="0"/>
                <w:sz w:val="19"/>
                <w:szCs w:val="19"/>
                <w:lang w:eastAsia="en-AU"/>
              </w:rPr>
              <w:t>europaeum</w:t>
            </w:r>
            <w:proofErr w:type="spellEnd"/>
            <w:r w:rsidRPr="001923A7">
              <w:rPr>
                <w:rFonts w:cs="Calibri"/>
                <w:i/>
                <w:iCs/>
                <w:kern w:val="0"/>
                <w:sz w:val="19"/>
                <w:szCs w:val="19"/>
                <w:lang w:eastAsia="en-AU"/>
              </w:rPr>
              <w:t>*</w:t>
            </w:r>
          </w:p>
        </w:tc>
        <w:tc>
          <w:tcPr>
            <w:tcW w:w="1920" w:type="dxa"/>
            <w:tcBorders>
              <w:top w:val="nil"/>
              <w:left w:val="nil"/>
              <w:bottom w:val="single" w:sz="4" w:space="0" w:color="auto"/>
              <w:right w:val="single" w:sz="4" w:space="0" w:color="auto"/>
            </w:tcBorders>
            <w:shd w:val="clear" w:color="auto" w:fill="auto"/>
            <w:noWrap/>
            <w:vAlign w:val="bottom"/>
            <w:hideMark/>
          </w:tcPr>
          <w:p w14:paraId="0B34DB1E"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Inundation extent</w:t>
            </w:r>
          </w:p>
        </w:tc>
        <w:tc>
          <w:tcPr>
            <w:tcW w:w="901" w:type="dxa"/>
            <w:tcBorders>
              <w:top w:val="nil"/>
              <w:left w:val="nil"/>
              <w:bottom w:val="single" w:sz="4" w:space="0" w:color="auto"/>
              <w:right w:val="single" w:sz="4" w:space="0" w:color="auto"/>
            </w:tcBorders>
            <w:shd w:val="clear" w:color="auto" w:fill="auto"/>
            <w:noWrap/>
            <w:vAlign w:val="bottom"/>
            <w:hideMark/>
          </w:tcPr>
          <w:p w14:paraId="05C6BE9B"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0.4877</w:t>
            </w:r>
          </w:p>
        </w:tc>
      </w:tr>
      <w:tr w:rsidR="005644B3" w:rsidRPr="001923A7" w14:paraId="04D7CF58"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00FFFF"/>
            <w:noWrap/>
            <w:vAlign w:val="bottom"/>
            <w:hideMark/>
          </w:tcPr>
          <w:p w14:paraId="5218F34B" w14:textId="77777777" w:rsidR="005644B3" w:rsidRPr="001923A7" w:rsidRDefault="005644B3" w:rsidP="00B31C32">
            <w:pPr>
              <w:spacing w:before="0" w:after="0" w:line="240" w:lineRule="auto"/>
              <w:jc w:val="left"/>
              <w:rPr>
                <w:rFonts w:cs="Calibri"/>
                <w:i/>
                <w:iCs/>
                <w:kern w:val="0"/>
                <w:sz w:val="19"/>
                <w:szCs w:val="19"/>
                <w:lang w:eastAsia="en-AU"/>
              </w:rPr>
            </w:pPr>
            <w:proofErr w:type="spellStart"/>
            <w:r w:rsidRPr="001923A7">
              <w:rPr>
                <w:rFonts w:cs="Calibri"/>
                <w:i/>
                <w:iCs/>
                <w:kern w:val="0"/>
                <w:sz w:val="19"/>
                <w:szCs w:val="19"/>
                <w:lang w:eastAsia="en-AU"/>
              </w:rPr>
              <w:t>Isoetopsis</w:t>
            </w:r>
            <w:proofErr w:type="spellEnd"/>
            <w:r w:rsidRPr="001923A7">
              <w:rPr>
                <w:rFonts w:cs="Calibri"/>
                <w:i/>
                <w:iCs/>
                <w:kern w:val="0"/>
                <w:sz w:val="19"/>
                <w:szCs w:val="19"/>
                <w:lang w:eastAsia="en-AU"/>
              </w:rPr>
              <w:t xml:space="preserve"> </w:t>
            </w:r>
            <w:proofErr w:type="spellStart"/>
            <w:r w:rsidRPr="001923A7">
              <w:rPr>
                <w:rFonts w:cs="Calibri"/>
                <w:i/>
                <w:iCs/>
                <w:kern w:val="0"/>
                <w:sz w:val="19"/>
                <w:szCs w:val="19"/>
                <w:lang w:eastAsia="en-AU"/>
              </w:rPr>
              <w:t>graminifolia</w:t>
            </w:r>
            <w:proofErr w:type="spellEnd"/>
          </w:p>
        </w:tc>
        <w:tc>
          <w:tcPr>
            <w:tcW w:w="1920" w:type="dxa"/>
            <w:tcBorders>
              <w:top w:val="nil"/>
              <w:left w:val="nil"/>
              <w:bottom w:val="single" w:sz="4" w:space="0" w:color="auto"/>
              <w:right w:val="single" w:sz="4" w:space="0" w:color="auto"/>
            </w:tcBorders>
            <w:shd w:val="clear" w:color="auto" w:fill="00FFFF"/>
            <w:noWrap/>
            <w:vAlign w:val="bottom"/>
            <w:hideMark/>
          </w:tcPr>
          <w:p w14:paraId="223A6AFA"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Pool level</w:t>
            </w:r>
          </w:p>
        </w:tc>
        <w:tc>
          <w:tcPr>
            <w:tcW w:w="901" w:type="dxa"/>
            <w:tcBorders>
              <w:top w:val="nil"/>
              <w:left w:val="nil"/>
              <w:bottom w:val="single" w:sz="4" w:space="0" w:color="auto"/>
              <w:right w:val="single" w:sz="4" w:space="0" w:color="auto"/>
            </w:tcBorders>
            <w:shd w:val="clear" w:color="auto" w:fill="00FFFF"/>
            <w:noWrap/>
            <w:vAlign w:val="bottom"/>
            <w:hideMark/>
          </w:tcPr>
          <w:p w14:paraId="3626AD6C"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0.4827</w:t>
            </w:r>
          </w:p>
        </w:tc>
      </w:tr>
      <w:tr w:rsidR="005644B3" w:rsidRPr="001923A7" w14:paraId="0B5732F7"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00FFFF"/>
            <w:noWrap/>
            <w:vAlign w:val="bottom"/>
            <w:hideMark/>
          </w:tcPr>
          <w:p w14:paraId="663A24E7" w14:textId="77777777" w:rsidR="005644B3" w:rsidRPr="001923A7" w:rsidRDefault="005644B3" w:rsidP="00B31C32">
            <w:pPr>
              <w:spacing w:before="0" w:after="0" w:line="240" w:lineRule="auto"/>
              <w:jc w:val="left"/>
              <w:rPr>
                <w:rFonts w:cs="Calibri"/>
                <w:i/>
                <w:iCs/>
                <w:kern w:val="0"/>
                <w:sz w:val="19"/>
                <w:szCs w:val="19"/>
                <w:lang w:eastAsia="en-AU"/>
              </w:rPr>
            </w:pPr>
            <w:proofErr w:type="spellStart"/>
            <w:r w:rsidRPr="001923A7">
              <w:rPr>
                <w:rFonts w:cs="Calibri"/>
                <w:i/>
                <w:iCs/>
                <w:kern w:val="0"/>
                <w:sz w:val="19"/>
                <w:szCs w:val="19"/>
                <w:lang w:eastAsia="en-AU"/>
              </w:rPr>
              <w:t>Isolepis</w:t>
            </w:r>
            <w:proofErr w:type="spellEnd"/>
            <w:r w:rsidRPr="001923A7">
              <w:rPr>
                <w:rFonts w:cs="Calibri"/>
                <w:i/>
                <w:iCs/>
                <w:kern w:val="0"/>
                <w:sz w:val="19"/>
                <w:szCs w:val="19"/>
                <w:lang w:eastAsia="en-AU"/>
              </w:rPr>
              <w:t xml:space="preserve"> </w:t>
            </w:r>
            <w:proofErr w:type="spellStart"/>
            <w:r w:rsidRPr="001923A7">
              <w:rPr>
                <w:rFonts w:cs="Calibri"/>
                <w:i/>
                <w:iCs/>
                <w:kern w:val="0"/>
                <w:sz w:val="19"/>
                <w:szCs w:val="19"/>
                <w:lang w:eastAsia="en-AU"/>
              </w:rPr>
              <w:t>australiensis</w:t>
            </w:r>
            <w:proofErr w:type="spellEnd"/>
          </w:p>
        </w:tc>
        <w:tc>
          <w:tcPr>
            <w:tcW w:w="1920" w:type="dxa"/>
            <w:tcBorders>
              <w:top w:val="nil"/>
              <w:left w:val="nil"/>
              <w:bottom w:val="single" w:sz="4" w:space="0" w:color="auto"/>
              <w:right w:val="single" w:sz="4" w:space="0" w:color="auto"/>
            </w:tcBorders>
            <w:shd w:val="clear" w:color="auto" w:fill="00FFFF"/>
            <w:noWrap/>
            <w:vAlign w:val="bottom"/>
            <w:hideMark/>
          </w:tcPr>
          <w:p w14:paraId="5FA6AC20"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Pool level</w:t>
            </w:r>
          </w:p>
        </w:tc>
        <w:tc>
          <w:tcPr>
            <w:tcW w:w="901" w:type="dxa"/>
            <w:tcBorders>
              <w:top w:val="nil"/>
              <w:left w:val="nil"/>
              <w:bottom w:val="single" w:sz="4" w:space="0" w:color="auto"/>
              <w:right w:val="single" w:sz="4" w:space="0" w:color="auto"/>
            </w:tcBorders>
            <w:shd w:val="clear" w:color="auto" w:fill="00FFFF"/>
            <w:noWrap/>
            <w:vAlign w:val="bottom"/>
            <w:hideMark/>
          </w:tcPr>
          <w:p w14:paraId="18262B48"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0.7804</w:t>
            </w:r>
          </w:p>
        </w:tc>
      </w:tr>
      <w:tr w:rsidR="005644B3" w:rsidRPr="001923A7" w14:paraId="3B729111"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000000" w:fill="FFFF00"/>
            <w:noWrap/>
            <w:vAlign w:val="bottom"/>
            <w:hideMark/>
          </w:tcPr>
          <w:p w14:paraId="2B4ADDFC" w14:textId="77777777" w:rsidR="005644B3" w:rsidRPr="001923A7" w:rsidRDefault="005644B3" w:rsidP="00B31C32">
            <w:pPr>
              <w:spacing w:before="0" w:after="0" w:line="240" w:lineRule="auto"/>
              <w:jc w:val="left"/>
              <w:rPr>
                <w:rFonts w:cs="Calibri"/>
                <w:i/>
                <w:iCs/>
                <w:kern w:val="0"/>
                <w:sz w:val="19"/>
                <w:szCs w:val="19"/>
                <w:lang w:eastAsia="en-AU"/>
              </w:rPr>
            </w:pPr>
            <w:proofErr w:type="spellStart"/>
            <w:r w:rsidRPr="001923A7">
              <w:rPr>
                <w:rFonts w:cs="Calibri"/>
                <w:i/>
                <w:iCs/>
                <w:kern w:val="0"/>
                <w:sz w:val="19"/>
                <w:szCs w:val="19"/>
                <w:lang w:eastAsia="en-AU"/>
              </w:rPr>
              <w:t>Ludwigia</w:t>
            </w:r>
            <w:proofErr w:type="spellEnd"/>
            <w:r w:rsidRPr="001923A7">
              <w:rPr>
                <w:rFonts w:cs="Calibri"/>
                <w:i/>
                <w:iCs/>
                <w:kern w:val="0"/>
                <w:sz w:val="19"/>
                <w:szCs w:val="19"/>
                <w:lang w:eastAsia="en-AU"/>
              </w:rPr>
              <w:t xml:space="preserve"> </w:t>
            </w:r>
            <w:proofErr w:type="spellStart"/>
            <w:r w:rsidRPr="001923A7">
              <w:rPr>
                <w:rFonts w:cs="Calibri"/>
                <w:i/>
                <w:iCs/>
                <w:kern w:val="0"/>
                <w:sz w:val="19"/>
                <w:szCs w:val="19"/>
                <w:lang w:eastAsia="en-AU"/>
              </w:rPr>
              <w:t>peploides</w:t>
            </w:r>
            <w:proofErr w:type="spellEnd"/>
          </w:p>
        </w:tc>
        <w:tc>
          <w:tcPr>
            <w:tcW w:w="1920" w:type="dxa"/>
            <w:tcBorders>
              <w:top w:val="nil"/>
              <w:left w:val="nil"/>
              <w:bottom w:val="single" w:sz="4" w:space="0" w:color="auto"/>
              <w:right w:val="single" w:sz="4" w:space="0" w:color="auto"/>
            </w:tcBorders>
            <w:shd w:val="clear" w:color="000000" w:fill="FFFF00"/>
            <w:noWrap/>
            <w:vAlign w:val="bottom"/>
            <w:hideMark/>
          </w:tcPr>
          <w:p w14:paraId="7232E57C"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Pool level</w:t>
            </w:r>
          </w:p>
        </w:tc>
        <w:tc>
          <w:tcPr>
            <w:tcW w:w="901" w:type="dxa"/>
            <w:tcBorders>
              <w:top w:val="nil"/>
              <w:left w:val="nil"/>
              <w:bottom w:val="single" w:sz="4" w:space="0" w:color="auto"/>
              <w:right w:val="single" w:sz="4" w:space="0" w:color="auto"/>
            </w:tcBorders>
            <w:shd w:val="clear" w:color="000000" w:fill="FFFF00"/>
            <w:noWrap/>
            <w:vAlign w:val="bottom"/>
            <w:hideMark/>
          </w:tcPr>
          <w:p w14:paraId="259AB731"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0.003</w:t>
            </w:r>
          </w:p>
        </w:tc>
      </w:tr>
      <w:tr w:rsidR="005644B3" w:rsidRPr="001923A7" w14:paraId="0BB3A4CD"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353410D8"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Oxalis*</w:t>
            </w:r>
          </w:p>
        </w:tc>
        <w:tc>
          <w:tcPr>
            <w:tcW w:w="1920" w:type="dxa"/>
            <w:tcBorders>
              <w:top w:val="nil"/>
              <w:left w:val="nil"/>
              <w:bottom w:val="single" w:sz="4" w:space="0" w:color="auto"/>
              <w:right w:val="single" w:sz="4" w:space="0" w:color="auto"/>
            </w:tcBorders>
            <w:shd w:val="clear" w:color="auto" w:fill="auto"/>
            <w:noWrap/>
            <w:vAlign w:val="bottom"/>
            <w:hideMark/>
          </w:tcPr>
          <w:p w14:paraId="2976F5E1"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Inundation extent</w:t>
            </w:r>
          </w:p>
        </w:tc>
        <w:tc>
          <w:tcPr>
            <w:tcW w:w="901" w:type="dxa"/>
            <w:tcBorders>
              <w:top w:val="nil"/>
              <w:left w:val="nil"/>
              <w:bottom w:val="single" w:sz="4" w:space="0" w:color="auto"/>
              <w:right w:val="single" w:sz="4" w:space="0" w:color="auto"/>
            </w:tcBorders>
            <w:shd w:val="clear" w:color="auto" w:fill="auto"/>
            <w:noWrap/>
            <w:vAlign w:val="bottom"/>
            <w:hideMark/>
          </w:tcPr>
          <w:p w14:paraId="53C3702F"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0.3277</w:t>
            </w:r>
          </w:p>
        </w:tc>
      </w:tr>
      <w:tr w:rsidR="005644B3" w:rsidRPr="001923A7" w14:paraId="6E4D61F6"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05C60B44" w14:textId="77777777" w:rsidR="005644B3" w:rsidRPr="001923A7" w:rsidRDefault="005644B3" w:rsidP="00B31C32">
            <w:pPr>
              <w:spacing w:before="0" w:after="0" w:line="240" w:lineRule="auto"/>
              <w:jc w:val="left"/>
              <w:rPr>
                <w:rFonts w:cs="Calibri"/>
                <w:i/>
                <w:iCs/>
                <w:kern w:val="0"/>
                <w:sz w:val="19"/>
                <w:szCs w:val="19"/>
                <w:lang w:eastAsia="en-AU"/>
              </w:rPr>
            </w:pPr>
            <w:proofErr w:type="spellStart"/>
            <w:r w:rsidRPr="001923A7">
              <w:rPr>
                <w:rFonts w:cs="Calibri"/>
                <w:i/>
                <w:iCs/>
                <w:kern w:val="0"/>
                <w:sz w:val="19"/>
                <w:szCs w:val="19"/>
                <w:lang w:eastAsia="en-AU"/>
              </w:rPr>
              <w:t>Paspalidium</w:t>
            </w:r>
            <w:proofErr w:type="spellEnd"/>
            <w:r w:rsidRPr="001923A7">
              <w:rPr>
                <w:rFonts w:cs="Calibri"/>
                <w:i/>
                <w:iCs/>
                <w:kern w:val="0"/>
                <w:sz w:val="19"/>
                <w:szCs w:val="19"/>
                <w:lang w:eastAsia="en-AU"/>
              </w:rPr>
              <w:t xml:space="preserve"> </w:t>
            </w:r>
            <w:proofErr w:type="spellStart"/>
            <w:r w:rsidRPr="001923A7">
              <w:rPr>
                <w:rFonts w:cs="Calibri"/>
                <w:i/>
                <w:iCs/>
                <w:kern w:val="0"/>
                <w:sz w:val="19"/>
                <w:szCs w:val="19"/>
                <w:lang w:eastAsia="en-AU"/>
              </w:rPr>
              <w:t>jubiflorum</w:t>
            </w:r>
            <w:proofErr w:type="spellEnd"/>
          </w:p>
        </w:tc>
        <w:tc>
          <w:tcPr>
            <w:tcW w:w="1920" w:type="dxa"/>
            <w:tcBorders>
              <w:top w:val="nil"/>
              <w:left w:val="nil"/>
              <w:bottom w:val="single" w:sz="4" w:space="0" w:color="auto"/>
              <w:right w:val="single" w:sz="4" w:space="0" w:color="auto"/>
            </w:tcBorders>
            <w:shd w:val="clear" w:color="auto" w:fill="auto"/>
            <w:noWrap/>
            <w:vAlign w:val="bottom"/>
            <w:hideMark/>
          </w:tcPr>
          <w:p w14:paraId="19AAEB6C"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Not inundated</w:t>
            </w:r>
          </w:p>
        </w:tc>
        <w:tc>
          <w:tcPr>
            <w:tcW w:w="901" w:type="dxa"/>
            <w:tcBorders>
              <w:top w:val="nil"/>
              <w:left w:val="nil"/>
              <w:bottom w:val="single" w:sz="4" w:space="0" w:color="auto"/>
              <w:right w:val="single" w:sz="4" w:space="0" w:color="auto"/>
            </w:tcBorders>
            <w:shd w:val="clear" w:color="auto" w:fill="auto"/>
            <w:noWrap/>
            <w:vAlign w:val="bottom"/>
            <w:hideMark/>
          </w:tcPr>
          <w:p w14:paraId="4D165F28"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1</w:t>
            </w:r>
          </w:p>
        </w:tc>
      </w:tr>
      <w:tr w:rsidR="005644B3" w:rsidRPr="001923A7" w14:paraId="7475FCA8"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00FFFF"/>
            <w:noWrap/>
            <w:vAlign w:val="bottom"/>
            <w:hideMark/>
          </w:tcPr>
          <w:p w14:paraId="29B411CE"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Paspalum distichum</w:t>
            </w:r>
          </w:p>
        </w:tc>
        <w:tc>
          <w:tcPr>
            <w:tcW w:w="1920" w:type="dxa"/>
            <w:tcBorders>
              <w:top w:val="nil"/>
              <w:left w:val="nil"/>
              <w:bottom w:val="single" w:sz="4" w:space="0" w:color="auto"/>
              <w:right w:val="single" w:sz="4" w:space="0" w:color="auto"/>
            </w:tcBorders>
            <w:shd w:val="clear" w:color="auto" w:fill="00FFFF"/>
            <w:noWrap/>
            <w:vAlign w:val="bottom"/>
            <w:hideMark/>
          </w:tcPr>
          <w:p w14:paraId="7C1BD3FD"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Pool level</w:t>
            </w:r>
          </w:p>
        </w:tc>
        <w:tc>
          <w:tcPr>
            <w:tcW w:w="901" w:type="dxa"/>
            <w:tcBorders>
              <w:top w:val="nil"/>
              <w:left w:val="nil"/>
              <w:bottom w:val="single" w:sz="4" w:space="0" w:color="auto"/>
              <w:right w:val="single" w:sz="4" w:space="0" w:color="auto"/>
            </w:tcBorders>
            <w:shd w:val="clear" w:color="auto" w:fill="00FFFF"/>
            <w:noWrap/>
            <w:vAlign w:val="bottom"/>
            <w:hideMark/>
          </w:tcPr>
          <w:p w14:paraId="52A08E0A"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0.3215</w:t>
            </w:r>
          </w:p>
        </w:tc>
      </w:tr>
      <w:tr w:rsidR="005644B3" w:rsidRPr="001923A7" w14:paraId="16BA4415"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FFFF00"/>
            <w:noWrap/>
            <w:vAlign w:val="bottom"/>
            <w:hideMark/>
          </w:tcPr>
          <w:p w14:paraId="6D6AAFDD" w14:textId="77777777" w:rsidR="005644B3" w:rsidRPr="001923A7" w:rsidRDefault="005644B3" w:rsidP="00B31C32">
            <w:pPr>
              <w:spacing w:before="0" w:after="0" w:line="240" w:lineRule="auto"/>
              <w:jc w:val="left"/>
              <w:rPr>
                <w:rFonts w:cs="Calibri"/>
                <w:i/>
                <w:iCs/>
                <w:kern w:val="0"/>
                <w:sz w:val="19"/>
                <w:szCs w:val="19"/>
                <w:lang w:eastAsia="en-AU"/>
              </w:rPr>
            </w:pPr>
            <w:proofErr w:type="spellStart"/>
            <w:r w:rsidRPr="001923A7">
              <w:rPr>
                <w:rFonts w:cs="Calibri"/>
                <w:i/>
                <w:iCs/>
                <w:kern w:val="0"/>
                <w:sz w:val="19"/>
                <w:szCs w:val="19"/>
                <w:lang w:eastAsia="en-AU"/>
              </w:rPr>
              <w:t>Persicaria</w:t>
            </w:r>
            <w:proofErr w:type="spellEnd"/>
            <w:r w:rsidRPr="001923A7">
              <w:rPr>
                <w:rFonts w:cs="Calibri"/>
                <w:i/>
                <w:iCs/>
                <w:kern w:val="0"/>
                <w:sz w:val="19"/>
                <w:szCs w:val="19"/>
                <w:lang w:eastAsia="en-AU"/>
              </w:rPr>
              <w:t xml:space="preserve"> </w:t>
            </w:r>
            <w:proofErr w:type="spellStart"/>
            <w:r w:rsidRPr="001923A7">
              <w:rPr>
                <w:rFonts w:cs="Calibri"/>
                <w:i/>
                <w:iCs/>
                <w:kern w:val="0"/>
                <w:sz w:val="19"/>
                <w:szCs w:val="19"/>
                <w:lang w:eastAsia="en-AU"/>
              </w:rPr>
              <w:t>lapathifolia</w:t>
            </w:r>
            <w:proofErr w:type="spellEnd"/>
          </w:p>
        </w:tc>
        <w:tc>
          <w:tcPr>
            <w:tcW w:w="1920" w:type="dxa"/>
            <w:tcBorders>
              <w:top w:val="nil"/>
              <w:left w:val="nil"/>
              <w:bottom w:val="single" w:sz="4" w:space="0" w:color="auto"/>
              <w:right w:val="single" w:sz="4" w:space="0" w:color="auto"/>
            </w:tcBorders>
            <w:shd w:val="clear" w:color="auto" w:fill="FFFF00"/>
            <w:noWrap/>
            <w:vAlign w:val="bottom"/>
            <w:hideMark/>
          </w:tcPr>
          <w:p w14:paraId="30E9B4C9"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Pool level</w:t>
            </w:r>
          </w:p>
        </w:tc>
        <w:tc>
          <w:tcPr>
            <w:tcW w:w="901" w:type="dxa"/>
            <w:tcBorders>
              <w:top w:val="nil"/>
              <w:left w:val="nil"/>
              <w:bottom w:val="single" w:sz="4" w:space="0" w:color="auto"/>
              <w:right w:val="single" w:sz="4" w:space="0" w:color="auto"/>
            </w:tcBorders>
            <w:shd w:val="clear" w:color="auto" w:fill="FFFF00"/>
            <w:noWrap/>
            <w:vAlign w:val="bottom"/>
            <w:hideMark/>
          </w:tcPr>
          <w:p w14:paraId="10C95478"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0.0294</w:t>
            </w:r>
          </w:p>
        </w:tc>
      </w:tr>
      <w:tr w:rsidR="005644B3" w:rsidRPr="001923A7" w14:paraId="14C34E29"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00FFFF"/>
            <w:noWrap/>
            <w:vAlign w:val="bottom"/>
            <w:hideMark/>
          </w:tcPr>
          <w:p w14:paraId="02D28DDC"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Phragmites australis</w:t>
            </w:r>
          </w:p>
        </w:tc>
        <w:tc>
          <w:tcPr>
            <w:tcW w:w="1920" w:type="dxa"/>
            <w:tcBorders>
              <w:top w:val="nil"/>
              <w:left w:val="nil"/>
              <w:bottom w:val="single" w:sz="4" w:space="0" w:color="auto"/>
              <w:right w:val="single" w:sz="4" w:space="0" w:color="auto"/>
            </w:tcBorders>
            <w:shd w:val="clear" w:color="auto" w:fill="00FFFF"/>
            <w:noWrap/>
            <w:vAlign w:val="bottom"/>
            <w:hideMark/>
          </w:tcPr>
          <w:p w14:paraId="6298D52F"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Pool level</w:t>
            </w:r>
          </w:p>
        </w:tc>
        <w:tc>
          <w:tcPr>
            <w:tcW w:w="901" w:type="dxa"/>
            <w:tcBorders>
              <w:top w:val="nil"/>
              <w:left w:val="nil"/>
              <w:bottom w:val="single" w:sz="4" w:space="0" w:color="auto"/>
              <w:right w:val="single" w:sz="4" w:space="0" w:color="auto"/>
            </w:tcBorders>
            <w:shd w:val="clear" w:color="auto" w:fill="00FFFF"/>
            <w:noWrap/>
            <w:vAlign w:val="bottom"/>
            <w:hideMark/>
          </w:tcPr>
          <w:p w14:paraId="1C3768FC"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0.3295</w:t>
            </w:r>
          </w:p>
        </w:tc>
      </w:tr>
      <w:tr w:rsidR="005644B3" w:rsidRPr="001923A7" w14:paraId="50C01D48"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239A40BB"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 xml:space="preserve">Phyllanthus </w:t>
            </w:r>
            <w:proofErr w:type="spellStart"/>
            <w:r w:rsidRPr="001923A7">
              <w:rPr>
                <w:rFonts w:cs="Calibri"/>
                <w:i/>
                <w:iCs/>
                <w:kern w:val="0"/>
                <w:sz w:val="19"/>
                <w:szCs w:val="19"/>
                <w:lang w:eastAsia="en-AU"/>
              </w:rPr>
              <w:t>lacunarius</w:t>
            </w:r>
            <w:proofErr w:type="spellEnd"/>
          </w:p>
        </w:tc>
        <w:tc>
          <w:tcPr>
            <w:tcW w:w="1920" w:type="dxa"/>
            <w:tcBorders>
              <w:top w:val="nil"/>
              <w:left w:val="nil"/>
              <w:bottom w:val="single" w:sz="4" w:space="0" w:color="auto"/>
              <w:right w:val="single" w:sz="4" w:space="0" w:color="auto"/>
            </w:tcBorders>
            <w:shd w:val="clear" w:color="auto" w:fill="auto"/>
            <w:noWrap/>
            <w:vAlign w:val="bottom"/>
            <w:hideMark/>
          </w:tcPr>
          <w:p w14:paraId="6FB2047F"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Inundated</w:t>
            </w:r>
          </w:p>
        </w:tc>
        <w:tc>
          <w:tcPr>
            <w:tcW w:w="901" w:type="dxa"/>
            <w:tcBorders>
              <w:top w:val="nil"/>
              <w:left w:val="nil"/>
              <w:bottom w:val="single" w:sz="4" w:space="0" w:color="auto"/>
              <w:right w:val="single" w:sz="4" w:space="0" w:color="auto"/>
            </w:tcBorders>
            <w:shd w:val="clear" w:color="auto" w:fill="auto"/>
            <w:noWrap/>
            <w:vAlign w:val="bottom"/>
            <w:hideMark/>
          </w:tcPr>
          <w:p w14:paraId="1B636FAE"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1</w:t>
            </w:r>
          </w:p>
        </w:tc>
      </w:tr>
      <w:tr w:rsidR="005644B3" w:rsidRPr="001923A7" w14:paraId="23AA58F8"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00FFFF"/>
            <w:noWrap/>
            <w:vAlign w:val="bottom"/>
            <w:hideMark/>
          </w:tcPr>
          <w:p w14:paraId="75304066"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 xml:space="preserve">Polygonum </w:t>
            </w:r>
            <w:proofErr w:type="spellStart"/>
            <w:r w:rsidRPr="001923A7">
              <w:rPr>
                <w:rFonts w:cs="Calibri"/>
                <w:i/>
                <w:iCs/>
                <w:kern w:val="0"/>
                <w:sz w:val="19"/>
                <w:szCs w:val="19"/>
                <w:lang w:eastAsia="en-AU"/>
              </w:rPr>
              <w:t>plebeium</w:t>
            </w:r>
            <w:proofErr w:type="spellEnd"/>
          </w:p>
        </w:tc>
        <w:tc>
          <w:tcPr>
            <w:tcW w:w="1920" w:type="dxa"/>
            <w:tcBorders>
              <w:top w:val="nil"/>
              <w:left w:val="nil"/>
              <w:bottom w:val="single" w:sz="4" w:space="0" w:color="auto"/>
              <w:right w:val="single" w:sz="4" w:space="0" w:color="auto"/>
            </w:tcBorders>
            <w:shd w:val="clear" w:color="auto" w:fill="00FFFF"/>
            <w:noWrap/>
            <w:vAlign w:val="bottom"/>
            <w:hideMark/>
          </w:tcPr>
          <w:p w14:paraId="572382D0"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Pool level</w:t>
            </w:r>
          </w:p>
        </w:tc>
        <w:tc>
          <w:tcPr>
            <w:tcW w:w="901" w:type="dxa"/>
            <w:tcBorders>
              <w:top w:val="nil"/>
              <w:left w:val="nil"/>
              <w:bottom w:val="single" w:sz="4" w:space="0" w:color="auto"/>
              <w:right w:val="single" w:sz="4" w:space="0" w:color="auto"/>
            </w:tcBorders>
            <w:shd w:val="clear" w:color="auto" w:fill="00FFFF"/>
            <w:noWrap/>
            <w:vAlign w:val="bottom"/>
            <w:hideMark/>
          </w:tcPr>
          <w:p w14:paraId="085E45D9"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0.3247</w:t>
            </w:r>
          </w:p>
        </w:tc>
      </w:tr>
      <w:tr w:rsidR="005644B3" w:rsidRPr="001923A7" w14:paraId="6488C550"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00FFFF"/>
            <w:noWrap/>
            <w:vAlign w:val="bottom"/>
            <w:hideMark/>
          </w:tcPr>
          <w:p w14:paraId="5923F257" w14:textId="77777777" w:rsidR="005644B3" w:rsidRPr="001923A7" w:rsidRDefault="005644B3" w:rsidP="00B31C32">
            <w:pPr>
              <w:spacing w:before="0" w:after="0" w:line="240" w:lineRule="auto"/>
              <w:jc w:val="left"/>
              <w:rPr>
                <w:rFonts w:cs="Calibri"/>
                <w:i/>
                <w:iCs/>
                <w:kern w:val="0"/>
                <w:sz w:val="19"/>
                <w:szCs w:val="19"/>
                <w:lang w:eastAsia="en-AU"/>
              </w:rPr>
            </w:pPr>
            <w:proofErr w:type="spellStart"/>
            <w:r w:rsidRPr="001923A7">
              <w:rPr>
                <w:rFonts w:cs="Calibri"/>
                <w:i/>
                <w:iCs/>
                <w:kern w:val="0"/>
                <w:sz w:val="19"/>
                <w:szCs w:val="19"/>
                <w:lang w:eastAsia="en-AU"/>
              </w:rPr>
              <w:t>Pseudognaphalium</w:t>
            </w:r>
            <w:proofErr w:type="spellEnd"/>
            <w:r w:rsidRPr="001923A7">
              <w:rPr>
                <w:rFonts w:cs="Calibri"/>
                <w:i/>
                <w:iCs/>
                <w:kern w:val="0"/>
                <w:sz w:val="19"/>
                <w:szCs w:val="19"/>
                <w:lang w:eastAsia="en-AU"/>
              </w:rPr>
              <w:t xml:space="preserve"> </w:t>
            </w:r>
            <w:proofErr w:type="spellStart"/>
            <w:r w:rsidRPr="001923A7">
              <w:rPr>
                <w:rFonts w:cs="Calibri"/>
                <w:i/>
                <w:iCs/>
                <w:kern w:val="0"/>
                <w:sz w:val="19"/>
                <w:szCs w:val="19"/>
                <w:lang w:eastAsia="en-AU"/>
              </w:rPr>
              <w:t>luteoalbum</w:t>
            </w:r>
            <w:proofErr w:type="spellEnd"/>
          </w:p>
        </w:tc>
        <w:tc>
          <w:tcPr>
            <w:tcW w:w="1920" w:type="dxa"/>
            <w:tcBorders>
              <w:top w:val="nil"/>
              <w:left w:val="nil"/>
              <w:bottom w:val="single" w:sz="4" w:space="0" w:color="auto"/>
              <w:right w:val="single" w:sz="4" w:space="0" w:color="auto"/>
            </w:tcBorders>
            <w:shd w:val="clear" w:color="auto" w:fill="00FFFF"/>
            <w:noWrap/>
            <w:vAlign w:val="bottom"/>
            <w:hideMark/>
          </w:tcPr>
          <w:p w14:paraId="5314E20D"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Inundated</w:t>
            </w:r>
          </w:p>
        </w:tc>
        <w:tc>
          <w:tcPr>
            <w:tcW w:w="901" w:type="dxa"/>
            <w:tcBorders>
              <w:top w:val="nil"/>
              <w:left w:val="nil"/>
              <w:bottom w:val="single" w:sz="4" w:space="0" w:color="auto"/>
              <w:right w:val="single" w:sz="4" w:space="0" w:color="auto"/>
            </w:tcBorders>
            <w:shd w:val="clear" w:color="auto" w:fill="00FFFF"/>
            <w:noWrap/>
            <w:vAlign w:val="bottom"/>
            <w:hideMark/>
          </w:tcPr>
          <w:p w14:paraId="6330DC85"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0.2665</w:t>
            </w:r>
          </w:p>
        </w:tc>
      </w:tr>
      <w:tr w:rsidR="005644B3" w:rsidRPr="001923A7" w14:paraId="7B51E298"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6E067696"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 xml:space="preserve">Senecio </w:t>
            </w:r>
            <w:proofErr w:type="spellStart"/>
            <w:r w:rsidRPr="001923A7">
              <w:rPr>
                <w:rFonts w:cs="Calibri"/>
                <w:i/>
                <w:iCs/>
                <w:kern w:val="0"/>
                <w:sz w:val="19"/>
                <w:szCs w:val="19"/>
                <w:lang w:eastAsia="en-AU"/>
              </w:rPr>
              <w:t>cunninghamii</w:t>
            </w:r>
            <w:proofErr w:type="spellEnd"/>
          </w:p>
        </w:tc>
        <w:tc>
          <w:tcPr>
            <w:tcW w:w="1920" w:type="dxa"/>
            <w:tcBorders>
              <w:top w:val="nil"/>
              <w:left w:val="nil"/>
              <w:bottom w:val="single" w:sz="4" w:space="0" w:color="auto"/>
              <w:right w:val="single" w:sz="4" w:space="0" w:color="auto"/>
            </w:tcBorders>
            <w:shd w:val="clear" w:color="auto" w:fill="auto"/>
            <w:noWrap/>
            <w:vAlign w:val="bottom"/>
            <w:hideMark/>
          </w:tcPr>
          <w:p w14:paraId="0900413F"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Not inundated</w:t>
            </w:r>
          </w:p>
        </w:tc>
        <w:tc>
          <w:tcPr>
            <w:tcW w:w="901" w:type="dxa"/>
            <w:tcBorders>
              <w:top w:val="nil"/>
              <w:left w:val="nil"/>
              <w:bottom w:val="single" w:sz="4" w:space="0" w:color="auto"/>
              <w:right w:val="single" w:sz="4" w:space="0" w:color="auto"/>
            </w:tcBorders>
            <w:shd w:val="clear" w:color="auto" w:fill="auto"/>
            <w:noWrap/>
            <w:vAlign w:val="bottom"/>
            <w:hideMark/>
          </w:tcPr>
          <w:p w14:paraId="69D3BEF6"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0.7508</w:t>
            </w:r>
          </w:p>
        </w:tc>
      </w:tr>
      <w:tr w:rsidR="005644B3" w:rsidRPr="001923A7" w14:paraId="441A50FD"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000000" w:fill="FFFF00"/>
            <w:noWrap/>
            <w:vAlign w:val="bottom"/>
            <w:hideMark/>
          </w:tcPr>
          <w:p w14:paraId="0F6ECB65" w14:textId="77777777" w:rsidR="005644B3" w:rsidRPr="001923A7" w:rsidRDefault="005644B3" w:rsidP="00B31C32">
            <w:pPr>
              <w:spacing w:before="0" w:after="0" w:line="240" w:lineRule="auto"/>
              <w:jc w:val="left"/>
              <w:rPr>
                <w:rFonts w:cs="Calibri"/>
                <w:i/>
                <w:iCs/>
                <w:kern w:val="0"/>
                <w:sz w:val="19"/>
                <w:szCs w:val="19"/>
                <w:lang w:eastAsia="en-AU"/>
              </w:rPr>
            </w:pPr>
            <w:proofErr w:type="spellStart"/>
            <w:r w:rsidRPr="001923A7">
              <w:rPr>
                <w:rFonts w:cs="Calibri"/>
                <w:i/>
                <w:iCs/>
                <w:kern w:val="0"/>
                <w:sz w:val="19"/>
                <w:szCs w:val="19"/>
                <w:lang w:eastAsia="en-AU"/>
              </w:rPr>
              <w:t>Sphaeromorphaea</w:t>
            </w:r>
            <w:proofErr w:type="spellEnd"/>
            <w:r w:rsidRPr="001923A7">
              <w:rPr>
                <w:rFonts w:cs="Calibri"/>
                <w:i/>
                <w:iCs/>
                <w:kern w:val="0"/>
                <w:sz w:val="19"/>
                <w:szCs w:val="19"/>
                <w:lang w:eastAsia="en-AU"/>
              </w:rPr>
              <w:t xml:space="preserve"> australis</w:t>
            </w:r>
          </w:p>
        </w:tc>
        <w:tc>
          <w:tcPr>
            <w:tcW w:w="1920" w:type="dxa"/>
            <w:tcBorders>
              <w:top w:val="nil"/>
              <w:left w:val="nil"/>
              <w:bottom w:val="single" w:sz="4" w:space="0" w:color="auto"/>
              <w:right w:val="single" w:sz="4" w:space="0" w:color="auto"/>
            </w:tcBorders>
            <w:shd w:val="clear" w:color="000000" w:fill="FFFF00"/>
            <w:noWrap/>
            <w:vAlign w:val="bottom"/>
            <w:hideMark/>
          </w:tcPr>
          <w:p w14:paraId="287DA401"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Pool level</w:t>
            </w:r>
          </w:p>
        </w:tc>
        <w:tc>
          <w:tcPr>
            <w:tcW w:w="901" w:type="dxa"/>
            <w:tcBorders>
              <w:top w:val="nil"/>
              <w:left w:val="nil"/>
              <w:bottom w:val="single" w:sz="4" w:space="0" w:color="auto"/>
              <w:right w:val="single" w:sz="4" w:space="0" w:color="auto"/>
            </w:tcBorders>
            <w:shd w:val="clear" w:color="000000" w:fill="FFFF00"/>
            <w:noWrap/>
            <w:vAlign w:val="bottom"/>
            <w:hideMark/>
          </w:tcPr>
          <w:p w14:paraId="77098AAF"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0.003</w:t>
            </w:r>
          </w:p>
        </w:tc>
      </w:tr>
      <w:tr w:rsidR="005644B3" w:rsidRPr="001923A7" w14:paraId="21F9783B"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auto"/>
            <w:noWrap/>
            <w:vAlign w:val="bottom"/>
            <w:hideMark/>
          </w:tcPr>
          <w:p w14:paraId="40A1C5AA"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 xml:space="preserve">Sporobolus </w:t>
            </w:r>
            <w:proofErr w:type="spellStart"/>
            <w:r w:rsidRPr="001923A7">
              <w:rPr>
                <w:rFonts w:cs="Calibri"/>
                <w:i/>
                <w:iCs/>
                <w:kern w:val="0"/>
                <w:sz w:val="19"/>
                <w:szCs w:val="19"/>
                <w:lang w:eastAsia="en-AU"/>
              </w:rPr>
              <w:t>mitchellii</w:t>
            </w:r>
            <w:proofErr w:type="spellEnd"/>
          </w:p>
        </w:tc>
        <w:tc>
          <w:tcPr>
            <w:tcW w:w="1920" w:type="dxa"/>
            <w:tcBorders>
              <w:top w:val="nil"/>
              <w:left w:val="nil"/>
              <w:bottom w:val="single" w:sz="4" w:space="0" w:color="auto"/>
              <w:right w:val="single" w:sz="4" w:space="0" w:color="auto"/>
            </w:tcBorders>
            <w:shd w:val="clear" w:color="auto" w:fill="auto"/>
            <w:noWrap/>
            <w:vAlign w:val="bottom"/>
            <w:hideMark/>
          </w:tcPr>
          <w:p w14:paraId="1928D6BD"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Inundation extent</w:t>
            </w:r>
          </w:p>
        </w:tc>
        <w:tc>
          <w:tcPr>
            <w:tcW w:w="901" w:type="dxa"/>
            <w:tcBorders>
              <w:top w:val="nil"/>
              <w:left w:val="nil"/>
              <w:bottom w:val="single" w:sz="4" w:space="0" w:color="auto"/>
              <w:right w:val="single" w:sz="4" w:space="0" w:color="auto"/>
            </w:tcBorders>
            <w:shd w:val="clear" w:color="auto" w:fill="auto"/>
            <w:noWrap/>
            <w:vAlign w:val="bottom"/>
            <w:hideMark/>
          </w:tcPr>
          <w:p w14:paraId="4EC2CB2E"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0.5865</w:t>
            </w:r>
          </w:p>
        </w:tc>
      </w:tr>
      <w:tr w:rsidR="005644B3" w:rsidRPr="001923A7" w14:paraId="18118E5B"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00FFFF"/>
            <w:noWrap/>
            <w:vAlign w:val="bottom"/>
            <w:hideMark/>
          </w:tcPr>
          <w:p w14:paraId="7A864513" w14:textId="77777777" w:rsidR="005644B3" w:rsidRPr="001923A7" w:rsidRDefault="005644B3" w:rsidP="00B31C32">
            <w:pPr>
              <w:spacing w:before="0" w:after="0" w:line="240" w:lineRule="auto"/>
              <w:jc w:val="left"/>
              <w:rPr>
                <w:rFonts w:cs="Calibri"/>
                <w:i/>
                <w:iCs/>
                <w:kern w:val="0"/>
                <w:sz w:val="19"/>
                <w:szCs w:val="19"/>
                <w:lang w:eastAsia="en-AU"/>
              </w:rPr>
            </w:pPr>
            <w:proofErr w:type="spellStart"/>
            <w:r w:rsidRPr="001923A7">
              <w:rPr>
                <w:rFonts w:cs="Calibri"/>
                <w:i/>
                <w:iCs/>
                <w:kern w:val="0"/>
                <w:sz w:val="19"/>
                <w:szCs w:val="19"/>
                <w:lang w:eastAsia="en-AU"/>
              </w:rPr>
              <w:t>Stemodia</w:t>
            </w:r>
            <w:proofErr w:type="spellEnd"/>
            <w:r w:rsidRPr="001923A7">
              <w:rPr>
                <w:rFonts w:cs="Calibri"/>
                <w:i/>
                <w:iCs/>
                <w:kern w:val="0"/>
                <w:sz w:val="19"/>
                <w:szCs w:val="19"/>
                <w:lang w:eastAsia="en-AU"/>
              </w:rPr>
              <w:t xml:space="preserve"> </w:t>
            </w:r>
            <w:proofErr w:type="spellStart"/>
            <w:r w:rsidRPr="001923A7">
              <w:rPr>
                <w:rFonts w:cs="Calibri"/>
                <w:i/>
                <w:iCs/>
                <w:kern w:val="0"/>
                <w:sz w:val="19"/>
                <w:szCs w:val="19"/>
                <w:lang w:eastAsia="en-AU"/>
              </w:rPr>
              <w:t>florulenta</w:t>
            </w:r>
            <w:proofErr w:type="spellEnd"/>
          </w:p>
        </w:tc>
        <w:tc>
          <w:tcPr>
            <w:tcW w:w="1920" w:type="dxa"/>
            <w:tcBorders>
              <w:top w:val="nil"/>
              <w:left w:val="nil"/>
              <w:bottom w:val="single" w:sz="4" w:space="0" w:color="auto"/>
              <w:right w:val="single" w:sz="4" w:space="0" w:color="auto"/>
            </w:tcBorders>
            <w:shd w:val="clear" w:color="auto" w:fill="00FFFF"/>
            <w:noWrap/>
            <w:vAlign w:val="bottom"/>
            <w:hideMark/>
          </w:tcPr>
          <w:p w14:paraId="0C14DB59"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Inundated</w:t>
            </w:r>
          </w:p>
        </w:tc>
        <w:tc>
          <w:tcPr>
            <w:tcW w:w="901" w:type="dxa"/>
            <w:tcBorders>
              <w:top w:val="nil"/>
              <w:left w:val="nil"/>
              <w:bottom w:val="single" w:sz="4" w:space="0" w:color="auto"/>
              <w:right w:val="single" w:sz="4" w:space="0" w:color="auto"/>
            </w:tcBorders>
            <w:shd w:val="clear" w:color="auto" w:fill="00FFFF"/>
            <w:noWrap/>
            <w:vAlign w:val="bottom"/>
            <w:hideMark/>
          </w:tcPr>
          <w:p w14:paraId="172F991C"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0.1098</w:t>
            </w:r>
          </w:p>
        </w:tc>
      </w:tr>
      <w:tr w:rsidR="005644B3" w:rsidRPr="001923A7" w14:paraId="55EF7C44"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000000" w:fill="FFFF00"/>
            <w:noWrap/>
            <w:vAlign w:val="bottom"/>
            <w:hideMark/>
          </w:tcPr>
          <w:p w14:paraId="748F01F6" w14:textId="77777777" w:rsidR="005644B3" w:rsidRPr="001923A7" w:rsidRDefault="005644B3" w:rsidP="00B31C32">
            <w:pPr>
              <w:spacing w:before="0" w:after="0" w:line="240" w:lineRule="auto"/>
              <w:jc w:val="left"/>
              <w:rPr>
                <w:rFonts w:cs="Calibri"/>
                <w:i/>
                <w:iCs/>
                <w:kern w:val="0"/>
                <w:sz w:val="19"/>
                <w:szCs w:val="19"/>
                <w:lang w:eastAsia="en-AU"/>
              </w:rPr>
            </w:pPr>
            <w:proofErr w:type="spellStart"/>
            <w:r w:rsidRPr="001923A7">
              <w:rPr>
                <w:rFonts w:cs="Calibri"/>
                <w:i/>
                <w:iCs/>
                <w:kern w:val="0"/>
                <w:sz w:val="19"/>
                <w:szCs w:val="19"/>
                <w:lang w:eastAsia="en-AU"/>
              </w:rPr>
              <w:t>Symphyotrichum</w:t>
            </w:r>
            <w:proofErr w:type="spellEnd"/>
            <w:r w:rsidRPr="001923A7">
              <w:rPr>
                <w:rFonts w:cs="Calibri"/>
                <w:i/>
                <w:iCs/>
                <w:kern w:val="0"/>
                <w:sz w:val="19"/>
                <w:szCs w:val="19"/>
                <w:lang w:eastAsia="en-AU"/>
              </w:rPr>
              <w:t xml:space="preserve"> </w:t>
            </w:r>
            <w:proofErr w:type="spellStart"/>
            <w:r w:rsidRPr="001923A7">
              <w:rPr>
                <w:rFonts w:cs="Calibri"/>
                <w:i/>
                <w:iCs/>
                <w:kern w:val="0"/>
                <w:sz w:val="19"/>
                <w:szCs w:val="19"/>
                <w:lang w:eastAsia="en-AU"/>
              </w:rPr>
              <w:t>subulatum</w:t>
            </w:r>
            <w:proofErr w:type="spellEnd"/>
            <w:r w:rsidRPr="001923A7">
              <w:rPr>
                <w:rFonts w:cs="Calibri"/>
                <w:i/>
                <w:iCs/>
                <w:kern w:val="0"/>
                <w:sz w:val="19"/>
                <w:szCs w:val="19"/>
                <w:lang w:eastAsia="en-AU"/>
              </w:rPr>
              <w:t>*</w:t>
            </w:r>
          </w:p>
        </w:tc>
        <w:tc>
          <w:tcPr>
            <w:tcW w:w="1920" w:type="dxa"/>
            <w:tcBorders>
              <w:top w:val="nil"/>
              <w:left w:val="nil"/>
              <w:bottom w:val="single" w:sz="4" w:space="0" w:color="auto"/>
              <w:right w:val="single" w:sz="4" w:space="0" w:color="auto"/>
            </w:tcBorders>
            <w:shd w:val="clear" w:color="000000" w:fill="FFFF00"/>
            <w:noWrap/>
            <w:vAlign w:val="bottom"/>
            <w:hideMark/>
          </w:tcPr>
          <w:p w14:paraId="2D4B3075"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Pool level</w:t>
            </w:r>
          </w:p>
        </w:tc>
        <w:tc>
          <w:tcPr>
            <w:tcW w:w="901" w:type="dxa"/>
            <w:tcBorders>
              <w:top w:val="nil"/>
              <w:left w:val="nil"/>
              <w:bottom w:val="single" w:sz="4" w:space="0" w:color="auto"/>
              <w:right w:val="single" w:sz="4" w:space="0" w:color="auto"/>
            </w:tcBorders>
            <w:shd w:val="clear" w:color="000000" w:fill="FFFF00"/>
            <w:noWrap/>
            <w:vAlign w:val="bottom"/>
            <w:hideMark/>
          </w:tcPr>
          <w:p w14:paraId="388EB62C"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0.0166</w:t>
            </w:r>
          </w:p>
        </w:tc>
      </w:tr>
      <w:tr w:rsidR="005644B3" w:rsidRPr="001923A7" w14:paraId="15AB0BA8"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00FFFF"/>
            <w:noWrap/>
            <w:vAlign w:val="bottom"/>
            <w:hideMark/>
          </w:tcPr>
          <w:p w14:paraId="5F7F2514"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 xml:space="preserve">Typha </w:t>
            </w:r>
            <w:proofErr w:type="spellStart"/>
            <w:r w:rsidRPr="001923A7">
              <w:rPr>
                <w:rFonts w:cs="Calibri"/>
                <w:i/>
                <w:iCs/>
                <w:kern w:val="0"/>
                <w:sz w:val="19"/>
                <w:szCs w:val="19"/>
                <w:lang w:eastAsia="en-AU"/>
              </w:rPr>
              <w:t>domingensis</w:t>
            </w:r>
            <w:proofErr w:type="spellEnd"/>
          </w:p>
        </w:tc>
        <w:tc>
          <w:tcPr>
            <w:tcW w:w="1920" w:type="dxa"/>
            <w:tcBorders>
              <w:top w:val="nil"/>
              <w:left w:val="nil"/>
              <w:bottom w:val="single" w:sz="4" w:space="0" w:color="auto"/>
              <w:right w:val="single" w:sz="4" w:space="0" w:color="auto"/>
            </w:tcBorders>
            <w:shd w:val="clear" w:color="auto" w:fill="00FFFF"/>
            <w:noWrap/>
            <w:vAlign w:val="bottom"/>
            <w:hideMark/>
          </w:tcPr>
          <w:p w14:paraId="2BBE4B15"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Pool level</w:t>
            </w:r>
          </w:p>
        </w:tc>
        <w:tc>
          <w:tcPr>
            <w:tcW w:w="901" w:type="dxa"/>
            <w:tcBorders>
              <w:top w:val="nil"/>
              <w:left w:val="nil"/>
              <w:bottom w:val="single" w:sz="4" w:space="0" w:color="auto"/>
              <w:right w:val="single" w:sz="4" w:space="0" w:color="auto"/>
            </w:tcBorders>
            <w:shd w:val="clear" w:color="auto" w:fill="00FFFF"/>
            <w:noWrap/>
            <w:vAlign w:val="bottom"/>
            <w:hideMark/>
          </w:tcPr>
          <w:p w14:paraId="3E531DCD"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0.7698</w:t>
            </w:r>
          </w:p>
        </w:tc>
      </w:tr>
      <w:tr w:rsidR="005644B3" w:rsidRPr="001923A7" w14:paraId="51B2F6E4" w14:textId="77777777" w:rsidTr="00B31C32">
        <w:trPr>
          <w:trHeight w:val="300"/>
          <w:jc w:val="center"/>
        </w:trPr>
        <w:tc>
          <w:tcPr>
            <w:tcW w:w="3460" w:type="dxa"/>
            <w:tcBorders>
              <w:top w:val="nil"/>
              <w:left w:val="single" w:sz="4" w:space="0" w:color="auto"/>
              <w:bottom w:val="single" w:sz="4" w:space="0" w:color="auto"/>
              <w:right w:val="single" w:sz="4" w:space="0" w:color="auto"/>
            </w:tcBorders>
            <w:shd w:val="clear" w:color="auto" w:fill="00FFFF"/>
            <w:noWrap/>
            <w:vAlign w:val="bottom"/>
            <w:hideMark/>
          </w:tcPr>
          <w:p w14:paraId="5DEAD8C3" w14:textId="77777777" w:rsidR="005644B3" w:rsidRPr="001923A7" w:rsidRDefault="005644B3" w:rsidP="00B31C32">
            <w:pPr>
              <w:spacing w:before="0" w:after="0" w:line="240" w:lineRule="auto"/>
              <w:jc w:val="left"/>
              <w:rPr>
                <w:rFonts w:cs="Calibri"/>
                <w:i/>
                <w:iCs/>
                <w:kern w:val="0"/>
                <w:sz w:val="19"/>
                <w:szCs w:val="19"/>
                <w:lang w:eastAsia="en-AU"/>
              </w:rPr>
            </w:pPr>
            <w:r w:rsidRPr="001923A7">
              <w:rPr>
                <w:rFonts w:cs="Calibri"/>
                <w:i/>
                <w:iCs/>
                <w:kern w:val="0"/>
                <w:sz w:val="19"/>
                <w:szCs w:val="19"/>
                <w:lang w:eastAsia="en-AU"/>
              </w:rPr>
              <w:t>Xanthium occidentale**</w:t>
            </w:r>
          </w:p>
        </w:tc>
        <w:tc>
          <w:tcPr>
            <w:tcW w:w="1920" w:type="dxa"/>
            <w:tcBorders>
              <w:top w:val="nil"/>
              <w:left w:val="nil"/>
              <w:bottom w:val="single" w:sz="4" w:space="0" w:color="auto"/>
              <w:right w:val="single" w:sz="4" w:space="0" w:color="auto"/>
            </w:tcBorders>
            <w:shd w:val="clear" w:color="auto" w:fill="00FFFF"/>
            <w:noWrap/>
            <w:vAlign w:val="bottom"/>
            <w:hideMark/>
          </w:tcPr>
          <w:p w14:paraId="158A9B8A" w14:textId="77777777" w:rsidR="005644B3" w:rsidRPr="00B8627A" w:rsidRDefault="005644B3" w:rsidP="00B31C32">
            <w:pPr>
              <w:spacing w:before="0" w:after="0" w:line="240" w:lineRule="auto"/>
              <w:jc w:val="left"/>
              <w:rPr>
                <w:rFonts w:cs="Calibri"/>
                <w:i/>
                <w:iCs/>
                <w:kern w:val="0"/>
                <w:sz w:val="19"/>
                <w:szCs w:val="19"/>
                <w:lang w:eastAsia="en-AU"/>
              </w:rPr>
            </w:pPr>
            <w:r w:rsidRPr="00B8627A">
              <w:rPr>
                <w:rFonts w:cs="Calibri"/>
                <w:i/>
                <w:iCs/>
                <w:kern w:val="0"/>
                <w:sz w:val="19"/>
                <w:szCs w:val="19"/>
                <w:lang w:eastAsia="en-AU"/>
              </w:rPr>
              <w:t>Inundated</w:t>
            </w:r>
          </w:p>
        </w:tc>
        <w:tc>
          <w:tcPr>
            <w:tcW w:w="901" w:type="dxa"/>
            <w:tcBorders>
              <w:top w:val="nil"/>
              <w:left w:val="nil"/>
              <w:bottom w:val="single" w:sz="4" w:space="0" w:color="auto"/>
              <w:right w:val="single" w:sz="4" w:space="0" w:color="auto"/>
            </w:tcBorders>
            <w:shd w:val="clear" w:color="auto" w:fill="00FFFF"/>
            <w:noWrap/>
            <w:vAlign w:val="bottom"/>
            <w:hideMark/>
          </w:tcPr>
          <w:p w14:paraId="017DC9CA" w14:textId="77777777" w:rsidR="005644B3" w:rsidRPr="001923A7" w:rsidRDefault="005644B3" w:rsidP="00B31C32">
            <w:pPr>
              <w:spacing w:before="0" w:after="0" w:line="240" w:lineRule="auto"/>
              <w:jc w:val="right"/>
              <w:rPr>
                <w:rFonts w:cs="Calibri"/>
                <w:kern w:val="0"/>
                <w:sz w:val="19"/>
                <w:szCs w:val="19"/>
                <w:lang w:eastAsia="en-AU"/>
              </w:rPr>
            </w:pPr>
            <w:r w:rsidRPr="001923A7">
              <w:rPr>
                <w:rFonts w:cs="Calibri"/>
                <w:kern w:val="0"/>
                <w:sz w:val="19"/>
                <w:szCs w:val="19"/>
                <w:lang w:eastAsia="en-AU"/>
              </w:rPr>
              <w:t>0.4111</w:t>
            </w:r>
          </w:p>
        </w:tc>
      </w:tr>
      <w:bookmarkEnd w:id="379"/>
    </w:tbl>
    <w:p w14:paraId="43B4B17D" w14:textId="35DC3A4C" w:rsidR="00C12050" w:rsidRDefault="00C12050">
      <w:pPr>
        <w:spacing w:before="0" w:after="160" w:line="259" w:lineRule="auto"/>
        <w:jc w:val="left"/>
        <w:rPr>
          <w:rFonts w:eastAsia="MS Mincho" w:cs="Arial"/>
          <w:b/>
          <w:bCs/>
          <w:noProof/>
          <w:color w:val="auto"/>
          <w:kern w:val="0"/>
          <w:sz w:val="20"/>
          <w:lang w:val="en-US" w:eastAsia="en-AU"/>
        </w:rPr>
      </w:pPr>
    </w:p>
    <w:p w14:paraId="4458DE3E" w14:textId="44F3EA90" w:rsidR="001F65B5" w:rsidRDefault="001F65B5" w:rsidP="00F8184E">
      <w:pPr>
        <w:pStyle w:val="Captions"/>
        <w:rPr>
          <w:noProof/>
          <w:highlight w:val="yellow"/>
          <w:lang w:eastAsia="en-AU"/>
        </w:rPr>
      </w:pPr>
    </w:p>
    <w:p w14:paraId="5C7A7B9D" w14:textId="77777777" w:rsidR="001F65B5" w:rsidRDefault="001F65B5">
      <w:pPr>
        <w:spacing w:before="0" w:after="160" w:line="259" w:lineRule="auto"/>
        <w:jc w:val="left"/>
        <w:rPr>
          <w:rFonts w:eastAsia="MS Mincho" w:cs="Arial"/>
          <w:b/>
          <w:bCs/>
          <w:noProof/>
          <w:color w:val="auto"/>
          <w:kern w:val="0"/>
          <w:sz w:val="20"/>
          <w:highlight w:val="yellow"/>
          <w:lang w:val="en-US" w:eastAsia="en-AU"/>
        </w:rPr>
      </w:pPr>
      <w:r>
        <w:rPr>
          <w:noProof/>
          <w:highlight w:val="yellow"/>
          <w:lang w:eastAsia="en-AU"/>
        </w:rPr>
        <w:br w:type="page"/>
      </w:r>
    </w:p>
    <w:p w14:paraId="77ADC239" w14:textId="2FC79483" w:rsidR="001F65B5" w:rsidRPr="00E35BD5" w:rsidRDefault="001F65B5" w:rsidP="001F65B5">
      <w:pPr>
        <w:pStyle w:val="Caption"/>
        <w:rPr>
          <w:color w:val="44546A" w:themeColor="text2"/>
          <w:sz w:val="26"/>
          <w:szCs w:val="26"/>
        </w:rPr>
      </w:pPr>
      <w:proofErr w:type="spellStart"/>
      <w:r>
        <w:rPr>
          <w:color w:val="44546A" w:themeColor="text2"/>
          <w:sz w:val="26"/>
          <w:szCs w:val="26"/>
        </w:rPr>
        <w:t>Microinvertebrate</w:t>
      </w:r>
      <w:proofErr w:type="spellEnd"/>
      <w:r>
        <w:rPr>
          <w:color w:val="44546A" w:themeColor="text2"/>
          <w:sz w:val="26"/>
          <w:szCs w:val="26"/>
        </w:rPr>
        <w:t xml:space="preserve"> assemblage</w:t>
      </w:r>
    </w:p>
    <w:p w14:paraId="04EAD8F5" w14:textId="77777777" w:rsidR="00EA35F8" w:rsidRDefault="00EA35F8" w:rsidP="00EA35F8">
      <w:r>
        <w:t xml:space="preserve">To estimate the contribution of Commonwealth environmental water to </w:t>
      </w:r>
      <w:proofErr w:type="spellStart"/>
      <w:r>
        <w:t>microinvertebrate</w:t>
      </w:r>
      <w:proofErr w:type="spellEnd"/>
      <w:r>
        <w:t xml:space="preserve"> taxonomic richness (quantified as the integer number of distinct taxa with individuals identified to the lowest possible taxonomic level (e.g., family, genus, species)) and density (quantified as the number of individuals per litre (i.e., volumetric density)), we ignored the potential variation in the relative contribution of longitudinal and lateral sources. We adopt a hypothesis that the additional water volumes contributed by Commonwealth environmental water increased the overall abundance and taxonomic richness of </w:t>
      </w:r>
      <w:proofErr w:type="spellStart"/>
      <w:r>
        <w:t>microinvertebrate</w:t>
      </w:r>
      <w:proofErr w:type="spellEnd"/>
      <w:r>
        <w:t xml:space="preserve"> assemblages at all locations in the Lower Murray, without consideration of the relative contribution of different habitats or functional groups. </w:t>
      </w:r>
    </w:p>
    <w:p w14:paraId="4091E900" w14:textId="77777777" w:rsidR="00EA35F8" w:rsidRDefault="00EA35F8" w:rsidP="00EA35F8">
      <w:r>
        <w:t xml:space="preserve">Because we have only one river, we are unable to use an experimental approach to answer the evaluation questions. These must necessarily be addressed using a modelling approach, to estimate the difference in the </w:t>
      </w:r>
      <w:proofErr w:type="spellStart"/>
      <w:r>
        <w:t>microinvertebrate</w:t>
      </w:r>
      <w:proofErr w:type="spellEnd"/>
      <w:r>
        <w:t xml:space="preserve"> assemblages under a scenario where the environmental water was not provided. To achieve this, the observed </w:t>
      </w:r>
      <w:proofErr w:type="spellStart"/>
      <w:r>
        <w:t>microinvertebrate</w:t>
      </w:r>
      <w:proofErr w:type="spellEnd"/>
      <w:r>
        <w:t xml:space="preserve"> data was used to build a model based on the observed flow data. Then the modelled flow data, removing the volumes due to environmental water, can be used to predict </w:t>
      </w:r>
      <w:proofErr w:type="spellStart"/>
      <w:r>
        <w:t>microinvertebrate</w:t>
      </w:r>
      <w:proofErr w:type="spellEnd"/>
      <w:r>
        <w:t xml:space="preserve"> taxonomic richness and density if this were the amount of water that had been available. While this comes with considerable uncertainty, it is not possible to answer the questions in any other way with available data. To guide the modelling process, each evaluation question was turned into a hypothesis with specific predictions.</w:t>
      </w:r>
    </w:p>
    <w:p w14:paraId="0CE32433" w14:textId="77777777" w:rsidR="00366652" w:rsidRPr="001F65B5" w:rsidRDefault="00366652" w:rsidP="00366652">
      <w:pPr>
        <w:rPr>
          <w:b/>
          <w:bCs/>
          <w:i/>
          <w:iCs/>
          <w:color w:val="44546A" w:themeColor="text2"/>
          <w:sz w:val="24"/>
          <w:szCs w:val="24"/>
          <w:lang w:val="en-US" w:eastAsia="en-AU"/>
        </w:rPr>
      </w:pPr>
      <w:r w:rsidRPr="001F65B5">
        <w:rPr>
          <w:b/>
          <w:bCs/>
          <w:i/>
          <w:iCs/>
          <w:color w:val="44546A" w:themeColor="text2"/>
          <w:sz w:val="24"/>
          <w:szCs w:val="24"/>
          <w:lang w:val="en-US" w:eastAsia="en-AU"/>
        </w:rPr>
        <w:t>Additional modelling and statistical analyses</w:t>
      </w:r>
    </w:p>
    <w:p w14:paraId="1AB94739" w14:textId="77777777" w:rsidR="00EA35F8" w:rsidRPr="00432B07" w:rsidRDefault="00EA35F8" w:rsidP="00EA35F8">
      <w:pPr>
        <w:rPr>
          <w:i/>
          <w:iCs/>
          <w:u w:val="single"/>
        </w:rPr>
      </w:pPr>
      <w:proofErr w:type="spellStart"/>
      <w:r w:rsidRPr="00432B07">
        <w:rPr>
          <w:i/>
          <w:iCs/>
          <w:u w:val="single"/>
        </w:rPr>
        <w:t>Microinvertebrate</w:t>
      </w:r>
      <w:proofErr w:type="spellEnd"/>
      <w:r w:rsidRPr="00432B07">
        <w:rPr>
          <w:i/>
          <w:iCs/>
          <w:u w:val="single"/>
        </w:rPr>
        <w:t xml:space="preserve"> taxonomic richness of LTIM and MER samples</w:t>
      </w:r>
    </w:p>
    <w:p w14:paraId="50EE1CE3" w14:textId="4D8809CC" w:rsidR="00EA35F8" w:rsidRPr="008C0233" w:rsidRDefault="00EA35F8" w:rsidP="00EA35F8">
      <w:r>
        <w:t xml:space="preserve">There are three important elements to biodiversity: total density, taxonomic richness, and </w:t>
      </w:r>
      <w:r w:rsidRPr="00291D53">
        <w:t>evenness (</w:t>
      </w:r>
      <w:proofErr w:type="spellStart"/>
      <w:r w:rsidRPr="00291D53">
        <w:t>Magurran</w:t>
      </w:r>
      <w:proofErr w:type="spellEnd"/>
      <w:r w:rsidRPr="00291D53">
        <w:t xml:space="preserve"> and McGill 2011). </w:t>
      </w:r>
      <w:proofErr w:type="spellStart"/>
      <w:r>
        <w:t>Microinvertebrate</w:t>
      </w:r>
      <w:proofErr w:type="spellEnd"/>
      <w:r>
        <w:t xml:space="preserve"> density (individuals per litre) and taxonomic richness (number of distinct taxa per litre) were quantified as the mean and 95% confidence limits in all samples in each water year. To quantify evenness, </w:t>
      </w:r>
      <w:proofErr w:type="spellStart"/>
      <w:r>
        <w:t>Pielou’s</w:t>
      </w:r>
      <w:proofErr w:type="spellEnd"/>
      <w:r>
        <w:t xml:space="preserve"> measure (Shannon diversity divided by the log number of taxa) was used. </w:t>
      </w:r>
      <w:proofErr w:type="spellStart"/>
      <w:r>
        <w:t>Pielou’s</w:t>
      </w:r>
      <w:proofErr w:type="spellEnd"/>
      <w:r>
        <w:t xml:space="preserve"> evenness ranges from 0 to 1, with a value of 1 indicating all taxa had the same number of individuals. </w:t>
      </w:r>
      <w:r w:rsidR="007C2D10">
        <w:t xml:space="preserve">Generally, a higher evenness means that the number of individuals is similar for each </w:t>
      </w:r>
      <w:proofErr w:type="gramStart"/>
      <w:r w:rsidR="007C2D10">
        <w:t>taxa</w:t>
      </w:r>
      <w:proofErr w:type="gramEnd"/>
      <w:r w:rsidR="007C2D10">
        <w:t>, and for</w:t>
      </w:r>
      <w:r>
        <w:t xml:space="preserve">a given taxonomic richness, a more even assemblage is considered more diverse. Evenness is an important diversity measure as it influences community stability, resistance and resilience and tends to be more responsive to human perturbations than </w:t>
      </w:r>
      <w:r w:rsidRPr="00291D53">
        <w:t xml:space="preserve">richness (Hillebrand </w:t>
      </w:r>
      <w:r w:rsidRPr="00BE1769">
        <w:rPr>
          <w:i/>
          <w:iCs/>
        </w:rPr>
        <w:t>et al.</w:t>
      </w:r>
      <w:r w:rsidRPr="00291D53">
        <w:t xml:space="preserve"> 2008).</w:t>
      </w:r>
    </w:p>
    <w:p w14:paraId="59D71FBB" w14:textId="77777777" w:rsidR="00EA35F8" w:rsidRPr="00432B07" w:rsidRDefault="00EA35F8" w:rsidP="00EA35F8">
      <w:pPr>
        <w:rPr>
          <w:i/>
          <w:iCs/>
          <w:u w:val="single"/>
        </w:rPr>
      </w:pPr>
      <w:r w:rsidRPr="00432B07">
        <w:rPr>
          <w:i/>
          <w:iCs/>
          <w:u w:val="single"/>
        </w:rPr>
        <w:t>Functional group abundance</w:t>
      </w:r>
    </w:p>
    <w:p w14:paraId="2CE93F06" w14:textId="77777777" w:rsidR="00EA35F8" w:rsidRDefault="00EA35F8" w:rsidP="00EA35F8">
      <w:r>
        <w:t xml:space="preserve">LTIM </w:t>
      </w:r>
      <w:proofErr w:type="spellStart"/>
      <w:r>
        <w:t>microinvertebrate</w:t>
      </w:r>
      <w:proofErr w:type="spellEnd"/>
      <w:r>
        <w:t xml:space="preserve"> samples have previously been compared according to the proportional density of different </w:t>
      </w:r>
      <w:proofErr w:type="spellStart"/>
      <w:r>
        <w:t>microinvertebrate</w:t>
      </w:r>
      <w:proofErr w:type="spellEnd"/>
      <w:r>
        <w:t xml:space="preserve"> functional groups </w:t>
      </w:r>
      <w:r w:rsidRPr="00291D53">
        <w:t xml:space="preserve">(e.g., pelagic vs. littoral rotifers; Ye </w:t>
      </w:r>
      <w:r w:rsidRPr="00BE1769">
        <w:rPr>
          <w:i/>
          <w:iCs/>
        </w:rPr>
        <w:t>et al.</w:t>
      </w:r>
      <w:r w:rsidRPr="00291D53">
        <w:t xml:space="preserve"> 2020). Here </w:t>
      </w:r>
      <w:r>
        <w:t xml:space="preserve">we have repeated this analysis for MER samples. We also classified the MER and LTIM samples into a minimum set of groups based on the proportion of each functional group in the samples, to determine the main influences of difference in composition. For each sampling event (trip), we calculated proportional functional group representation in pooled samples at the lock scale (i.e., proportional density of each functional group in the three sites each below locks 1 and 6 for the LTIM samples and of the three replicates at the single site below locks 1, 4 and 6 for the MER samples, total number of samples = 79). We classified samples using Ward’s method to identify clusters of samples with relatively similar relative proportions of functional groups quantified using the Hellinger distance matrix and used indicator species </w:t>
      </w:r>
      <w:r w:rsidRPr="00291D53">
        <w:t xml:space="preserve">analysis (Dufrene and Legendre 1997) to </w:t>
      </w:r>
      <w:r>
        <w:t>determine the optimal number of groups to split samples among (</w:t>
      </w:r>
      <w:r w:rsidRPr="00A63D3C">
        <w:rPr>
          <w:i/>
          <w:iCs/>
        </w:rPr>
        <w:t>n</w:t>
      </w:r>
      <w:r>
        <w:t xml:space="preserve"> = 3) and to identify representative taxa within each of these groups to aid interpretation. For each taxon, its indicator value for a group of samples is the product of its specificity (mean abundance in samples from that group relative to the other groups) and its affinity (proportion of samples within that group the taxa is observed). This product is multiplied by 100 to give a percentage. An indicator value of 100 for a given group would mean the taxa was only found in samples within that group and occurred in every sample. The significance of the indicator value is tested by randomization.</w:t>
      </w:r>
    </w:p>
    <w:p w14:paraId="0B2386D9" w14:textId="77777777" w:rsidR="00EA35F8" w:rsidRPr="001F65B5" w:rsidRDefault="00EA35F8" w:rsidP="00EA35F8">
      <w:pPr>
        <w:rPr>
          <w:highlight w:val="yellow"/>
          <w:lang w:val="en-US" w:eastAsia="en-AU"/>
        </w:rPr>
      </w:pPr>
      <w:r>
        <w:t>We then built a binary classification tree to distinguish the conditions most likely to produce the observed similarity between samples within the functional group classes. Binary classification trees use both categorical and continuous predictors to create binary (yes/no) splits among samples, seeking to identify the predictors (and values of these) most associated with the grouping of samples into classes. The classification tree was built using R package ‘</w:t>
      </w:r>
      <w:proofErr w:type="spellStart"/>
      <w:r>
        <w:t>rpart</w:t>
      </w:r>
      <w:proofErr w:type="spellEnd"/>
      <w:r>
        <w:t xml:space="preserve">’ </w:t>
      </w:r>
      <w:r w:rsidRPr="00291D53">
        <w:t>(</w:t>
      </w:r>
      <w:proofErr w:type="spellStart"/>
      <w:r w:rsidRPr="00291D53">
        <w:t>Therneau</w:t>
      </w:r>
      <w:proofErr w:type="spellEnd"/>
      <w:r w:rsidRPr="00291D53">
        <w:t xml:space="preserve"> </w:t>
      </w:r>
      <w:r w:rsidRPr="00BE1769">
        <w:rPr>
          <w:i/>
          <w:iCs/>
        </w:rPr>
        <w:t>et al.</w:t>
      </w:r>
      <w:r w:rsidRPr="00291D53">
        <w:t xml:space="preserve"> 2019).</w:t>
      </w:r>
    </w:p>
    <w:p w14:paraId="6CF8F91D" w14:textId="77777777" w:rsidR="00EA35F8" w:rsidRPr="00432B07" w:rsidRDefault="00EA35F8" w:rsidP="00EA35F8">
      <w:pPr>
        <w:rPr>
          <w:i/>
          <w:iCs/>
          <w:u w:val="single"/>
        </w:rPr>
      </w:pPr>
      <w:r w:rsidRPr="00432B07">
        <w:rPr>
          <w:i/>
          <w:iCs/>
          <w:u w:val="single"/>
        </w:rPr>
        <w:t>Predictors used in modelling</w:t>
      </w:r>
    </w:p>
    <w:p w14:paraId="2679B5EA" w14:textId="77777777" w:rsidR="00EA35F8" w:rsidRDefault="00EA35F8" w:rsidP="00EA35F8">
      <w:r>
        <w:t xml:space="preserve">Both categorical and continuous predictors were used to model </w:t>
      </w:r>
      <w:proofErr w:type="spellStart"/>
      <w:r>
        <w:t>microinvertebrate</w:t>
      </w:r>
      <w:proofErr w:type="spellEnd"/>
      <w:r>
        <w:t xml:space="preserve"> flow response. Categorical predictors were month, water year, </w:t>
      </w:r>
      <w:proofErr w:type="gramStart"/>
      <w:r>
        <w:t>lock</w:t>
      </w:r>
      <w:proofErr w:type="gramEnd"/>
      <w:r>
        <w:t xml:space="preserve"> and site. Continuous predictors quantified: (1) flow, (2) flow variability, (3) water quality and (4) inundated floodplain area. Short-term and long-term flow predictors were calculated, with short-term flow quantified as the mean flow on the day of sampling at the nearest lock for each site. Long term flow was quantified as the mean daily flow over the preceding 12-week periods (shorter periods resulted in predictors with a Pearson correlation with daily flow exceeding 0.95). Flow variability was quantified as the trend in 10-day flow volume (denoted ‘dQ10’), estimated as the mean daily change in flow volume over the preceding 10-day period (5, 7 and 14-d trends were also calculated, and tested in modelling. However, 10-day trends tended to have the most explanatory power). Water quality parameters available for modelled were daily temperature and electrical conductivity. Floodplain inundated area was quantified using the DEW MIKE model outputs (M. Gibbs, pers comm). These outputs provide a flow-area response curve where the area of floodplain in each weir pool can be estimated based on the daily flow. A generalised additive model (a type of smoothing function) was fit to the discrete MIKE outputs (area of floodplain inundated in each weir pool at a given daily flow) to allow an estimate of inundated area for any flow volume. These were summed over 28- and 60-day periods to estimate inundated floodplain area corresponding to a minimum period required for taxa to emerge from the egg bank and complete one or two life cycles. Models were fit using only one of the estimates, the predictor giving the better explanatory power was adopted for the final model. </w:t>
      </w:r>
    </w:p>
    <w:p w14:paraId="26448689" w14:textId="77777777" w:rsidR="00EA35F8" w:rsidRPr="00432B07" w:rsidRDefault="00EA35F8" w:rsidP="00EA35F8">
      <w:pPr>
        <w:rPr>
          <w:i/>
          <w:iCs/>
          <w:u w:val="single"/>
        </w:rPr>
      </w:pPr>
      <w:r w:rsidRPr="00432B07">
        <w:rPr>
          <w:i/>
          <w:iCs/>
          <w:u w:val="single"/>
        </w:rPr>
        <w:t>Model construction and selection process</w:t>
      </w:r>
    </w:p>
    <w:p w14:paraId="2DE9F5E9" w14:textId="77777777" w:rsidR="00EA35F8" w:rsidRDefault="00EA35F8" w:rsidP="00EA35F8">
      <w:r>
        <w:t>As the response variables of interest (i.e., density and taxonomic richness) were count data, each response was first modelled using a generalised linear model with a Poisson error structure and log link function. Where over-dispersion was evident, models were re-fit using negative binomial error structures. Because the data represent repeated measures, model residuals were assessed for temporal dependence (i.e., autocorrelation) using Pearson’s correlation</w:t>
      </w:r>
      <w:r w:rsidRPr="00DB2F12">
        <w:t xml:space="preserve"> </w:t>
      </w:r>
      <w:r>
        <w:t xml:space="preserve">for a lag of one sampling event. However, no evidence of autocorrelation was found in any of the models (all </w:t>
      </w:r>
      <w:r w:rsidRPr="00B143D0">
        <w:rPr>
          <w:i/>
          <w:iCs/>
        </w:rPr>
        <w:t>p</w:t>
      </w:r>
      <w:r>
        <w:t xml:space="preserve"> &gt; 0.05). Spatial autocorrelation was assessed using Mantel test of model residuals and Euclidean distances between sites, and again no spatial autocorrelation was evident (all </w:t>
      </w:r>
      <w:r w:rsidRPr="00B143D0">
        <w:rPr>
          <w:i/>
          <w:iCs/>
        </w:rPr>
        <w:t>p</w:t>
      </w:r>
      <w:r>
        <w:t xml:space="preserve"> &gt; 0.05).</w:t>
      </w:r>
    </w:p>
    <w:p w14:paraId="038BB1B5" w14:textId="77777777" w:rsidR="00EA35F8" w:rsidRDefault="00EA35F8" w:rsidP="00EA35F8">
      <w:r>
        <w:t>In each case, model selection was based on fitting a global model that included all predictors: month, site, lock and water year as factor variables, continuous predictors of short- and long-term flow, and all two-way interactions for temperature, electrical conductivity, area of inundated floodplain and 10-day flow trend. An optimal model structure was determined using an automated stepwise procedure that minimised Akaike’s information criterion by iteratively fitting different combinations of predictors (function ‘</w:t>
      </w:r>
      <w:proofErr w:type="spellStart"/>
      <w:r>
        <w:t>stepAIC</w:t>
      </w:r>
      <w:proofErr w:type="spellEnd"/>
      <w:r>
        <w:t>’). Model predictive performance was assessed using two pseudo-R</w:t>
      </w:r>
      <w:r w:rsidRPr="009F0C6D">
        <w:rPr>
          <w:vertAlign w:val="superscript"/>
        </w:rPr>
        <w:t>2</w:t>
      </w:r>
      <w:r>
        <w:t xml:space="preserve"> measures: the amount of explained deviance; and the squared correlation between observed and fitted data. All modelling was done using R V4.0.1, using custom package </w:t>
      </w:r>
      <w:r w:rsidRPr="00291D53">
        <w:t>MASS (Venables and Ripley 2002).</w:t>
      </w:r>
    </w:p>
    <w:p w14:paraId="25BC03DA" w14:textId="25D6DB80" w:rsidR="00432B07" w:rsidRPr="001F65B5" w:rsidRDefault="00432B07" w:rsidP="00432B07">
      <w:pPr>
        <w:rPr>
          <w:b/>
          <w:bCs/>
          <w:i/>
          <w:iCs/>
          <w:color w:val="44546A" w:themeColor="text2"/>
          <w:sz w:val="24"/>
          <w:szCs w:val="24"/>
          <w:lang w:val="en-US" w:eastAsia="en-AU"/>
        </w:rPr>
      </w:pPr>
      <w:r>
        <w:rPr>
          <w:b/>
          <w:bCs/>
          <w:i/>
          <w:iCs/>
          <w:color w:val="44546A" w:themeColor="text2"/>
          <w:sz w:val="24"/>
          <w:szCs w:val="24"/>
          <w:lang w:val="en-US" w:eastAsia="en-AU"/>
        </w:rPr>
        <w:t>Results – inter-annual comparisons</w:t>
      </w:r>
    </w:p>
    <w:p w14:paraId="5A45F419" w14:textId="77777777" w:rsidR="00EA35F8" w:rsidRPr="00432B07" w:rsidRDefault="00EA35F8" w:rsidP="00EA35F8">
      <w:pPr>
        <w:rPr>
          <w:i/>
          <w:iCs/>
          <w:u w:val="single"/>
        </w:rPr>
      </w:pPr>
      <w:bookmarkStart w:id="380" w:name="_Hlk62218346"/>
      <w:bookmarkStart w:id="381" w:name="_Ref58922912"/>
      <w:r w:rsidRPr="00432B07">
        <w:rPr>
          <w:i/>
          <w:iCs/>
          <w:u w:val="single"/>
        </w:rPr>
        <w:t>Diversity (taxonomic richness and evenness) patterns</w:t>
      </w:r>
    </w:p>
    <w:bookmarkEnd w:id="380"/>
    <w:p w14:paraId="48B2417E" w14:textId="3D6F5EF7" w:rsidR="00EA35F8" w:rsidRDefault="00EA35F8" w:rsidP="00EA35F8">
      <w:r>
        <w:t>Across all sampling years, mean taxonomic richness per replicate was lowest in 2017-18 and highest in 2019-20 (</w:t>
      </w:r>
      <w:r w:rsidR="000B287C">
        <w:t>Table D</w:t>
      </w:r>
      <w:r w:rsidR="00065DAD">
        <w:t>4</w:t>
      </w:r>
      <w:r>
        <w:t xml:space="preserve">). As is typical of ecological data, density and taxonomic richness were highly positively correlated (Pearson’s </w:t>
      </w:r>
      <w:r w:rsidRPr="00C969F9">
        <w:rPr>
          <w:i/>
          <w:iCs/>
        </w:rPr>
        <w:t>r</w:t>
      </w:r>
      <w:r>
        <w:t xml:space="preserve"> = 0.84) and mean density per replicate across all sampling years followed the same rank order as that of taxonomic richness (</w:t>
      </w:r>
      <w:r w:rsidR="000B287C">
        <w:t>Table D</w:t>
      </w:r>
      <w:r w:rsidR="00065DAD">
        <w:t>4</w:t>
      </w:r>
      <w:r>
        <w:t>). The current sampling year (2019-20) stands out as having higher sampling variability, with a standard error of around 10% of the mean density. However, this is difficult to interpret due to the contrasting sampling design between LTIM and MER, where the latter samples were collected at three locks but only one location in each (</w:t>
      </w:r>
      <w:r w:rsidR="000B287C">
        <w:t>Table D</w:t>
      </w:r>
      <w:r w:rsidR="00065DAD">
        <w:t>4</w:t>
      </w:r>
      <w:r>
        <w:t xml:space="preserve">). Samples collected in 2019-20 were distinguished from the LTIM samples by the higher relative density of littoral/pelagic rotifers, which are primarily taxa from the </w:t>
      </w:r>
      <w:proofErr w:type="spellStart"/>
      <w:r w:rsidRPr="007A49DD">
        <w:rPr>
          <w:i/>
          <w:iCs/>
        </w:rPr>
        <w:t>Trichocerca</w:t>
      </w:r>
      <w:proofErr w:type="spellEnd"/>
      <w:r w:rsidRPr="007A49DD">
        <w:rPr>
          <w:i/>
          <w:iCs/>
        </w:rPr>
        <w:t xml:space="preserve"> </w:t>
      </w:r>
      <w:proofErr w:type="spellStart"/>
      <w:r w:rsidRPr="007A49DD">
        <w:rPr>
          <w:i/>
          <w:iCs/>
        </w:rPr>
        <w:t>pusilla</w:t>
      </w:r>
      <w:proofErr w:type="spellEnd"/>
      <w:r w:rsidRPr="007A49DD">
        <w:rPr>
          <w:i/>
          <w:iCs/>
        </w:rPr>
        <w:t xml:space="preserve"> </w:t>
      </w:r>
      <w:r w:rsidRPr="007A49DD">
        <w:t>complex</w:t>
      </w:r>
      <w:r>
        <w:t xml:space="preserve"> along with </w:t>
      </w:r>
      <w:r w:rsidRPr="007A49DD">
        <w:rPr>
          <w:i/>
          <w:iCs/>
        </w:rPr>
        <w:t xml:space="preserve">T. </w:t>
      </w:r>
      <w:proofErr w:type="spellStart"/>
      <w:r w:rsidRPr="007A49DD">
        <w:rPr>
          <w:i/>
          <w:iCs/>
        </w:rPr>
        <w:t>similis</w:t>
      </w:r>
      <w:proofErr w:type="spellEnd"/>
      <w:r>
        <w:t xml:space="preserve"> and </w:t>
      </w:r>
      <w:r w:rsidRPr="007A49DD">
        <w:rPr>
          <w:i/>
          <w:iCs/>
        </w:rPr>
        <w:t xml:space="preserve">T. </w:t>
      </w:r>
      <w:proofErr w:type="spellStart"/>
      <w:r w:rsidRPr="007A49DD">
        <w:rPr>
          <w:i/>
          <w:iCs/>
        </w:rPr>
        <w:t>similis</w:t>
      </w:r>
      <w:proofErr w:type="spellEnd"/>
      <w:r w:rsidRPr="007A49DD">
        <w:rPr>
          <w:i/>
          <w:iCs/>
        </w:rPr>
        <w:t xml:space="preserve"> grandis</w:t>
      </w:r>
      <w:r>
        <w:t>. This was also evident in the high proportion of samples from Group 2 (see</w:t>
      </w:r>
      <w:r w:rsidR="000B287C">
        <w:t xml:space="preserve"> Table D</w:t>
      </w:r>
      <w:r w:rsidR="00065DAD">
        <w:t>5</w:t>
      </w:r>
      <w:r>
        <w:t>).</w:t>
      </w:r>
    </w:p>
    <w:p w14:paraId="79875384" w14:textId="77777777" w:rsidR="00EA35F8" w:rsidRPr="00DE42A8" w:rsidRDefault="00EA35F8" w:rsidP="00EA35F8">
      <w:r>
        <w:t xml:space="preserve">In contrast with taxonomic richness, </w:t>
      </w:r>
      <w:proofErr w:type="spellStart"/>
      <w:r>
        <w:t>Pielou’s</w:t>
      </w:r>
      <w:proofErr w:type="spellEnd"/>
      <w:r>
        <w:t xml:space="preserve"> evenness was highest in 2016-17, a year of relatively low mean taxonomic richness and density. Higher evenness values suggest more stable assemblages, as greater evenness in density means more individuals can be lost without any change in the number of taxa. Years of lower evenness in density such as 2014-15 and 2019-20 are consistent with a more skewed density distribution, with many rare taxa, each represented by relatively few individuals.</w:t>
      </w:r>
    </w:p>
    <w:p w14:paraId="29879AE4" w14:textId="77777777" w:rsidR="00432B07" w:rsidRDefault="00432B07" w:rsidP="00F8184E">
      <w:pPr>
        <w:pStyle w:val="Captions"/>
      </w:pPr>
      <w:bookmarkStart w:id="382" w:name="_Ref57823428"/>
      <w:bookmarkStart w:id="383" w:name="_Toc63758535"/>
    </w:p>
    <w:p w14:paraId="14198E81" w14:textId="77777777" w:rsidR="00432B07" w:rsidRDefault="00432B07">
      <w:pPr>
        <w:spacing w:before="0" w:after="160" w:line="259" w:lineRule="auto"/>
        <w:jc w:val="left"/>
        <w:rPr>
          <w:rFonts w:eastAsia="MS Mincho" w:cs="Arial"/>
          <w:b/>
          <w:bCs/>
          <w:color w:val="auto"/>
          <w:kern w:val="0"/>
          <w:sz w:val="20"/>
          <w:lang w:val="en-US"/>
        </w:rPr>
      </w:pPr>
      <w:r>
        <w:br w:type="page"/>
      </w:r>
    </w:p>
    <w:p w14:paraId="579BD980" w14:textId="79C52B21" w:rsidR="00EA35F8" w:rsidRDefault="00EA35F8" w:rsidP="00F8184E">
      <w:pPr>
        <w:pStyle w:val="Captions"/>
      </w:pPr>
      <w:r>
        <w:t>Table</w:t>
      </w:r>
      <w:bookmarkEnd w:id="382"/>
      <w:r w:rsidR="000B287C">
        <w:t xml:space="preserve"> D</w:t>
      </w:r>
      <w:r w:rsidR="00065DAD">
        <w:t>4</w:t>
      </w:r>
      <w:r>
        <w:rPr>
          <w:noProof/>
        </w:rPr>
        <w:t>.</w:t>
      </w:r>
      <w:r>
        <w:t xml:space="preserve"> Taxonomic richness, </w:t>
      </w:r>
      <w:proofErr w:type="gramStart"/>
      <w:r>
        <w:t>density</w:t>
      </w:r>
      <w:proofErr w:type="gramEnd"/>
      <w:r>
        <w:t xml:space="preserve"> and evenness of </w:t>
      </w:r>
      <w:proofErr w:type="spellStart"/>
      <w:r>
        <w:t>microinvertebrates</w:t>
      </w:r>
      <w:proofErr w:type="spellEnd"/>
      <w:r>
        <w:t xml:space="preserve"> calculated from raw sub-samples. LTIM samples (years 2014-15 to 2017-18) were based on three replicate sub-samples at three locations downstream of Locks 1 and 6, while MER samples (2019-20) reflect three replicate sub-samples at one location downstream of Locks 1, 4 and 6.</w:t>
      </w:r>
      <w:bookmarkEnd w:id="383"/>
    </w:p>
    <w:tbl>
      <w:tblPr>
        <w:tblStyle w:val="TableGrid"/>
        <w:tblW w:w="91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24"/>
        <w:gridCol w:w="1379"/>
        <w:gridCol w:w="1324"/>
        <w:gridCol w:w="1324"/>
        <w:gridCol w:w="1324"/>
        <w:gridCol w:w="1490"/>
      </w:tblGrid>
      <w:tr w:rsidR="00EA35F8" w:rsidRPr="00DE42A8" w14:paraId="295263C3" w14:textId="77777777" w:rsidTr="008C15ED">
        <w:trPr>
          <w:trHeight w:val="567"/>
        </w:trPr>
        <w:tc>
          <w:tcPr>
            <w:tcW w:w="2324" w:type="dxa"/>
            <w:tcBorders>
              <w:top w:val="single" w:sz="4" w:space="0" w:color="auto"/>
              <w:bottom w:val="single" w:sz="4" w:space="0" w:color="auto"/>
            </w:tcBorders>
          </w:tcPr>
          <w:p w14:paraId="10F3E8BB" w14:textId="77777777" w:rsidR="00EA35F8" w:rsidRPr="00DE42A8" w:rsidRDefault="00EA35F8" w:rsidP="008C15ED">
            <w:pPr>
              <w:pStyle w:val="TableHeading"/>
              <w:spacing w:before="0" w:after="0" w:line="240" w:lineRule="auto"/>
              <w:contextualSpacing/>
            </w:pPr>
          </w:p>
        </w:tc>
        <w:tc>
          <w:tcPr>
            <w:tcW w:w="1379" w:type="dxa"/>
            <w:tcBorders>
              <w:top w:val="single" w:sz="4" w:space="0" w:color="auto"/>
              <w:bottom w:val="single" w:sz="4" w:space="0" w:color="auto"/>
            </w:tcBorders>
            <w:vAlign w:val="center"/>
          </w:tcPr>
          <w:p w14:paraId="7834109E" w14:textId="77777777" w:rsidR="00EA35F8" w:rsidRDefault="00EA35F8" w:rsidP="008C15ED">
            <w:pPr>
              <w:pStyle w:val="TableHeading"/>
              <w:spacing w:before="0" w:after="0" w:line="240" w:lineRule="auto"/>
              <w:contextualSpacing/>
              <w:jc w:val="center"/>
            </w:pPr>
            <w:r w:rsidRPr="00DE42A8">
              <w:t>2014</w:t>
            </w:r>
            <w:r>
              <w:t>-15</w:t>
            </w:r>
          </w:p>
          <w:p w14:paraId="006E7091" w14:textId="77777777" w:rsidR="00EA35F8" w:rsidRPr="00DE42A8" w:rsidRDefault="00EA35F8" w:rsidP="008C15ED">
            <w:pPr>
              <w:pStyle w:val="TableHeading"/>
              <w:spacing w:before="0" w:after="0" w:line="240" w:lineRule="auto"/>
              <w:contextualSpacing/>
              <w:jc w:val="center"/>
            </w:pPr>
            <w:r w:rsidRPr="00DE42A8">
              <w:t>(</w:t>
            </w:r>
            <w:r w:rsidRPr="00DE42A8">
              <w:rPr>
                <w:i/>
                <w:iCs/>
              </w:rPr>
              <w:t>n</w:t>
            </w:r>
            <w:r>
              <w:t xml:space="preserve"> =108)</w:t>
            </w:r>
          </w:p>
        </w:tc>
        <w:tc>
          <w:tcPr>
            <w:tcW w:w="1324" w:type="dxa"/>
            <w:tcBorders>
              <w:top w:val="single" w:sz="4" w:space="0" w:color="auto"/>
              <w:bottom w:val="single" w:sz="4" w:space="0" w:color="auto"/>
            </w:tcBorders>
            <w:vAlign w:val="center"/>
          </w:tcPr>
          <w:p w14:paraId="27E12532" w14:textId="77777777" w:rsidR="00EA35F8" w:rsidRDefault="00EA35F8" w:rsidP="008C15ED">
            <w:pPr>
              <w:pStyle w:val="TableHeading"/>
              <w:spacing w:before="0" w:after="0" w:line="240" w:lineRule="auto"/>
              <w:contextualSpacing/>
              <w:jc w:val="center"/>
            </w:pPr>
            <w:r w:rsidRPr="00DE42A8">
              <w:t>2015</w:t>
            </w:r>
            <w:r>
              <w:t>-16</w:t>
            </w:r>
          </w:p>
          <w:p w14:paraId="035CC3B0" w14:textId="77777777" w:rsidR="00EA35F8" w:rsidRPr="00DE42A8" w:rsidRDefault="00EA35F8" w:rsidP="008C15ED">
            <w:pPr>
              <w:pStyle w:val="TableHeading"/>
              <w:spacing w:before="0" w:after="0" w:line="240" w:lineRule="auto"/>
              <w:contextualSpacing/>
              <w:jc w:val="center"/>
            </w:pPr>
            <w:r w:rsidRPr="00DE42A8">
              <w:t>(</w:t>
            </w:r>
            <w:r w:rsidRPr="00DE42A8">
              <w:rPr>
                <w:i/>
                <w:iCs/>
              </w:rPr>
              <w:t>n</w:t>
            </w:r>
            <w:r>
              <w:t xml:space="preserve"> =144)</w:t>
            </w:r>
          </w:p>
        </w:tc>
        <w:tc>
          <w:tcPr>
            <w:tcW w:w="1324" w:type="dxa"/>
            <w:tcBorders>
              <w:top w:val="single" w:sz="4" w:space="0" w:color="auto"/>
              <w:bottom w:val="single" w:sz="4" w:space="0" w:color="auto"/>
            </w:tcBorders>
            <w:vAlign w:val="center"/>
          </w:tcPr>
          <w:p w14:paraId="18CBF1B9" w14:textId="77777777" w:rsidR="00EA35F8" w:rsidRDefault="00EA35F8" w:rsidP="008C15ED">
            <w:pPr>
              <w:pStyle w:val="TableHeading"/>
              <w:spacing w:before="0" w:after="0" w:line="240" w:lineRule="auto"/>
              <w:contextualSpacing/>
              <w:jc w:val="center"/>
            </w:pPr>
            <w:r w:rsidRPr="00DE42A8">
              <w:t>2016</w:t>
            </w:r>
            <w:r>
              <w:t>-17</w:t>
            </w:r>
          </w:p>
          <w:p w14:paraId="6304F992" w14:textId="77777777" w:rsidR="00EA35F8" w:rsidRPr="00DE42A8" w:rsidRDefault="00EA35F8" w:rsidP="008C15ED">
            <w:pPr>
              <w:pStyle w:val="TableHeading"/>
              <w:spacing w:before="0" w:after="0" w:line="240" w:lineRule="auto"/>
              <w:contextualSpacing/>
              <w:jc w:val="center"/>
            </w:pPr>
            <w:r w:rsidRPr="00DE42A8">
              <w:t>(</w:t>
            </w:r>
            <w:r w:rsidRPr="00DE42A8">
              <w:rPr>
                <w:i/>
                <w:iCs/>
              </w:rPr>
              <w:t>n</w:t>
            </w:r>
            <w:r>
              <w:t xml:space="preserve"> =144)</w:t>
            </w:r>
          </w:p>
        </w:tc>
        <w:tc>
          <w:tcPr>
            <w:tcW w:w="1324" w:type="dxa"/>
            <w:tcBorders>
              <w:top w:val="single" w:sz="4" w:space="0" w:color="auto"/>
              <w:bottom w:val="single" w:sz="4" w:space="0" w:color="auto"/>
            </w:tcBorders>
            <w:vAlign w:val="center"/>
          </w:tcPr>
          <w:p w14:paraId="50E73070" w14:textId="77777777" w:rsidR="00EA35F8" w:rsidRDefault="00EA35F8" w:rsidP="008C15ED">
            <w:pPr>
              <w:pStyle w:val="TableHeading"/>
              <w:spacing w:before="0" w:after="0" w:line="240" w:lineRule="auto"/>
              <w:contextualSpacing/>
              <w:jc w:val="center"/>
            </w:pPr>
            <w:r w:rsidRPr="00DE42A8">
              <w:t>2017</w:t>
            </w:r>
            <w:r>
              <w:t>-18</w:t>
            </w:r>
          </w:p>
          <w:p w14:paraId="503A2B7A" w14:textId="77777777" w:rsidR="00EA35F8" w:rsidRPr="00DE42A8" w:rsidRDefault="00EA35F8" w:rsidP="008C15ED">
            <w:pPr>
              <w:pStyle w:val="TableHeading"/>
              <w:spacing w:before="0" w:after="0" w:line="240" w:lineRule="auto"/>
              <w:contextualSpacing/>
              <w:jc w:val="center"/>
            </w:pPr>
            <w:r w:rsidRPr="00DE42A8">
              <w:t>(</w:t>
            </w:r>
            <w:r w:rsidRPr="00DE42A8">
              <w:rPr>
                <w:i/>
                <w:iCs/>
              </w:rPr>
              <w:t>n</w:t>
            </w:r>
            <w:r>
              <w:t xml:space="preserve"> =126)</w:t>
            </w:r>
          </w:p>
        </w:tc>
        <w:tc>
          <w:tcPr>
            <w:tcW w:w="1490" w:type="dxa"/>
            <w:tcBorders>
              <w:top w:val="single" w:sz="4" w:space="0" w:color="auto"/>
              <w:bottom w:val="single" w:sz="4" w:space="0" w:color="auto"/>
            </w:tcBorders>
            <w:vAlign w:val="center"/>
          </w:tcPr>
          <w:p w14:paraId="62A2CBA6" w14:textId="77777777" w:rsidR="00EA35F8" w:rsidRDefault="00EA35F8" w:rsidP="008C15ED">
            <w:pPr>
              <w:pStyle w:val="TableHeading"/>
              <w:spacing w:before="0" w:after="0" w:line="240" w:lineRule="auto"/>
              <w:contextualSpacing/>
              <w:jc w:val="center"/>
            </w:pPr>
            <w:r w:rsidRPr="00DE42A8">
              <w:t>2019</w:t>
            </w:r>
            <w:r>
              <w:t>-20</w:t>
            </w:r>
          </w:p>
          <w:p w14:paraId="1A6B8177" w14:textId="77777777" w:rsidR="00EA35F8" w:rsidRPr="00DE42A8" w:rsidRDefault="00EA35F8" w:rsidP="008C15ED">
            <w:pPr>
              <w:pStyle w:val="TableHeading"/>
              <w:spacing w:before="0" w:after="0" w:line="240" w:lineRule="auto"/>
              <w:contextualSpacing/>
              <w:jc w:val="center"/>
            </w:pPr>
            <w:r w:rsidRPr="00DE42A8">
              <w:t>(</w:t>
            </w:r>
            <w:r w:rsidRPr="00DE42A8">
              <w:rPr>
                <w:i/>
                <w:iCs/>
              </w:rPr>
              <w:t>n</w:t>
            </w:r>
            <w:r>
              <w:t xml:space="preserve"> =63)</w:t>
            </w:r>
          </w:p>
        </w:tc>
      </w:tr>
      <w:tr w:rsidR="00EA35F8" w:rsidRPr="00DE42A8" w14:paraId="51443A25" w14:textId="77777777" w:rsidTr="008C15ED">
        <w:trPr>
          <w:trHeight w:val="454"/>
        </w:trPr>
        <w:tc>
          <w:tcPr>
            <w:tcW w:w="2324" w:type="dxa"/>
            <w:tcBorders>
              <w:top w:val="single" w:sz="4" w:space="0" w:color="auto"/>
            </w:tcBorders>
            <w:vAlign w:val="center"/>
          </w:tcPr>
          <w:p w14:paraId="58C9E5C9" w14:textId="77777777" w:rsidR="00EA35F8" w:rsidRPr="00DE42A8" w:rsidRDefault="00EA35F8" w:rsidP="008C15ED">
            <w:pPr>
              <w:pStyle w:val="TableHeading"/>
              <w:spacing w:before="0" w:after="0" w:line="240" w:lineRule="auto"/>
              <w:contextualSpacing/>
              <w:jc w:val="left"/>
            </w:pPr>
            <w:r>
              <w:t>Taxonomic richness</w:t>
            </w:r>
          </w:p>
        </w:tc>
        <w:tc>
          <w:tcPr>
            <w:tcW w:w="1379" w:type="dxa"/>
            <w:tcBorders>
              <w:top w:val="single" w:sz="4" w:space="0" w:color="auto"/>
            </w:tcBorders>
            <w:vAlign w:val="center"/>
          </w:tcPr>
          <w:p w14:paraId="548147D4" w14:textId="77777777" w:rsidR="00EA35F8" w:rsidRPr="00DE42A8" w:rsidRDefault="00EA35F8" w:rsidP="008C15ED">
            <w:pPr>
              <w:pStyle w:val="TableText"/>
              <w:spacing w:before="0" w:after="0" w:line="240" w:lineRule="auto"/>
              <w:contextualSpacing/>
              <w:jc w:val="center"/>
            </w:pPr>
            <w:r w:rsidRPr="00DE42A8">
              <w:t>17.9</w:t>
            </w:r>
            <w:r>
              <w:t xml:space="preserve"> ± </w:t>
            </w:r>
            <w:r w:rsidRPr="00DE42A8">
              <w:t>0.</w:t>
            </w:r>
            <w:r>
              <w:t>48</w:t>
            </w:r>
          </w:p>
        </w:tc>
        <w:tc>
          <w:tcPr>
            <w:tcW w:w="1324" w:type="dxa"/>
            <w:tcBorders>
              <w:top w:val="single" w:sz="4" w:space="0" w:color="auto"/>
            </w:tcBorders>
            <w:vAlign w:val="center"/>
          </w:tcPr>
          <w:p w14:paraId="7EAD7ADC" w14:textId="77777777" w:rsidR="00EA35F8" w:rsidRPr="00DE42A8" w:rsidRDefault="00EA35F8" w:rsidP="008C15ED">
            <w:pPr>
              <w:pStyle w:val="TableText"/>
              <w:spacing w:before="0" w:after="0" w:line="240" w:lineRule="auto"/>
              <w:contextualSpacing/>
              <w:jc w:val="center"/>
            </w:pPr>
            <w:r w:rsidRPr="00DE42A8">
              <w:t>16.</w:t>
            </w:r>
            <w:r>
              <w:t xml:space="preserve">5 ± </w:t>
            </w:r>
            <w:r w:rsidRPr="00DE42A8">
              <w:t>0.5</w:t>
            </w:r>
            <w:r>
              <w:t>2</w:t>
            </w:r>
          </w:p>
        </w:tc>
        <w:tc>
          <w:tcPr>
            <w:tcW w:w="1324" w:type="dxa"/>
            <w:tcBorders>
              <w:top w:val="single" w:sz="4" w:space="0" w:color="auto"/>
            </w:tcBorders>
            <w:vAlign w:val="center"/>
          </w:tcPr>
          <w:p w14:paraId="604F4ADF" w14:textId="77777777" w:rsidR="00EA35F8" w:rsidRPr="00DE42A8" w:rsidRDefault="00EA35F8" w:rsidP="008C15ED">
            <w:pPr>
              <w:pStyle w:val="TableText"/>
              <w:spacing w:before="0" w:after="0" w:line="240" w:lineRule="auto"/>
              <w:contextualSpacing/>
              <w:jc w:val="center"/>
            </w:pPr>
            <w:r w:rsidRPr="00DE42A8">
              <w:t>16.6</w:t>
            </w:r>
            <w:r>
              <w:t xml:space="preserve"> ± </w:t>
            </w:r>
            <w:r w:rsidRPr="00DE42A8">
              <w:t>0.6</w:t>
            </w:r>
            <w:r>
              <w:t>0</w:t>
            </w:r>
          </w:p>
        </w:tc>
        <w:tc>
          <w:tcPr>
            <w:tcW w:w="1324" w:type="dxa"/>
            <w:tcBorders>
              <w:top w:val="single" w:sz="4" w:space="0" w:color="auto"/>
            </w:tcBorders>
            <w:vAlign w:val="center"/>
          </w:tcPr>
          <w:p w14:paraId="5CF83E14" w14:textId="77777777" w:rsidR="00EA35F8" w:rsidRPr="00DE42A8" w:rsidRDefault="00EA35F8" w:rsidP="008C15ED">
            <w:pPr>
              <w:pStyle w:val="TableText"/>
              <w:spacing w:before="0" w:after="0" w:line="240" w:lineRule="auto"/>
              <w:contextualSpacing/>
              <w:jc w:val="center"/>
            </w:pPr>
            <w:r w:rsidRPr="00DE42A8">
              <w:t>13.</w:t>
            </w:r>
            <w:r>
              <w:t xml:space="preserve">3 ± </w:t>
            </w:r>
            <w:r w:rsidRPr="00DE42A8">
              <w:t>0.56</w:t>
            </w:r>
          </w:p>
        </w:tc>
        <w:tc>
          <w:tcPr>
            <w:tcW w:w="1490" w:type="dxa"/>
            <w:tcBorders>
              <w:top w:val="single" w:sz="4" w:space="0" w:color="auto"/>
            </w:tcBorders>
            <w:vAlign w:val="center"/>
          </w:tcPr>
          <w:p w14:paraId="3A7262C7" w14:textId="77777777" w:rsidR="00EA35F8" w:rsidRPr="00DE42A8" w:rsidRDefault="00EA35F8" w:rsidP="008C15ED">
            <w:pPr>
              <w:pStyle w:val="TableText"/>
              <w:spacing w:before="0" w:after="0" w:line="240" w:lineRule="auto"/>
              <w:contextualSpacing/>
              <w:jc w:val="center"/>
            </w:pPr>
            <w:r w:rsidRPr="00DE42A8">
              <w:t>18.</w:t>
            </w:r>
            <w:r>
              <w:t xml:space="preserve">3 ± </w:t>
            </w:r>
            <w:r w:rsidRPr="00DE42A8">
              <w:t>0.59</w:t>
            </w:r>
          </w:p>
        </w:tc>
      </w:tr>
      <w:tr w:rsidR="00EA35F8" w:rsidRPr="00DE42A8" w14:paraId="2F625880" w14:textId="77777777" w:rsidTr="008C15ED">
        <w:trPr>
          <w:trHeight w:val="454"/>
        </w:trPr>
        <w:tc>
          <w:tcPr>
            <w:tcW w:w="2324" w:type="dxa"/>
            <w:vAlign w:val="center"/>
          </w:tcPr>
          <w:p w14:paraId="41776CB7" w14:textId="77777777" w:rsidR="00EA35F8" w:rsidRPr="00DE42A8" w:rsidRDefault="00EA35F8" w:rsidP="008C15ED">
            <w:pPr>
              <w:pStyle w:val="TableHeading"/>
              <w:spacing w:before="0" w:after="0" w:line="240" w:lineRule="auto"/>
              <w:contextualSpacing/>
              <w:jc w:val="left"/>
            </w:pPr>
            <w:r>
              <w:t>Density (ind./L)</w:t>
            </w:r>
          </w:p>
        </w:tc>
        <w:tc>
          <w:tcPr>
            <w:tcW w:w="1379" w:type="dxa"/>
            <w:vAlign w:val="center"/>
          </w:tcPr>
          <w:p w14:paraId="1D928911" w14:textId="77777777" w:rsidR="00EA35F8" w:rsidRPr="00DE42A8" w:rsidRDefault="00EA35F8" w:rsidP="008C15ED">
            <w:pPr>
              <w:pStyle w:val="TableText"/>
              <w:spacing w:before="0" w:after="0" w:line="240" w:lineRule="auto"/>
              <w:contextualSpacing/>
              <w:jc w:val="center"/>
            </w:pPr>
            <w:r w:rsidRPr="00DE42A8">
              <w:t>1027</w:t>
            </w:r>
            <w:r>
              <w:t xml:space="preserve"> ± </w:t>
            </w:r>
            <w:r w:rsidRPr="00DE42A8">
              <w:t>53.</w:t>
            </w:r>
            <w:r>
              <w:t>4</w:t>
            </w:r>
          </w:p>
        </w:tc>
        <w:tc>
          <w:tcPr>
            <w:tcW w:w="1324" w:type="dxa"/>
            <w:vAlign w:val="center"/>
          </w:tcPr>
          <w:p w14:paraId="19A109D3" w14:textId="77777777" w:rsidR="00EA35F8" w:rsidRPr="00DE42A8" w:rsidRDefault="00EA35F8" w:rsidP="008C15ED">
            <w:pPr>
              <w:pStyle w:val="TableText"/>
              <w:spacing w:before="0" w:after="0" w:line="240" w:lineRule="auto"/>
              <w:contextualSpacing/>
              <w:jc w:val="center"/>
            </w:pPr>
            <w:r w:rsidRPr="00DE42A8">
              <w:t>686</w:t>
            </w:r>
            <w:r>
              <w:t xml:space="preserve"> ± </w:t>
            </w:r>
            <w:r w:rsidRPr="00DE42A8">
              <w:t>42.</w:t>
            </w:r>
            <w:r>
              <w:t>5</w:t>
            </w:r>
          </w:p>
        </w:tc>
        <w:tc>
          <w:tcPr>
            <w:tcW w:w="1324" w:type="dxa"/>
            <w:vAlign w:val="center"/>
          </w:tcPr>
          <w:p w14:paraId="5202A36A" w14:textId="77777777" w:rsidR="00EA35F8" w:rsidRPr="00DE42A8" w:rsidRDefault="00EA35F8" w:rsidP="008C15ED">
            <w:pPr>
              <w:pStyle w:val="TableText"/>
              <w:spacing w:before="0" w:after="0" w:line="240" w:lineRule="auto"/>
              <w:contextualSpacing/>
              <w:jc w:val="center"/>
            </w:pPr>
            <w:r w:rsidRPr="00DE42A8">
              <w:t>71</w:t>
            </w:r>
            <w:r>
              <w:t xml:space="preserve">3 ± </w:t>
            </w:r>
            <w:r w:rsidRPr="00DE42A8">
              <w:t>54.</w:t>
            </w:r>
            <w:r>
              <w:t>6</w:t>
            </w:r>
          </w:p>
        </w:tc>
        <w:tc>
          <w:tcPr>
            <w:tcW w:w="1324" w:type="dxa"/>
            <w:vAlign w:val="center"/>
          </w:tcPr>
          <w:p w14:paraId="4A440973" w14:textId="77777777" w:rsidR="00EA35F8" w:rsidRPr="00DE42A8" w:rsidRDefault="00EA35F8" w:rsidP="008C15ED">
            <w:pPr>
              <w:pStyle w:val="TableText"/>
              <w:spacing w:before="0" w:after="0" w:line="240" w:lineRule="auto"/>
              <w:contextualSpacing/>
              <w:jc w:val="center"/>
              <w:rPr>
                <w:b/>
                <w:bCs/>
              </w:rPr>
            </w:pPr>
            <w:r w:rsidRPr="00DE42A8">
              <w:t>610</w:t>
            </w:r>
            <w:r>
              <w:t xml:space="preserve"> ± </w:t>
            </w:r>
            <w:r w:rsidRPr="00DE42A8">
              <w:t>44.3</w:t>
            </w:r>
          </w:p>
        </w:tc>
        <w:tc>
          <w:tcPr>
            <w:tcW w:w="1490" w:type="dxa"/>
            <w:vAlign w:val="center"/>
          </w:tcPr>
          <w:p w14:paraId="2F2B68DB" w14:textId="77777777" w:rsidR="00EA35F8" w:rsidRPr="00DE42A8" w:rsidRDefault="00EA35F8" w:rsidP="008C15ED">
            <w:pPr>
              <w:pStyle w:val="TableText"/>
              <w:spacing w:before="0" w:after="0" w:line="240" w:lineRule="auto"/>
              <w:contextualSpacing/>
              <w:jc w:val="center"/>
            </w:pPr>
            <w:r w:rsidRPr="00DE42A8">
              <w:t>105</w:t>
            </w:r>
            <w:r>
              <w:t xml:space="preserve">8 ± </w:t>
            </w:r>
            <w:r w:rsidRPr="00DE42A8">
              <w:t>103.2</w:t>
            </w:r>
          </w:p>
        </w:tc>
      </w:tr>
      <w:tr w:rsidR="00EA35F8" w:rsidRPr="00DE42A8" w14:paraId="4E7321E6" w14:textId="77777777" w:rsidTr="008C15ED">
        <w:trPr>
          <w:trHeight w:val="454"/>
        </w:trPr>
        <w:tc>
          <w:tcPr>
            <w:tcW w:w="2324" w:type="dxa"/>
            <w:tcBorders>
              <w:bottom w:val="single" w:sz="4" w:space="0" w:color="auto"/>
            </w:tcBorders>
            <w:vAlign w:val="center"/>
          </w:tcPr>
          <w:p w14:paraId="6AE9F027" w14:textId="77777777" w:rsidR="00EA35F8" w:rsidRDefault="00EA35F8" w:rsidP="008C15ED">
            <w:pPr>
              <w:pStyle w:val="TableHeading"/>
              <w:spacing w:before="0" w:after="0" w:line="240" w:lineRule="auto"/>
              <w:contextualSpacing/>
              <w:jc w:val="left"/>
            </w:pPr>
            <w:proofErr w:type="spellStart"/>
            <w:r>
              <w:t>Pielou’s</w:t>
            </w:r>
            <w:proofErr w:type="spellEnd"/>
            <w:r>
              <w:t xml:space="preserve"> evenness</w:t>
            </w:r>
          </w:p>
        </w:tc>
        <w:tc>
          <w:tcPr>
            <w:tcW w:w="1379" w:type="dxa"/>
            <w:tcBorders>
              <w:bottom w:val="single" w:sz="4" w:space="0" w:color="auto"/>
            </w:tcBorders>
            <w:vAlign w:val="center"/>
          </w:tcPr>
          <w:p w14:paraId="2BAEF737" w14:textId="77777777" w:rsidR="00EA35F8" w:rsidRPr="00DE42A8" w:rsidRDefault="00EA35F8" w:rsidP="008C15ED">
            <w:pPr>
              <w:pStyle w:val="TableText"/>
              <w:spacing w:before="0" w:after="0" w:line="240" w:lineRule="auto"/>
              <w:contextualSpacing/>
              <w:jc w:val="center"/>
            </w:pPr>
            <w:r>
              <w:t>0.66 ± 0.02</w:t>
            </w:r>
          </w:p>
        </w:tc>
        <w:tc>
          <w:tcPr>
            <w:tcW w:w="1324" w:type="dxa"/>
            <w:tcBorders>
              <w:bottom w:val="single" w:sz="4" w:space="0" w:color="auto"/>
            </w:tcBorders>
            <w:vAlign w:val="center"/>
          </w:tcPr>
          <w:p w14:paraId="724EB3F2" w14:textId="77777777" w:rsidR="00EA35F8" w:rsidRPr="00DE42A8" w:rsidRDefault="00EA35F8" w:rsidP="008C15ED">
            <w:pPr>
              <w:pStyle w:val="TableText"/>
              <w:spacing w:before="0" w:after="0" w:line="240" w:lineRule="auto"/>
              <w:contextualSpacing/>
              <w:jc w:val="center"/>
            </w:pPr>
            <w:r>
              <w:t>0.77 ± 0.01</w:t>
            </w:r>
          </w:p>
        </w:tc>
        <w:tc>
          <w:tcPr>
            <w:tcW w:w="1324" w:type="dxa"/>
            <w:tcBorders>
              <w:bottom w:val="single" w:sz="4" w:space="0" w:color="auto"/>
            </w:tcBorders>
            <w:vAlign w:val="center"/>
          </w:tcPr>
          <w:p w14:paraId="505A493E" w14:textId="77777777" w:rsidR="00EA35F8" w:rsidRPr="00DE42A8" w:rsidRDefault="00EA35F8" w:rsidP="008C15ED">
            <w:pPr>
              <w:pStyle w:val="TableText"/>
              <w:spacing w:before="0" w:after="0" w:line="240" w:lineRule="auto"/>
              <w:contextualSpacing/>
              <w:jc w:val="center"/>
            </w:pPr>
            <w:r>
              <w:t>0.80 ± 0.01</w:t>
            </w:r>
          </w:p>
        </w:tc>
        <w:tc>
          <w:tcPr>
            <w:tcW w:w="1324" w:type="dxa"/>
            <w:tcBorders>
              <w:bottom w:val="single" w:sz="4" w:space="0" w:color="auto"/>
            </w:tcBorders>
            <w:vAlign w:val="center"/>
          </w:tcPr>
          <w:p w14:paraId="32B8B2F4" w14:textId="77777777" w:rsidR="00EA35F8" w:rsidRPr="00DE42A8" w:rsidRDefault="00EA35F8" w:rsidP="008C15ED">
            <w:pPr>
              <w:pStyle w:val="TableText"/>
              <w:spacing w:before="0" w:after="0" w:line="240" w:lineRule="auto"/>
              <w:contextualSpacing/>
              <w:jc w:val="center"/>
            </w:pPr>
            <w:r>
              <w:t>0.75 ± 0.01</w:t>
            </w:r>
          </w:p>
        </w:tc>
        <w:tc>
          <w:tcPr>
            <w:tcW w:w="1490" w:type="dxa"/>
            <w:tcBorders>
              <w:bottom w:val="single" w:sz="4" w:space="0" w:color="auto"/>
            </w:tcBorders>
            <w:vAlign w:val="center"/>
          </w:tcPr>
          <w:p w14:paraId="72B615E7" w14:textId="77777777" w:rsidR="00EA35F8" w:rsidRPr="00DE42A8" w:rsidRDefault="00EA35F8" w:rsidP="008C15ED">
            <w:pPr>
              <w:pStyle w:val="TableText"/>
              <w:spacing w:before="0" w:after="0" w:line="240" w:lineRule="auto"/>
              <w:contextualSpacing/>
              <w:jc w:val="center"/>
            </w:pPr>
            <w:r>
              <w:t>0.69 ± 0.02</w:t>
            </w:r>
          </w:p>
        </w:tc>
      </w:tr>
    </w:tbl>
    <w:p w14:paraId="31E84C72" w14:textId="77777777" w:rsidR="00EA35F8" w:rsidRPr="00432B07" w:rsidRDefault="00EA35F8" w:rsidP="00EA35F8">
      <w:pPr>
        <w:rPr>
          <w:i/>
          <w:iCs/>
          <w:u w:val="single"/>
        </w:rPr>
      </w:pPr>
      <w:bookmarkStart w:id="384" w:name="_Hlk62218353"/>
      <w:r w:rsidRPr="00432B07">
        <w:rPr>
          <w:i/>
          <w:iCs/>
          <w:u w:val="single"/>
        </w:rPr>
        <w:t>Functional group density</w:t>
      </w:r>
    </w:p>
    <w:bookmarkEnd w:id="384"/>
    <w:p w14:paraId="37C98DBA" w14:textId="74CD45C1" w:rsidR="00EA35F8" w:rsidRPr="00E3449C" w:rsidRDefault="00EA35F8" w:rsidP="00EA35F8">
      <w:r>
        <w:t>Classification of pooled (at lock scale) LTIM and MER samples into functional group composition and density at the different sampling dates yielded three classes of approximately equal frequency (</w:t>
      </w:r>
      <w:r w:rsidR="00432B07">
        <w:t>Figure D</w:t>
      </w:r>
      <w:r w:rsidR="00223F88">
        <w:t>10</w:t>
      </w:r>
      <w:r>
        <w:t>).</w:t>
      </w:r>
    </w:p>
    <w:p w14:paraId="4A4EEA04" w14:textId="77777777" w:rsidR="00EA35F8" w:rsidRDefault="00EA35F8" w:rsidP="00EA35F8">
      <w:pPr>
        <w:keepNext/>
        <w:jc w:val="center"/>
      </w:pPr>
      <w:r>
        <w:rPr>
          <w:noProof/>
        </w:rPr>
        <w:drawing>
          <wp:inline distT="0" distB="0" distL="0" distR="0" wp14:anchorId="55DFD76D" wp14:editId="1392244E">
            <wp:extent cx="4076075" cy="2083641"/>
            <wp:effectExtent l="0" t="0" r="635" b="0"/>
            <wp:docPr id="74" name="Picture 74"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histogram&#10;&#10;Description automatically generated"/>
                    <pic:cNvPicPr/>
                  </pic:nvPicPr>
                  <pic:blipFill rotWithShape="1">
                    <a:blip r:embed="rId141" cstate="email">
                      <a:extLst>
                        <a:ext uri="{28A0092B-C50C-407E-A947-70E740481C1C}">
                          <a14:useLocalDpi xmlns:a14="http://schemas.microsoft.com/office/drawing/2010/main"/>
                        </a:ext>
                      </a:extLst>
                    </a:blip>
                    <a:srcRect t="18885" r="926" b="24139"/>
                    <a:stretch/>
                  </pic:blipFill>
                  <pic:spPr bwMode="auto">
                    <a:xfrm>
                      <a:off x="0" y="0"/>
                      <a:ext cx="4076708" cy="2083965"/>
                    </a:xfrm>
                    <a:prstGeom prst="rect">
                      <a:avLst/>
                    </a:prstGeom>
                    <a:ln>
                      <a:noFill/>
                    </a:ln>
                    <a:extLst>
                      <a:ext uri="{53640926-AAD7-44D8-BBD7-CCE9431645EC}">
                        <a14:shadowObscured xmlns:a14="http://schemas.microsoft.com/office/drawing/2010/main"/>
                      </a:ext>
                    </a:extLst>
                  </pic:spPr>
                </pic:pic>
              </a:graphicData>
            </a:graphic>
          </wp:inline>
        </w:drawing>
      </w:r>
    </w:p>
    <w:p w14:paraId="5074864D" w14:textId="337E8670" w:rsidR="00EA35F8" w:rsidRPr="00BA4C44" w:rsidRDefault="00EA35F8" w:rsidP="00F8184E">
      <w:pPr>
        <w:pStyle w:val="Captions"/>
      </w:pPr>
      <w:bookmarkStart w:id="385" w:name="_Ref57893386"/>
      <w:bookmarkStart w:id="386" w:name="_Toc63758493"/>
      <w:r>
        <w:t>Figure</w:t>
      </w:r>
      <w:bookmarkEnd w:id="385"/>
      <w:r w:rsidR="00432B07">
        <w:t xml:space="preserve"> D</w:t>
      </w:r>
      <w:r w:rsidR="00223F88">
        <w:t>10</w:t>
      </w:r>
      <w:r w:rsidR="00432B07">
        <w:t>.</w:t>
      </w:r>
      <w:r>
        <w:t xml:space="preserve"> Classification of pooled (within lock) </w:t>
      </w:r>
      <w:proofErr w:type="spellStart"/>
      <w:r>
        <w:t>microinvertebrate</w:t>
      </w:r>
      <w:proofErr w:type="spellEnd"/>
      <w:r>
        <w:t xml:space="preserve"> samples from 2014–2020 according to functional group composition and density using Hellinger distance. Rectangles show the most ecologically informative division into separate functional group classes, each having an indicative functional group.</w:t>
      </w:r>
      <w:bookmarkEnd w:id="386"/>
    </w:p>
    <w:p w14:paraId="21511290" w14:textId="7BE7554A" w:rsidR="00EA35F8" w:rsidRDefault="00EA35F8" w:rsidP="00EA35F8">
      <w:r>
        <w:t xml:space="preserve">Group 1 samples were characterised by high density of pelagic </w:t>
      </w:r>
      <w:proofErr w:type="spellStart"/>
      <w:r>
        <w:t>cladocerans</w:t>
      </w:r>
      <w:proofErr w:type="spellEnd"/>
      <w:r>
        <w:t xml:space="preserve"> (indicator value = 0.60, </w:t>
      </w:r>
      <w:r w:rsidRPr="007A49DD">
        <w:rPr>
          <w:i/>
          <w:iCs/>
        </w:rPr>
        <w:t>p</w:t>
      </w:r>
      <w:r>
        <w:t xml:space="preserve"> = 0.001) and pelagic calanoid copepods (IV = 0.36, </w:t>
      </w:r>
      <w:r w:rsidRPr="007A49DD">
        <w:rPr>
          <w:i/>
          <w:iCs/>
        </w:rPr>
        <w:t>p</w:t>
      </w:r>
      <w:r>
        <w:t xml:space="preserve"> = 0.04), Group 2 by littoral/pelagic rotifers (IV = 0.49, </w:t>
      </w:r>
      <w:r w:rsidRPr="001E11F4">
        <w:rPr>
          <w:i/>
          <w:iCs/>
        </w:rPr>
        <w:t>p</w:t>
      </w:r>
      <w:r>
        <w:t xml:space="preserve"> = 0.003) and Group 3 by pelagic rotifers (IV = 0.77, </w:t>
      </w:r>
      <w:r w:rsidRPr="001E11F4">
        <w:rPr>
          <w:i/>
          <w:iCs/>
        </w:rPr>
        <w:t>p</w:t>
      </w:r>
      <w:r>
        <w:t xml:space="preserve"> = 0.001). Across all years of sampling, every group was observed at least once at each site, although there were clear patterns in the relative dominance (</w:t>
      </w:r>
      <w:r w:rsidR="000B287C">
        <w:t>Table D</w:t>
      </w:r>
      <w:r w:rsidR="00065DAD">
        <w:t>5</w:t>
      </w:r>
      <w:r>
        <w:t xml:space="preserve">). </w:t>
      </w:r>
    </w:p>
    <w:p w14:paraId="3E41E8F1" w14:textId="5D0FCB2A" w:rsidR="00EA35F8" w:rsidRDefault="00EA35F8" w:rsidP="00F8184E">
      <w:pPr>
        <w:pStyle w:val="Captions"/>
      </w:pPr>
      <w:bookmarkStart w:id="387" w:name="_Ref57894198"/>
      <w:bookmarkStart w:id="388" w:name="_Toc63758536"/>
      <w:r>
        <w:t>Table</w:t>
      </w:r>
      <w:bookmarkEnd w:id="387"/>
      <w:r w:rsidR="000B287C">
        <w:t xml:space="preserve"> D</w:t>
      </w:r>
      <w:r w:rsidR="00065DAD">
        <w:t>5</w:t>
      </w:r>
      <w:r>
        <w:rPr>
          <w:noProof/>
        </w:rPr>
        <w:t>.</w:t>
      </w:r>
      <w:r>
        <w:t xml:space="preserve"> Proportion of samples from each water year falling within the three functional group classes.</w:t>
      </w:r>
      <w:bookmarkEnd w:id="388"/>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01"/>
        <w:gridCol w:w="1418"/>
        <w:gridCol w:w="1417"/>
        <w:gridCol w:w="1489"/>
      </w:tblGrid>
      <w:tr w:rsidR="00EA35F8" w:rsidRPr="00E352AF" w14:paraId="1CCE1351" w14:textId="77777777" w:rsidTr="008C15ED">
        <w:trPr>
          <w:jc w:val="center"/>
        </w:trPr>
        <w:tc>
          <w:tcPr>
            <w:tcW w:w="1701" w:type="dxa"/>
            <w:tcBorders>
              <w:top w:val="single" w:sz="4" w:space="0" w:color="auto"/>
              <w:bottom w:val="single" w:sz="4" w:space="0" w:color="auto"/>
            </w:tcBorders>
          </w:tcPr>
          <w:p w14:paraId="01923C19" w14:textId="77777777" w:rsidR="00EA35F8" w:rsidRPr="00E352AF" w:rsidRDefault="00EA35F8" w:rsidP="008C15ED">
            <w:pPr>
              <w:spacing w:before="0" w:after="0"/>
              <w:rPr>
                <w:b/>
                <w:bCs/>
                <w:sz w:val="20"/>
              </w:rPr>
            </w:pPr>
            <w:r w:rsidRPr="00E352AF">
              <w:rPr>
                <w:b/>
                <w:bCs/>
                <w:sz w:val="20"/>
              </w:rPr>
              <w:t>Sampling year</w:t>
            </w:r>
          </w:p>
        </w:tc>
        <w:tc>
          <w:tcPr>
            <w:tcW w:w="1418" w:type="dxa"/>
            <w:tcBorders>
              <w:top w:val="single" w:sz="4" w:space="0" w:color="auto"/>
              <w:bottom w:val="single" w:sz="4" w:space="0" w:color="auto"/>
            </w:tcBorders>
          </w:tcPr>
          <w:p w14:paraId="621836B0" w14:textId="77777777" w:rsidR="00EA35F8" w:rsidRPr="00E352AF" w:rsidRDefault="00EA35F8" w:rsidP="008C15ED">
            <w:pPr>
              <w:spacing w:before="0" w:after="0"/>
              <w:jc w:val="center"/>
              <w:rPr>
                <w:b/>
                <w:bCs/>
                <w:sz w:val="20"/>
              </w:rPr>
            </w:pPr>
            <w:r w:rsidRPr="00E352AF">
              <w:rPr>
                <w:b/>
                <w:bCs/>
                <w:sz w:val="20"/>
              </w:rPr>
              <w:t>Group 1</w:t>
            </w:r>
          </w:p>
        </w:tc>
        <w:tc>
          <w:tcPr>
            <w:tcW w:w="1417" w:type="dxa"/>
            <w:tcBorders>
              <w:top w:val="single" w:sz="4" w:space="0" w:color="auto"/>
              <w:bottom w:val="single" w:sz="4" w:space="0" w:color="auto"/>
            </w:tcBorders>
          </w:tcPr>
          <w:p w14:paraId="55F6F333" w14:textId="77777777" w:rsidR="00EA35F8" w:rsidRPr="00E352AF" w:rsidRDefault="00EA35F8" w:rsidP="008C15ED">
            <w:pPr>
              <w:spacing w:before="0" w:after="0"/>
              <w:jc w:val="center"/>
              <w:rPr>
                <w:b/>
                <w:bCs/>
                <w:sz w:val="20"/>
              </w:rPr>
            </w:pPr>
            <w:r w:rsidRPr="00E352AF">
              <w:rPr>
                <w:b/>
                <w:bCs/>
                <w:sz w:val="20"/>
              </w:rPr>
              <w:t>Group 2</w:t>
            </w:r>
          </w:p>
        </w:tc>
        <w:tc>
          <w:tcPr>
            <w:tcW w:w="1489" w:type="dxa"/>
            <w:tcBorders>
              <w:top w:val="single" w:sz="4" w:space="0" w:color="auto"/>
              <w:bottom w:val="single" w:sz="4" w:space="0" w:color="auto"/>
            </w:tcBorders>
          </w:tcPr>
          <w:p w14:paraId="7DDCDB18" w14:textId="77777777" w:rsidR="00EA35F8" w:rsidRPr="00E352AF" w:rsidRDefault="00EA35F8" w:rsidP="008C15ED">
            <w:pPr>
              <w:spacing w:before="0" w:after="0"/>
              <w:jc w:val="center"/>
              <w:rPr>
                <w:b/>
                <w:bCs/>
                <w:sz w:val="20"/>
              </w:rPr>
            </w:pPr>
            <w:r w:rsidRPr="00E352AF">
              <w:rPr>
                <w:b/>
                <w:bCs/>
                <w:sz w:val="20"/>
              </w:rPr>
              <w:t>Group 3</w:t>
            </w:r>
          </w:p>
        </w:tc>
      </w:tr>
      <w:tr w:rsidR="00EA35F8" w:rsidRPr="00E352AF" w14:paraId="36165B38" w14:textId="77777777" w:rsidTr="008C15ED">
        <w:trPr>
          <w:jc w:val="center"/>
        </w:trPr>
        <w:tc>
          <w:tcPr>
            <w:tcW w:w="1701" w:type="dxa"/>
            <w:tcBorders>
              <w:top w:val="single" w:sz="4" w:space="0" w:color="auto"/>
            </w:tcBorders>
          </w:tcPr>
          <w:p w14:paraId="28C7DDF9" w14:textId="77777777" w:rsidR="00EA35F8" w:rsidRPr="00E352AF" w:rsidRDefault="00EA35F8" w:rsidP="008C15ED">
            <w:pPr>
              <w:spacing w:before="0" w:after="0"/>
              <w:jc w:val="center"/>
              <w:rPr>
                <w:sz w:val="20"/>
              </w:rPr>
            </w:pPr>
            <w:r w:rsidRPr="00E352AF">
              <w:rPr>
                <w:sz w:val="20"/>
              </w:rPr>
              <w:t>2014</w:t>
            </w:r>
            <w:r>
              <w:rPr>
                <w:sz w:val="20"/>
              </w:rPr>
              <w:t>-</w:t>
            </w:r>
            <w:r w:rsidRPr="00E352AF">
              <w:rPr>
                <w:sz w:val="20"/>
              </w:rPr>
              <w:t>15</w:t>
            </w:r>
          </w:p>
        </w:tc>
        <w:tc>
          <w:tcPr>
            <w:tcW w:w="1418" w:type="dxa"/>
            <w:tcBorders>
              <w:top w:val="single" w:sz="4" w:space="0" w:color="auto"/>
            </w:tcBorders>
          </w:tcPr>
          <w:p w14:paraId="169B613E" w14:textId="77777777" w:rsidR="00EA35F8" w:rsidRPr="00E352AF" w:rsidRDefault="00EA35F8" w:rsidP="008C15ED">
            <w:pPr>
              <w:spacing w:before="0" w:after="0"/>
              <w:jc w:val="center"/>
              <w:rPr>
                <w:sz w:val="20"/>
              </w:rPr>
            </w:pPr>
            <w:r w:rsidRPr="00E352AF">
              <w:rPr>
                <w:sz w:val="20"/>
              </w:rPr>
              <w:t>0.50</w:t>
            </w:r>
          </w:p>
        </w:tc>
        <w:tc>
          <w:tcPr>
            <w:tcW w:w="1417" w:type="dxa"/>
            <w:tcBorders>
              <w:top w:val="single" w:sz="4" w:space="0" w:color="auto"/>
            </w:tcBorders>
          </w:tcPr>
          <w:p w14:paraId="61EE3B72" w14:textId="77777777" w:rsidR="00EA35F8" w:rsidRPr="00E352AF" w:rsidRDefault="00EA35F8" w:rsidP="008C15ED">
            <w:pPr>
              <w:spacing w:before="0" w:after="0"/>
              <w:jc w:val="center"/>
              <w:rPr>
                <w:sz w:val="20"/>
              </w:rPr>
            </w:pPr>
            <w:r w:rsidRPr="00E352AF">
              <w:rPr>
                <w:sz w:val="20"/>
              </w:rPr>
              <w:t>0.33</w:t>
            </w:r>
          </w:p>
        </w:tc>
        <w:tc>
          <w:tcPr>
            <w:tcW w:w="1489" w:type="dxa"/>
            <w:tcBorders>
              <w:top w:val="single" w:sz="4" w:space="0" w:color="auto"/>
            </w:tcBorders>
          </w:tcPr>
          <w:p w14:paraId="0B6B7FE6" w14:textId="77777777" w:rsidR="00EA35F8" w:rsidRPr="00E352AF" w:rsidRDefault="00EA35F8" w:rsidP="008C15ED">
            <w:pPr>
              <w:spacing w:before="0" w:after="0"/>
              <w:jc w:val="center"/>
              <w:rPr>
                <w:sz w:val="20"/>
              </w:rPr>
            </w:pPr>
            <w:r w:rsidRPr="00E352AF">
              <w:rPr>
                <w:sz w:val="20"/>
              </w:rPr>
              <w:t>0.17</w:t>
            </w:r>
          </w:p>
        </w:tc>
      </w:tr>
      <w:tr w:rsidR="00EA35F8" w:rsidRPr="00E352AF" w14:paraId="290E11F2" w14:textId="77777777" w:rsidTr="008C15ED">
        <w:trPr>
          <w:jc w:val="center"/>
        </w:trPr>
        <w:tc>
          <w:tcPr>
            <w:tcW w:w="1701" w:type="dxa"/>
          </w:tcPr>
          <w:p w14:paraId="12B643D2" w14:textId="77777777" w:rsidR="00EA35F8" w:rsidRPr="00E352AF" w:rsidRDefault="00EA35F8" w:rsidP="008C15ED">
            <w:pPr>
              <w:spacing w:before="0" w:after="0"/>
              <w:jc w:val="center"/>
              <w:rPr>
                <w:sz w:val="20"/>
              </w:rPr>
            </w:pPr>
            <w:r w:rsidRPr="00E352AF">
              <w:rPr>
                <w:sz w:val="20"/>
              </w:rPr>
              <w:t>2015</w:t>
            </w:r>
            <w:r>
              <w:rPr>
                <w:sz w:val="20"/>
              </w:rPr>
              <w:t>-</w:t>
            </w:r>
            <w:r w:rsidRPr="00E352AF">
              <w:rPr>
                <w:sz w:val="20"/>
              </w:rPr>
              <w:t>16</w:t>
            </w:r>
          </w:p>
        </w:tc>
        <w:tc>
          <w:tcPr>
            <w:tcW w:w="1418" w:type="dxa"/>
          </w:tcPr>
          <w:p w14:paraId="755485E9" w14:textId="77777777" w:rsidR="00EA35F8" w:rsidRPr="00E352AF" w:rsidRDefault="00EA35F8" w:rsidP="008C15ED">
            <w:pPr>
              <w:spacing w:before="0" w:after="0"/>
              <w:jc w:val="center"/>
              <w:rPr>
                <w:sz w:val="20"/>
              </w:rPr>
            </w:pPr>
            <w:r w:rsidRPr="00E352AF">
              <w:rPr>
                <w:sz w:val="20"/>
              </w:rPr>
              <w:t>0.38</w:t>
            </w:r>
          </w:p>
        </w:tc>
        <w:tc>
          <w:tcPr>
            <w:tcW w:w="1417" w:type="dxa"/>
          </w:tcPr>
          <w:p w14:paraId="46A22571" w14:textId="77777777" w:rsidR="00EA35F8" w:rsidRPr="00E352AF" w:rsidRDefault="00EA35F8" w:rsidP="008C15ED">
            <w:pPr>
              <w:spacing w:before="0" w:after="0"/>
              <w:jc w:val="center"/>
              <w:rPr>
                <w:sz w:val="20"/>
              </w:rPr>
            </w:pPr>
            <w:r w:rsidRPr="00E352AF">
              <w:rPr>
                <w:sz w:val="20"/>
              </w:rPr>
              <w:t>0.06</w:t>
            </w:r>
          </w:p>
        </w:tc>
        <w:tc>
          <w:tcPr>
            <w:tcW w:w="1489" w:type="dxa"/>
          </w:tcPr>
          <w:p w14:paraId="55834C2C" w14:textId="77777777" w:rsidR="00EA35F8" w:rsidRPr="00E352AF" w:rsidRDefault="00EA35F8" w:rsidP="008C15ED">
            <w:pPr>
              <w:spacing w:before="0" w:after="0"/>
              <w:jc w:val="center"/>
              <w:rPr>
                <w:sz w:val="20"/>
              </w:rPr>
            </w:pPr>
            <w:r w:rsidRPr="00E352AF">
              <w:rPr>
                <w:sz w:val="20"/>
              </w:rPr>
              <w:t>0.56</w:t>
            </w:r>
          </w:p>
        </w:tc>
      </w:tr>
      <w:tr w:rsidR="00EA35F8" w:rsidRPr="00E352AF" w14:paraId="37E81533" w14:textId="77777777" w:rsidTr="008C15ED">
        <w:trPr>
          <w:jc w:val="center"/>
        </w:trPr>
        <w:tc>
          <w:tcPr>
            <w:tcW w:w="1701" w:type="dxa"/>
          </w:tcPr>
          <w:p w14:paraId="1BD34237" w14:textId="77777777" w:rsidR="00EA35F8" w:rsidRPr="00E352AF" w:rsidRDefault="00EA35F8" w:rsidP="008C15ED">
            <w:pPr>
              <w:spacing w:before="0" w:after="0"/>
              <w:jc w:val="center"/>
              <w:rPr>
                <w:sz w:val="20"/>
              </w:rPr>
            </w:pPr>
            <w:r w:rsidRPr="00E352AF">
              <w:rPr>
                <w:sz w:val="20"/>
              </w:rPr>
              <w:t>2016</w:t>
            </w:r>
            <w:r>
              <w:rPr>
                <w:sz w:val="20"/>
              </w:rPr>
              <w:t>-</w:t>
            </w:r>
            <w:r w:rsidRPr="00E352AF">
              <w:rPr>
                <w:sz w:val="20"/>
              </w:rPr>
              <w:t>17</w:t>
            </w:r>
          </w:p>
        </w:tc>
        <w:tc>
          <w:tcPr>
            <w:tcW w:w="1418" w:type="dxa"/>
          </w:tcPr>
          <w:p w14:paraId="129FEE88" w14:textId="77777777" w:rsidR="00EA35F8" w:rsidRPr="00E352AF" w:rsidRDefault="00EA35F8" w:rsidP="008C15ED">
            <w:pPr>
              <w:spacing w:before="0" w:after="0"/>
              <w:jc w:val="center"/>
              <w:rPr>
                <w:sz w:val="20"/>
              </w:rPr>
            </w:pPr>
            <w:r w:rsidRPr="00E352AF">
              <w:rPr>
                <w:sz w:val="20"/>
              </w:rPr>
              <w:t>0.12</w:t>
            </w:r>
          </w:p>
        </w:tc>
        <w:tc>
          <w:tcPr>
            <w:tcW w:w="1417" w:type="dxa"/>
          </w:tcPr>
          <w:p w14:paraId="1C8E93E0" w14:textId="77777777" w:rsidR="00EA35F8" w:rsidRPr="00E352AF" w:rsidRDefault="00EA35F8" w:rsidP="008C15ED">
            <w:pPr>
              <w:spacing w:before="0" w:after="0"/>
              <w:jc w:val="center"/>
              <w:rPr>
                <w:sz w:val="20"/>
              </w:rPr>
            </w:pPr>
            <w:r w:rsidRPr="00E352AF">
              <w:rPr>
                <w:sz w:val="20"/>
              </w:rPr>
              <w:t>0.38</w:t>
            </w:r>
          </w:p>
        </w:tc>
        <w:tc>
          <w:tcPr>
            <w:tcW w:w="1489" w:type="dxa"/>
          </w:tcPr>
          <w:p w14:paraId="24CBC242" w14:textId="77777777" w:rsidR="00EA35F8" w:rsidRPr="00E352AF" w:rsidRDefault="00EA35F8" w:rsidP="008C15ED">
            <w:pPr>
              <w:spacing w:before="0" w:after="0"/>
              <w:jc w:val="center"/>
              <w:rPr>
                <w:sz w:val="20"/>
              </w:rPr>
            </w:pPr>
            <w:r w:rsidRPr="00E352AF">
              <w:rPr>
                <w:sz w:val="20"/>
              </w:rPr>
              <w:t>0.50</w:t>
            </w:r>
          </w:p>
        </w:tc>
      </w:tr>
      <w:tr w:rsidR="00EA35F8" w:rsidRPr="00E352AF" w14:paraId="00D65EB9" w14:textId="77777777" w:rsidTr="008C15ED">
        <w:trPr>
          <w:jc w:val="center"/>
        </w:trPr>
        <w:tc>
          <w:tcPr>
            <w:tcW w:w="1701" w:type="dxa"/>
          </w:tcPr>
          <w:p w14:paraId="5D821A58" w14:textId="77777777" w:rsidR="00EA35F8" w:rsidRPr="00E352AF" w:rsidRDefault="00EA35F8" w:rsidP="008C15ED">
            <w:pPr>
              <w:spacing w:before="0" w:after="0"/>
              <w:jc w:val="center"/>
              <w:rPr>
                <w:sz w:val="20"/>
              </w:rPr>
            </w:pPr>
            <w:r w:rsidRPr="00E352AF">
              <w:rPr>
                <w:sz w:val="20"/>
              </w:rPr>
              <w:t>2017</w:t>
            </w:r>
            <w:r>
              <w:rPr>
                <w:sz w:val="20"/>
              </w:rPr>
              <w:t>-</w:t>
            </w:r>
            <w:r w:rsidRPr="00E352AF">
              <w:rPr>
                <w:sz w:val="20"/>
              </w:rPr>
              <w:t>18</w:t>
            </w:r>
          </w:p>
        </w:tc>
        <w:tc>
          <w:tcPr>
            <w:tcW w:w="1418" w:type="dxa"/>
          </w:tcPr>
          <w:p w14:paraId="6339937C" w14:textId="77777777" w:rsidR="00EA35F8" w:rsidRPr="00E352AF" w:rsidRDefault="00EA35F8" w:rsidP="008C15ED">
            <w:pPr>
              <w:spacing w:before="0" w:after="0"/>
              <w:jc w:val="center"/>
              <w:rPr>
                <w:sz w:val="20"/>
              </w:rPr>
            </w:pPr>
            <w:r w:rsidRPr="00E352AF">
              <w:rPr>
                <w:sz w:val="20"/>
              </w:rPr>
              <w:t>0.43</w:t>
            </w:r>
          </w:p>
        </w:tc>
        <w:tc>
          <w:tcPr>
            <w:tcW w:w="1417" w:type="dxa"/>
          </w:tcPr>
          <w:p w14:paraId="32DBDD01" w14:textId="77777777" w:rsidR="00EA35F8" w:rsidRPr="00E352AF" w:rsidRDefault="00EA35F8" w:rsidP="008C15ED">
            <w:pPr>
              <w:spacing w:before="0" w:after="0"/>
              <w:jc w:val="center"/>
              <w:rPr>
                <w:sz w:val="20"/>
              </w:rPr>
            </w:pPr>
            <w:r w:rsidRPr="00E352AF">
              <w:rPr>
                <w:sz w:val="20"/>
              </w:rPr>
              <w:t>0.29</w:t>
            </w:r>
          </w:p>
        </w:tc>
        <w:tc>
          <w:tcPr>
            <w:tcW w:w="1489" w:type="dxa"/>
          </w:tcPr>
          <w:p w14:paraId="37BA4ADA" w14:textId="77777777" w:rsidR="00EA35F8" w:rsidRPr="00E352AF" w:rsidRDefault="00EA35F8" w:rsidP="008C15ED">
            <w:pPr>
              <w:spacing w:before="0" w:after="0"/>
              <w:jc w:val="center"/>
              <w:rPr>
                <w:sz w:val="20"/>
              </w:rPr>
            </w:pPr>
            <w:r w:rsidRPr="00E352AF">
              <w:rPr>
                <w:sz w:val="20"/>
              </w:rPr>
              <w:t>0.29</w:t>
            </w:r>
          </w:p>
        </w:tc>
      </w:tr>
      <w:tr w:rsidR="00EA35F8" w:rsidRPr="00E352AF" w14:paraId="6C603AFE" w14:textId="77777777" w:rsidTr="008C15ED">
        <w:trPr>
          <w:jc w:val="center"/>
        </w:trPr>
        <w:tc>
          <w:tcPr>
            <w:tcW w:w="1701" w:type="dxa"/>
            <w:tcBorders>
              <w:bottom w:val="single" w:sz="4" w:space="0" w:color="auto"/>
            </w:tcBorders>
          </w:tcPr>
          <w:p w14:paraId="3AFC844C" w14:textId="77777777" w:rsidR="00EA35F8" w:rsidRPr="00E352AF" w:rsidRDefault="00EA35F8" w:rsidP="008C15ED">
            <w:pPr>
              <w:spacing w:before="0" w:after="0"/>
              <w:jc w:val="center"/>
              <w:rPr>
                <w:sz w:val="20"/>
              </w:rPr>
            </w:pPr>
            <w:r w:rsidRPr="00E352AF">
              <w:rPr>
                <w:sz w:val="20"/>
              </w:rPr>
              <w:t>2019</w:t>
            </w:r>
            <w:r>
              <w:rPr>
                <w:sz w:val="20"/>
              </w:rPr>
              <w:t>-</w:t>
            </w:r>
            <w:r w:rsidRPr="00E352AF">
              <w:rPr>
                <w:sz w:val="20"/>
              </w:rPr>
              <w:t>20</w:t>
            </w:r>
          </w:p>
        </w:tc>
        <w:tc>
          <w:tcPr>
            <w:tcW w:w="1418" w:type="dxa"/>
            <w:tcBorders>
              <w:bottom w:val="single" w:sz="4" w:space="0" w:color="auto"/>
            </w:tcBorders>
          </w:tcPr>
          <w:p w14:paraId="046C2E15" w14:textId="77777777" w:rsidR="00EA35F8" w:rsidRPr="00E352AF" w:rsidRDefault="00EA35F8" w:rsidP="008C15ED">
            <w:pPr>
              <w:spacing w:before="0" w:after="0"/>
              <w:jc w:val="center"/>
              <w:rPr>
                <w:sz w:val="20"/>
              </w:rPr>
            </w:pPr>
            <w:r w:rsidRPr="00E352AF">
              <w:rPr>
                <w:sz w:val="20"/>
              </w:rPr>
              <w:t>0.29</w:t>
            </w:r>
          </w:p>
        </w:tc>
        <w:tc>
          <w:tcPr>
            <w:tcW w:w="1417" w:type="dxa"/>
            <w:tcBorders>
              <w:bottom w:val="single" w:sz="4" w:space="0" w:color="auto"/>
            </w:tcBorders>
          </w:tcPr>
          <w:p w14:paraId="45308BBC" w14:textId="77777777" w:rsidR="00EA35F8" w:rsidRPr="00E352AF" w:rsidRDefault="00EA35F8" w:rsidP="008C15ED">
            <w:pPr>
              <w:spacing w:before="0" w:after="0"/>
              <w:jc w:val="center"/>
              <w:rPr>
                <w:sz w:val="20"/>
              </w:rPr>
            </w:pPr>
            <w:r w:rsidRPr="00E352AF">
              <w:rPr>
                <w:sz w:val="20"/>
              </w:rPr>
              <w:t>0.52</w:t>
            </w:r>
          </w:p>
        </w:tc>
        <w:tc>
          <w:tcPr>
            <w:tcW w:w="1489" w:type="dxa"/>
            <w:tcBorders>
              <w:bottom w:val="single" w:sz="4" w:space="0" w:color="auto"/>
            </w:tcBorders>
          </w:tcPr>
          <w:p w14:paraId="726D764C" w14:textId="77777777" w:rsidR="00EA35F8" w:rsidRPr="00E352AF" w:rsidRDefault="00EA35F8" w:rsidP="008C15ED">
            <w:pPr>
              <w:spacing w:before="0" w:after="0"/>
              <w:jc w:val="center"/>
              <w:rPr>
                <w:sz w:val="20"/>
              </w:rPr>
            </w:pPr>
            <w:r w:rsidRPr="00E352AF">
              <w:rPr>
                <w:sz w:val="20"/>
              </w:rPr>
              <w:t>0.19</w:t>
            </w:r>
          </w:p>
        </w:tc>
      </w:tr>
    </w:tbl>
    <w:p w14:paraId="42C40601" w14:textId="3AD23C57" w:rsidR="00EA35F8" w:rsidRDefault="00EA35F8" w:rsidP="00EA35F8">
      <w:r>
        <w:t>The question of what determines the number of samples falling into the different groups from year-year was investigated using a classification tree</w:t>
      </w:r>
      <w:r w:rsidDel="00504DBC">
        <w:t xml:space="preserve"> </w:t>
      </w:r>
      <w:r>
        <w:t>(</w:t>
      </w:r>
      <w:r w:rsidR="00432B07">
        <w:t>Figure D</w:t>
      </w:r>
      <w:r w:rsidR="00223F88">
        <w:t>11</w:t>
      </w:r>
      <w:r>
        <w:t xml:space="preserve">). This method tries to separate the samples into their compositional groups using a series of yes/no decisions. Each decision is based on a different threshold (e.g., flow volume) or condition (e.g., month) and samples are separated according to the conditions at the time of sampling. Each decision is represented by a numbered ‘node’, which shows the decision. Samples meeting the condition follow the ‘yes’ (left) path, the others follow the ‘no’ path to the next decision point (node). </w:t>
      </w:r>
    </w:p>
    <w:p w14:paraId="75272535" w14:textId="322AE27F" w:rsidR="00EA35F8" w:rsidRDefault="00EA35F8" w:rsidP="00EA35F8">
      <w:r>
        <w:t xml:space="preserve">Group 1 samples (which had a high density of pelagic </w:t>
      </w:r>
      <w:proofErr w:type="spellStart"/>
      <w:r>
        <w:t>cladocerans</w:t>
      </w:r>
      <w:proofErr w:type="spellEnd"/>
      <w:r>
        <w:t xml:space="preserve"> and calanoid copepods) were </w:t>
      </w:r>
      <w:proofErr w:type="gramStart"/>
      <w:r>
        <w:t>most commonly observed</w:t>
      </w:r>
      <w:proofErr w:type="gramEnd"/>
      <w:r>
        <w:t xml:space="preserve"> when flow increased rapidly in the 10 days prior to sampling (hereafter 10-day flow trend; dQ10). For example, node 2 (coloured green) shows 80% of all samples taken when the 10-day flow trend was in the top 25% observed were Group 1, while Group 3 samples were never found under these conditions (</w:t>
      </w:r>
      <w:r w:rsidR="008C15ED">
        <w:t>Figure D</w:t>
      </w:r>
      <w:r w:rsidR="00223F88">
        <w:t>11</w:t>
      </w:r>
      <w:r>
        <w:t>). Group 1 samples were also favoured under extended periods of stable low daily flow below approximately 5.4 GL/d (note 8.6 in the figure refers to the logarithmic scale, node 12;</w:t>
      </w:r>
      <w:r w:rsidR="008C15ED">
        <w:t xml:space="preserve"> Figure D</w:t>
      </w:r>
      <w:r w:rsidR="00223F88">
        <w:t>11</w:t>
      </w:r>
      <w:r>
        <w:t xml:space="preserve">) and to a lesser extent where the extent of floodplain inundation was declining (i.e., a negative value for </w:t>
      </w:r>
      <w:proofErr w:type="spellStart"/>
      <w:r>
        <w:t>fpcon</w:t>
      </w:r>
      <w:proofErr w:type="spellEnd"/>
      <w:r>
        <w:t xml:space="preserve">, node 30). This is consistent with longitudinal transport during the rising limb of flood pulses providing the most likely source of Group 1 taxa, but with some increased probability of observing these taxa from the entrainment of </w:t>
      </w:r>
      <w:proofErr w:type="spellStart"/>
      <w:r>
        <w:t>microinvertebrates</w:t>
      </w:r>
      <w:proofErr w:type="spellEnd"/>
      <w:r>
        <w:t xml:space="preserve"> as floodwaters recede.</w:t>
      </w:r>
    </w:p>
    <w:p w14:paraId="79CB6214" w14:textId="77777777" w:rsidR="00EA35F8" w:rsidRDefault="00EA35F8" w:rsidP="00EA35F8">
      <w:pPr>
        <w:keepNext/>
        <w:jc w:val="center"/>
      </w:pPr>
      <w:r>
        <w:rPr>
          <w:noProof/>
        </w:rPr>
        <w:drawing>
          <wp:inline distT="0" distB="0" distL="0" distR="0" wp14:anchorId="60B0E1EB" wp14:editId="7CD7E582">
            <wp:extent cx="4715266" cy="5039878"/>
            <wp:effectExtent l="0" t="0" r="0" b="8890"/>
            <wp:docPr id="76" name="Picture 76"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imeline&#10;&#10;Description automatically generated"/>
                    <pic:cNvPicPr/>
                  </pic:nvPicPr>
                  <pic:blipFill>
                    <a:blip r:embed="rId142" cstate="email">
                      <a:extLst>
                        <a:ext uri="{28A0092B-C50C-407E-A947-70E740481C1C}">
                          <a14:useLocalDpi xmlns:a14="http://schemas.microsoft.com/office/drawing/2010/main"/>
                        </a:ext>
                      </a:extLst>
                    </a:blip>
                    <a:stretch>
                      <a:fillRect/>
                    </a:stretch>
                  </pic:blipFill>
                  <pic:spPr>
                    <a:xfrm>
                      <a:off x="0" y="0"/>
                      <a:ext cx="4715266" cy="5039878"/>
                    </a:xfrm>
                    <a:prstGeom prst="rect">
                      <a:avLst/>
                    </a:prstGeom>
                  </pic:spPr>
                </pic:pic>
              </a:graphicData>
            </a:graphic>
          </wp:inline>
        </w:drawing>
      </w:r>
    </w:p>
    <w:p w14:paraId="0A7E94FA" w14:textId="34C087D8" w:rsidR="00EA35F8" w:rsidRDefault="00432B07" w:rsidP="00F8184E">
      <w:pPr>
        <w:pStyle w:val="Captions"/>
      </w:pPr>
      <w:bookmarkStart w:id="389" w:name="_Toc63758494"/>
      <w:r>
        <w:t>Figure D</w:t>
      </w:r>
      <w:r w:rsidR="00223F88">
        <w:t>11</w:t>
      </w:r>
      <w:r>
        <w:t>.</w:t>
      </w:r>
      <w:r w:rsidR="00EA35F8">
        <w:t xml:space="preserve"> Classification tree for the functional group classes shown in</w:t>
      </w:r>
      <w:r>
        <w:t xml:space="preserve"> Figure D</w:t>
      </w:r>
      <w:r w:rsidR="00223F88">
        <w:t>10</w:t>
      </w:r>
      <w:r w:rsidR="00EA35F8">
        <w:t>. Nodes show the distribution of samples among functional groups. Nodes with conditions specified below them divide samples according to that condition. Nodes in the bottom row (terminal nodes) represent the distribution of samples among groups after following all binary conditions leading to that node.</w:t>
      </w:r>
      <w:bookmarkEnd w:id="389"/>
    </w:p>
    <w:p w14:paraId="3525EA1A" w14:textId="77777777" w:rsidR="00EA35F8" w:rsidRPr="00BA4C44" w:rsidRDefault="00EA35F8" w:rsidP="00EA35F8">
      <w:r>
        <w:t>Group 2 samples (high density of littoral-pelagic rotifers) were present under all sets of conditions, but most favoured during long-term flows exceeding 5.4 GL/d but with relatively constant (or slowly decreasing) flow, or during the month of December. Group 3 samples (pelagic rotifers) were absent during rapidly increasing flow but were favoured at higher (constant or decreasing) daily flows and with higher floodplain connectivity.</w:t>
      </w:r>
    </w:p>
    <w:p w14:paraId="0A92B287" w14:textId="77777777" w:rsidR="00EA35F8" w:rsidRPr="00432B07" w:rsidRDefault="00EA35F8" w:rsidP="00EA35F8">
      <w:pPr>
        <w:rPr>
          <w:i/>
          <w:iCs/>
          <w:u w:val="single"/>
        </w:rPr>
      </w:pPr>
      <w:r w:rsidRPr="00432B07">
        <w:rPr>
          <w:i/>
          <w:iCs/>
          <w:u w:val="single"/>
        </w:rPr>
        <w:t>Modelled responses to environmental flows</w:t>
      </w:r>
    </w:p>
    <w:p w14:paraId="7E33A233" w14:textId="77777777" w:rsidR="00385C6A" w:rsidRPr="009E2AA1" w:rsidRDefault="00385C6A" w:rsidP="00385C6A">
      <w:pPr>
        <w:rPr>
          <w:i/>
          <w:iCs/>
          <w:color w:val="2F5496" w:themeColor="accent5" w:themeShade="BF"/>
          <w:sz w:val="18"/>
          <w:szCs w:val="16"/>
        </w:rPr>
      </w:pPr>
      <w:r w:rsidRPr="009E2AA1">
        <w:rPr>
          <w:i/>
          <w:iCs/>
          <w:color w:val="2F5496" w:themeColor="accent5" w:themeShade="BF"/>
          <w:sz w:val="18"/>
          <w:szCs w:val="16"/>
        </w:rPr>
        <w:t>H1: Density and taxonomic richness</w:t>
      </w:r>
    </w:p>
    <w:p w14:paraId="4208B7BB" w14:textId="480B9FAC" w:rsidR="00EA35F8" w:rsidRDefault="00EA35F8" w:rsidP="00EA35F8">
      <w:r>
        <w:t>Across all years of available data (incorporating water years 2014-15 to 2017-18 and the new data for 2019-20), approximately 18% of observed density was estimated to be attributable to environmental water (</w:t>
      </w:r>
      <w:r w:rsidR="004A35E2">
        <w:fldChar w:fldCharType="begin"/>
      </w:r>
      <w:r w:rsidR="004A35E2">
        <w:instrText xml:space="preserve"> REF _Ref63781993 \h </w:instrText>
      </w:r>
      <w:r w:rsidR="004A35E2">
        <w:fldChar w:fldCharType="separate"/>
      </w:r>
      <w:r w:rsidR="006045CA">
        <w:t xml:space="preserve">Figure </w:t>
      </w:r>
      <w:r w:rsidR="006045CA">
        <w:rPr>
          <w:noProof/>
        </w:rPr>
        <w:t>44</w:t>
      </w:r>
      <w:r w:rsidR="004A35E2">
        <w:fldChar w:fldCharType="end"/>
      </w:r>
      <w:r>
        <w:t xml:space="preserve">) with the mean difference </w:t>
      </w:r>
      <w:proofErr w:type="gramStart"/>
      <w:r>
        <w:t>±[</w:t>
      </w:r>
      <w:proofErr w:type="gramEnd"/>
      <w:r>
        <w:t xml:space="preserve"> 95% CI] being 144.7</w:t>
      </w:r>
      <w:r w:rsidRPr="00C25F4F">
        <w:t xml:space="preserve"> </w:t>
      </w:r>
      <w:r>
        <w:t>[112</w:t>
      </w:r>
      <w:r w:rsidRPr="00C25F4F">
        <w:t>.</w:t>
      </w:r>
      <w:r>
        <w:t>2, 177</w:t>
      </w:r>
      <w:r w:rsidRPr="00C25F4F">
        <w:t>.</w:t>
      </w:r>
      <w:r>
        <w:t xml:space="preserve">1] </w:t>
      </w:r>
      <w:proofErr w:type="spellStart"/>
      <w:r>
        <w:t>ind</w:t>
      </w:r>
      <w:proofErr w:type="spellEnd"/>
      <w:r>
        <w:t>/L (</w:t>
      </w:r>
      <w:r w:rsidRPr="00C25F4F">
        <w:rPr>
          <w:i/>
          <w:iCs/>
        </w:rPr>
        <w:t>t</w:t>
      </w:r>
      <w:r>
        <w:t xml:space="preserve"> = 8.80</w:t>
      </w:r>
      <w:r w:rsidRPr="00C25F4F">
        <w:t xml:space="preserve">, </w:t>
      </w:r>
      <w:r w:rsidRPr="00C25F4F">
        <w:rPr>
          <w:i/>
          <w:iCs/>
        </w:rPr>
        <w:t>df</w:t>
      </w:r>
      <w:r w:rsidRPr="00C25F4F">
        <w:t xml:space="preserve"> = 194, </w:t>
      </w:r>
      <w:r w:rsidRPr="00C25F4F">
        <w:rPr>
          <w:i/>
          <w:iCs/>
        </w:rPr>
        <w:t>p</w:t>
      </w:r>
      <w:r>
        <w:t xml:space="preserve"> &lt; 0.001). Additional Commonwealth environmental water was predicted to have contributed approximately 64% of this increase (mean observed-modelled difference ± [ 95% CI] = </w:t>
      </w:r>
      <w:r w:rsidRPr="000559A6">
        <w:t xml:space="preserve">93.2 [66.7, 119.6] </w:t>
      </w:r>
      <w:proofErr w:type="spellStart"/>
      <w:r w:rsidRPr="000559A6">
        <w:t>ind</w:t>
      </w:r>
      <w:proofErr w:type="spellEnd"/>
      <w:r>
        <w:t>/</w:t>
      </w:r>
      <w:r w:rsidRPr="000559A6">
        <w:t>L</w:t>
      </w:r>
      <w:r>
        <w:t>;</w:t>
      </w:r>
      <w:r w:rsidRPr="000559A6">
        <w:t xml:space="preserve"> t = 6.96, df = 194, p &lt; 0.001</w:t>
      </w:r>
      <w:r>
        <w:t xml:space="preserve">). </w:t>
      </w:r>
    </w:p>
    <w:p w14:paraId="637D5214" w14:textId="011C3282" w:rsidR="00EA35F8" w:rsidRDefault="00EA35F8" w:rsidP="00EA35F8">
      <w:r>
        <w:t>Selected predictors of density (see Table D</w:t>
      </w:r>
      <w:r w:rsidR="00065DAD">
        <w:t>6</w:t>
      </w:r>
      <w:r>
        <w:t xml:space="preserve">) with a positive effect included mean daily flow, temperature, floodplain area inundated over the last 60 days (FPA60) and the 10-day flow trend, while electrical conductivity was involved in negative interaction terms with the latter two predictors (indicating decreasing benefits of both with increasing conductivity). Temperature also had a negative interaction with the 10-day flow trend, perhaps reflecting the transport of individuals from the floodplain on the receding limb i.e., a negative coefficient means that a falling (negative) trend in flow was predicted to result in increased individuals. After accounting for all continuous variables, density tended to increase continually over the sampling season (relative to September values), while water years 2015-16 and 2019-20 were higher than the baseline (water year 2014-15) expectation. </w:t>
      </w:r>
    </w:p>
    <w:p w14:paraId="59C2BE9A" w14:textId="44B1BF12" w:rsidR="00EA35F8" w:rsidRDefault="00EA35F8" w:rsidP="00EA35F8">
      <w:r>
        <w:t>The negative binomial density model had acceptable overall performance, with explained deviance of 0.61 and the squared correlation between predicted and observed density equal to 0.46 (both are measures of explanatory power, a form of pseudo R</w:t>
      </w:r>
      <w:r w:rsidRPr="009D1384">
        <w:rPr>
          <w:vertAlign w:val="superscript"/>
        </w:rPr>
        <w:t>2</w:t>
      </w:r>
      <w:r>
        <w:t xml:space="preserve">). With this said, there remain considerable uncertainties. For example, the model did not predict universally lower density in the absence of any environmental water (e.g., water year 2016-17 had higher median density without environmental water; </w:t>
      </w:r>
      <w:r w:rsidR="004A35E2">
        <w:fldChar w:fldCharType="begin"/>
      </w:r>
      <w:r w:rsidR="004A35E2">
        <w:instrText xml:space="preserve"> REF _Ref63781993 \h </w:instrText>
      </w:r>
      <w:r w:rsidR="004A35E2">
        <w:fldChar w:fldCharType="separate"/>
      </w:r>
      <w:r w:rsidR="006045CA">
        <w:t xml:space="preserve">Figure </w:t>
      </w:r>
      <w:r w:rsidR="006045CA">
        <w:rPr>
          <w:noProof/>
        </w:rPr>
        <w:t>44</w:t>
      </w:r>
      <w:r w:rsidR="004A35E2">
        <w:fldChar w:fldCharType="end"/>
      </w:r>
      <w:r>
        <w:t xml:space="preserve">a). In some instances, this could be a true pattern, for example due to greater local flushing from higher flow velocities. However, across all years, models suggest there are clear benefits from the delivery of environmental water by increasing </w:t>
      </w:r>
      <w:proofErr w:type="spellStart"/>
      <w:r>
        <w:t>microinvertebrate</w:t>
      </w:r>
      <w:proofErr w:type="spellEnd"/>
      <w:r>
        <w:t xml:space="preserve"> density within the channel environment. </w:t>
      </w:r>
    </w:p>
    <w:p w14:paraId="1F170505" w14:textId="77777777" w:rsidR="00EA35F8" w:rsidRDefault="00EA35F8" w:rsidP="00EA35F8"/>
    <w:p w14:paraId="6C9B201D" w14:textId="77777777" w:rsidR="00432B07" w:rsidRDefault="00432B07" w:rsidP="00EA35F8">
      <w:pPr>
        <w:pStyle w:val="Caption"/>
      </w:pPr>
    </w:p>
    <w:p w14:paraId="2F87E145" w14:textId="77777777" w:rsidR="00432B07" w:rsidRDefault="00432B07">
      <w:pPr>
        <w:spacing w:before="0" w:after="160" w:line="259" w:lineRule="auto"/>
        <w:jc w:val="left"/>
        <w:rPr>
          <w:b/>
          <w:bCs/>
          <w:color w:val="auto"/>
          <w:sz w:val="20"/>
          <w:szCs w:val="18"/>
        </w:rPr>
      </w:pPr>
      <w:r>
        <w:br w:type="page"/>
      </w:r>
    </w:p>
    <w:p w14:paraId="3150152A" w14:textId="3A6946AF" w:rsidR="00EA35F8" w:rsidRDefault="00EA35F8" w:rsidP="00432B07">
      <w:pPr>
        <w:pStyle w:val="Caption"/>
      </w:pPr>
      <w:r>
        <w:t>Table D</w:t>
      </w:r>
      <w:r w:rsidR="00065DAD">
        <w:t>6</w:t>
      </w:r>
      <w:r>
        <w:t>. Results of negative binomial generalised linear model for density (individuals per litre) showing selected predictors, estimated coefficients (Estimate), standard errors in estimation (</w:t>
      </w:r>
      <w:proofErr w:type="spellStart"/>
      <w:proofErr w:type="gramStart"/>
      <w:r>
        <w:t>std.Error</w:t>
      </w:r>
      <w:proofErr w:type="spellEnd"/>
      <w:proofErr w:type="gramEnd"/>
      <w:r>
        <w:t>) and Type I Error probability (</w:t>
      </w:r>
      <w:r w:rsidRPr="00011752">
        <w:rPr>
          <w:i/>
          <w:iCs/>
        </w:rPr>
        <w:t>p</w:t>
      </w:r>
      <w:r>
        <w:t>-value). Flow data were log transformed prior to modelling. FPA60 quantifies the area of floodplain inundated over the last 60 days (see Methods for full description of predictor calculation). Negative binomial distribution dispersion parameter (theta) = 4.14, standard error = 0.41.</w:t>
      </w:r>
    </w:p>
    <w:tbl>
      <w:tblPr>
        <w:tblStyle w:val="TableGrid"/>
        <w:tblW w:w="721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16"/>
        <w:gridCol w:w="1433"/>
        <w:gridCol w:w="1434"/>
        <w:gridCol w:w="1434"/>
      </w:tblGrid>
      <w:tr w:rsidR="00EA35F8" w:rsidRPr="00011752" w14:paraId="54832356" w14:textId="77777777" w:rsidTr="00432B07">
        <w:trPr>
          <w:jc w:val="center"/>
        </w:trPr>
        <w:tc>
          <w:tcPr>
            <w:tcW w:w="2916" w:type="dxa"/>
            <w:tcBorders>
              <w:top w:val="single" w:sz="4" w:space="0" w:color="auto"/>
              <w:bottom w:val="single" w:sz="4" w:space="0" w:color="auto"/>
            </w:tcBorders>
          </w:tcPr>
          <w:p w14:paraId="6848B3AA" w14:textId="77777777" w:rsidR="00EA35F8" w:rsidRPr="00011752" w:rsidRDefault="00EA35F8" w:rsidP="008C15ED">
            <w:pPr>
              <w:pStyle w:val="TableHeading"/>
            </w:pPr>
            <w:r w:rsidRPr="00011752">
              <w:t>Predictor</w:t>
            </w:r>
          </w:p>
        </w:tc>
        <w:tc>
          <w:tcPr>
            <w:tcW w:w="1433" w:type="dxa"/>
            <w:tcBorders>
              <w:top w:val="single" w:sz="4" w:space="0" w:color="auto"/>
              <w:bottom w:val="single" w:sz="4" w:space="0" w:color="auto"/>
            </w:tcBorders>
          </w:tcPr>
          <w:p w14:paraId="48215E91" w14:textId="77777777" w:rsidR="00EA35F8" w:rsidRPr="00011752" w:rsidRDefault="00EA35F8" w:rsidP="008C15ED">
            <w:pPr>
              <w:pStyle w:val="TableHeading"/>
            </w:pPr>
            <w:r w:rsidRPr="00011752">
              <w:t>Estimate</w:t>
            </w:r>
          </w:p>
        </w:tc>
        <w:tc>
          <w:tcPr>
            <w:tcW w:w="1434" w:type="dxa"/>
            <w:tcBorders>
              <w:top w:val="single" w:sz="4" w:space="0" w:color="auto"/>
              <w:bottom w:val="single" w:sz="4" w:space="0" w:color="auto"/>
            </w:tcBorders>
          </w:tcPr>
          <w:p w14:paraId="4335CA66" w14:textId="77777777" w:rsidR="00EA35F8" w:rsidRPr="00011752" w:rsidRDefault="00EA35F8" w:rsidP="008C15ED">
            <w:pPr>
              <w:pStyle w:val="TableHeading"/>
            </w:pPr>
            <w:r w:rsidRPr="00011752">
              <w:t>std. Error</w:t>
            </w:r>
          </w:p>
        </w:tc>
        <w:tc>
          <w:tcPr>
            <w:tcW w:w="1434" w:type="dxa"/>
            <w:tcBorders>
              <w:top w:val="single" w:sz="4" w:space="0" w:color="auto"/>
              <w:bottom w:val="single" w:sz="4" w:space="0" w:color="auto"/>
            </w:tcBorders>
          </w:tcPr>
          <w:p w14:paraId="01A29036" w14:textId="77777777" w:rsidR="00EA35F8" w:rsidRPr="00011752" w:rsidRDefault="00EA35F8" w:rsidP="008C15ED">
            <w:pPr>
              <w:pStyle w:val="TableHeading"/>
            </w:pPr>
            <w:r w:rsidRPr="00011752">
              <w:rPr>
                <w:i/>
                <w:iCs/>
              </w:rPr>
              <w:t>p</w:t>
            </w:r>
            <w:r>
              <w:t>-value</w:t>
            </w:r>
          </w:p>
        </w:tc>
      </w:tr>
      <w:tr w:rsidR="00EA35F8" w:rsidRPr="00011752" w14:paraId="797E58F4" w14:textId="77777777" w:rsidTr="00432B07">
        <w:trPr>
          <w:jc w:val="center"/>
        </w:trPr>
        <w:tc>
          <w:tcPr>
            <w:tcW w:w="2916" w:type="dxa"/>
            <w:tcBorders>
              <w:top w:val="single" w:sz="4" w:space="0" w:color="auto"/>
            </w:tcBorders>
          </w:tcPr>
          <w:p w14:paraId="45EF6B2A" w14:textId="77777777" w:rsidR="00EA35F8" w:rsidRPr="00011752" w:rsidRDefault="00EA35F8" w:rsidP="008C15ED">
            <w:pPr>
              <w:pStyle w:val="TableHeading"/>
            </w:pPr>
            <w:r w:rsidRPr="00011752">
              <w:t>(Intercept)</w:t>
            </w:r>
          </w:p>
        </w:tc>
        <w:tc>
          <w:tcPr>
            <w:tcW w:w="1433" w:type="dxa"/>
            <w:tcBorders>
              <w:top w:val="single" w:sz="4" w:space="0" w:color="auto"/>
            </w:tcBorders>
          </w:tcPr>
          <w:p w14:paraId="0CEF1628" w14:textId="77777777" w:rsidR="00EA35F8" w:rsidRPr="00011752" w:rsidRDefault="00EA35F8" w:rsidP="008C15ED">
            <w:pPr>
              <w:pStyle w:val="TableText"/>
              <w:jc w:val="center"/>
            </w:pPr>
            <w:r w:rsidRPr="005E0418">
              <w:t>-3.29</w:t>
            </w:r>
          </w:p>
        </w:tc>
        <w:tc>
          <w:tcPr>
            <w:tcW w:w="1434" w:type="dxa"/>
            <w:tcBorders>
              <w:top w:val="single" w:sz="4" w:space="0" w:color="auto"/>
            </w:tcBorders>
          </w:tcPr>
          <w:p w14:paraId="4B31C596" w14:textId="77777777" w:rsidR="00EA35F8" w:rsidRPr="00011752" w:rsidRDefault="00EA35F8" w:rsidP="008C15ED">
            <w:pPr>
              <w:pStyle w:val="TableText"/>
              <w:jc w:val="center"/>
            </w:pPr>
            <w:r w:rsidRPr="005E0418">
              <w:t>1.17</w:t>
            </w:r>
          </w:p>
        </w:tc>
        <w:tc>
          <w:tcPr>
            <w:tcW w:w="1434" w:type="dxa"/>
            <w:tcBorders>
              <w:top w:val="single" w:sz="4" w:space="0" w:color="auto"/>
            </w:tcBorders>
          </w:tcPr>
          <w:p w14:paraId="4F75E927" w14:textId="77777777" w:rsidR="00EA35F8" w:rsidRPr="00011752" w:rsidRDefault="00EA35F8" w:rsidP="008C15ED">
            <w:pPr>
              <w:pStyle w:val="TableText"/>
              <w:jc w:val="center"/>
            </w:pPr>
            <w:r w:rsidRPr="005E0418">
              <w:t>0.005</w:t>
            </w:r>
          </w:p>
        </w:tc>
      </w:tr>
      <w:tr w:rsidR="00EA35F8" w:rsidRPr="00011752" w14:paraId="0D3D2F51" w14:textId="77777777" w:rsidTr="00432B07">
        <w:trPr>
          <w:jc w:val="center"/>
        </w:trPr>
        <w:tc>
          <w:tcPr>
            <w:tcW w:w="2916" w:type="dxa"/>
          </w:tcPr>
          <w:p w14:paraId="7F277608" w14:textId="77777777" w:rsidR="00EA35F8" w:rsidRPr="00011752" w:rsidRDefault="00EA35F8" w:rsidP="008C15ED">
            <w:pPr>
              <w:pStyle w:val="TableHeading"/>
            </w:pPr>
            <w:r>
              <w:t>M</w:t>
            </w:r>
            <w:r w:rsidRPr="00011752">
              <w:t>onth [</w:t>
            </w:r>
            <w:r>
              <w:t>Oct</w:t>
            </w:r>
            <w:r w:rsidRPr="00011752">
              <w:t>]</w:t>
            </w:r>
          </w:p>
        </w:tc>
        <w:tc>
          <w:tcPr>
            <w:tcW w:w="1433" w:type="dxa"/>
          </w:tcPr>
          <w:p w14:paraId="27E8189A" w14:textId="77777777" w:rsidR="00EA35F8" w:rsidRPr="00011752" w:rsidRDefault="00EA35F8" w:rsidP="008C15ED">
            <w:pPr>
              <w:pStyle w:val="TableText"/>
              <w:jc w:val="center"/>
            </w:pPr>
            <w:r w:rsidRPr="005E0418">
              <w:t>0.30</w:t>
            </w:r>
          </w:p>
        </w:tc>
        <w:tc>
          <w:tcPr>
            <w:tcW w:w="1434" w:type="dxa"/>
          </w:tcPr>
          <w:p w14:paraId="0E04A3FD" w14:textId="77777777" w:rsidR="00EA35F8" w:rsidRPr="00011752" w:rsidRDefault="00EA35F8" w:rsidP="008C15ED">
            <w:pPr>
              <w:pStyle w:val="TableText"/>
              <w:jc w:val="center"/>
            </w:pPr>
            <w:r w:rsidRPr="005E0418">
              <w:t>0.26</w:t>
            </w:r>
          </w:p>
        </w:tc>
        <w:tc>
          <w:tcPr>
            <w:tcW w:w="1434" w:type="dxa"/>
          </w:tcPr>
          <w:p w14:paraId="6313E4CB" w14:textId="77777777" w:rsidR="00EA35F8" w:rsidRPr="00011752" w:rsidRDefault="00EA35F8" w:rsidP="008C15ED">
            <w:pPr>
              <w:pStyle w:val="TableText"/>
              <w:jc w:val="center"/>
            </w:pPr>
            <w:r w:rsidRPr="005E0418">
              <w:t>0.247</w:t>
            </w:r>
          </w:p>
        </w:tc>
      </w:tr>
      <w:tr w:rsidR="00EA35F8" w:rsidRPr="00011752" w14:paraId="69C901A1" w14:textId="77777777" w:rsidTr="00432B07">
        <w:trPr>
          <w:jc w:val="center"/>
        </w:trPr>
        <w:tc>
          <w:tcPr>
            <w:tcW w:w="2916" w:type="dxa"/>
          </w:tcPr>
          <w:p w14:paraId="7F4CFBA8" w14:textId="77777777" w:rsidR="00EA35F8" w:rsidRPr="00011752" w:rsidRDefault="00EA35F8" w:rsidP="008C15ED">
            <w:pPr>
              <w:pStyle w:val="TableHeading"/>
            </w:pPr>
            <w:r>
              <w:t>M</w:t>
            </w:r>
            <w:r w:rsidRPr="00011752">
              <w:t>onth [</w:t>
            </w:r>
            <w:r>
              <w:t>Nov</w:t>
            </w:r>
            <w:r w:rsidRPr="00011752">
              <w:t>]</w:t>
            </w:r>
          </w:p>
        </w:tc>
        <w:tc>
          <w:tcPr>
            <w:tcW w:w="1433" w:type="dxa"/>
          </w:tcPr>
          <w:p w14:paraId="475F55F1" w14:textId="77777777" w:rsidR="00EA35F8" w:rsidRPr="00011752" w:rsidRDefault="00EA35F8" w:rsidP="008C15ED">
            <w:pPr>
              <w:pStyle w:val="TableText"/>
              <w:jc w:val="center"/>
            </w:pPr>
            <w:r w:rsidRPr="005E0418">
              <w:t>0.71</w:t>
            </w:r>
          </w:p>
        </w:tc>
        <w:tc>
          <w:tcPr>
            <w:tcW w:w="1434" w:type="dxa"/>
          </w:tcPr>
          <w:p w14:paraId="2F70C669" w14:textId="77777777" w:rsidR="00EA35F8" w:rsidRPr="00011752" w:rsidRDefault="00EA35F8" w:rsidP="008C15ED">
            <w:pPr>
              <w:pStyle w:val="TableText"/>
              <w:jc w:val="center"/>
            </w:pPr>
            <w:r w:rsidRPr="005E0418">
              <w:t>0.31</w:t>
            </w:r>
          </w:p>
        </w:tc>
        <w:tc>
          <w:tcPr>
            <w:tcW w:w="1434" w:type="dxa"/>
          </w:tcPr>
          <w:p w14:paraId="1478650B" w14:textId="77777777" w:rsidR="00EA35F8" w:rsidRPr="00011752" w:rsidRDefault="00EA35F8" w:rsidP="008C15ED">
            <w:pPr>
              <w:pStyle w:val="TableText"/>
              <w:jc w:val="center"/>
            </w:pPr>
            <w:r w:rsidRPr="005E0418">
              <w:t>0.022</w:t>
            </w:r>
          </w:p>
        </w:tc>
      </w:tr>
      <w:tr w:rsidR="00EA35F8" w:rsidRPr="00011752" w14:paraId="6846AC10" w14:textId="77777777" w:rsidTr="00432B07">
        <w:trPr>
          <w:jc w:val="center"/>
        </w:trPr>
        <w:tc>
          <w:tcPr>
            <w:tcW w:w="2916" w:type="dxa"/>
          </w:tcPr>
          <w:p w14:paraId="5F5064E3" w14:textId="77777777" w:rsidR="00EA35F8" w:rsidRPr="00011752" w:rsidRDefault="00EA35F8" w:rsidP="008C15ED">
            <w:pPr>
              <w:pStyle w:val="TableHeading"/>
            </w:pPr>
            <w:r>
              <w:t>M</w:t>
            </w:r>
            <w:r w:rsidRPr="00011752">
              <w:t>onth [</w:t>
            </w:r>
            <w:r>
              <w:t>Dec</w:t>
            </w:r>
            <w:r w:rsidRPr="00011752">
              <w:t>]</w:t>
            </w:r>
          </w:p>
        </w:tc>
        <w:tc>
          <w:tcPr>
            <w:tcW w:w="1433" w:type="dxa"/>
          </w:tcPr>
          <w:p w14:paraId="2A3B4BC8" w14:textId="77777777" w:rsidR="00EA35F8" w:rsidRPr="00011752" w:rsidRDefault="00EA35F8" w:rsidP="008C15ED">
            <w:pPr>
              <w:pStyle w:val="TableText"/>
              <w:jc w:val="center"/>
            </w:pPr>
            <w:r w:rsidRPr="005E0418">
              <w:t>0.72</w:t>
            </w:r>
          </w:p>
        </w:tc>
        <w:tc>
          <w:tcPr>
            <w:tcW w:w="1434" w:type="dxa"/>
          </w:tcPr>
          <w:p w14:paraId="3FD7000A" w14:textId="77777777" w:rsidR="00EA35F8" w:rsidRPr="00011752" w:rsidRDefault="00EA35F8" w:rsidP="008C15ED">
            <w:pPr>
              <w:pStyle w:val="TableText"/>
              <w:jc w:val="center"/>
            </w:pPr>
            <w:r w:rsidRPr="005E0418">
              <w:t>0.34</w:t>
            </w:r>
          </w:p>
        </w:tc>
        <w:tc>
          <w:tcPr>
            <w:tcW w:w="1434" w:type="dxa"/>
          </w:tcPr>
          <w:p w14:paraId="362944F1" w14:textId="77777777" w:rsidR="00EA35F8" w:rsidRPr="00011752" w:rsidRDefault="00EA35F8" w:rsidP="008C15ED">
            <w:pPr>
              <w:pStyle w:val="TableText"/>
              <w:jc w:val="center"/>
            </w:pPr>
            <w:r w:rsidRPr="005E0418">
              <w:t>0.035</w:t>
            </w:r>
          </w:p>
        </w:tc>
      </w:tr>
      <w:tr w:rsidR="00EA35F8" w:rsidRPr="00011752" w14:paraId="16C33E86" w14:textId="77777777" w:rsidTr="00432B07">
        <w:trPr>
          <w:jc w:val="center"/>
        </w:trPr>
        <w:tc>
          <w:tcPr>
            <w:tcW w:w="2916" w:type="dxa"/>
          </w:tcPr>
          <w:p w14:paraId="7A43CBD5" w14:textId="77777777" w:rsidR="00EA35F8" w:rsidRPr="00011752" w:rsidRDefault="00EA35F8" w:rsidP="008C15ED">
            <w:pPr>
              <w:pStyle w:val="TableHeading"/>
            </w:pPr>
            <w:r>
              <w:t>M</w:t>
            </w:r>
            <w:r w:rsidRPr="00011752">
              <w:t>onth [</w:t>
            </w:r>
            <w:r>
              <w:t>Jan</w:t>
            </w:r>
            <w:r w:rsidRPr="00011752">
              <w:t>]</w:t>
            </w:r>
          </w:p>
        </w:tc>
        <w:tc>
          <w:tcPr>
            <w:tcW w:w="1433" w:type="dxa"/>
          </w:tcPr>
          <w:p w14:paraId="15EFAB69" w14:textId="77777777" w:rsidR="00EA35F8" w:rsidRPr="00011752" w:rsidRDefault="00EA35F8" w:rsidP="008C15ED">
            <w:pPr>
              <w:pStyle w:val="TableText"/>
              <w:jc w:val="center"/>
            </w:pPr>
            <w:r w:rsidRPr="005E0418">
              <w:t>1.17</w:t>
            </w:r>
          </w:p>
        </w:tc>
        <w:tc>
          <w:tcPr>
            <w:tcW w:w="1434" w:type="dxa"/>
          </w:tcPr>
          <w:p w14:paraId="268F8688" w14:textId="77777777" w:rsidR="00EA35F8" w:rsidRPr="00011752" w:rsidRDefault="00EA35F8" w:rsidP="008C15ED">
            <w:pPr>
              <w:pStyle w:val="TableText"/>
              <w:jc w:val="center"/>
            </w:pPr>
            <w:r w:rsidRPr="005E0418">
              <w:t>0.39</w:t>
            </w:r>
          </w:p>
        </w:tc>
        <w:tc>
          <w:tcPr>
            <w:tcW w:w="1434" w:type="dxa"/>
          </w:tcPr>
          <w:p w14:paraId="6B28C966" w14:textId="77777777" w:rsidR="00EA35F8" w:rsidRPr="00011752" w:rsidRDefault="00EA35F8" w:rsidP="008C15ED">
            <w:pPr>
              <w:pStyle w:val="TableText"/>
              <w:jc w:val="center"/>
            </w:pPr>
            <w:r w:rsidRPr="005E0418">
              <w:t>0.003</w:t>
            </w:r>
          </w:p>
        </w:tc>
      </w:tr>
      <w:tr w:rsidR="00EA35F8" w:rsidRPr="00011752" w14:paraId="733DD51F" w14:textId="77777777" w:rsidTr="00432B07">
        <w:trPr>
          <w:jc w:val="center"/>
        </w:trPr>
        <w:tc>
          <w:tcPr>
            <w:tcW w:w="2916" w:type="dxa"/>
          </w:tcPr>
          <w:p w14:paraId="5B4266E1" w14:textId="77777777" w:rsidR="00EA35F8" w:rsidRPr="00011752" w:rsidRDefault="00EA35F8" w:rsidP="008C15ED">
            <w:pPr>
              <w:pStyle w:val="TableHeading"/>
            </w:pPr>
            <w:r>
              <w:t>mean daily flow (ML/d)</w:t>
            </w:r>
          </w:p>
        </w:tc>
        <w:tc>
          <w:tcPr>
            <w:tcW w:w="1433" w:type="dxa"/>
          </w:tcPr>
          <w:p w14:paraId="1D71BB87" w14:textId="77777777" w:rsidR="00EA35F8" w:rsidRPr="00011752" w:rsidRDefault="00EA35F8" w:rsidP="008C15ED">
            <w:pPr>
              <w:pStyle w:val="TableText"/>
              <w:jc w:val="center"/>
            </w:pPr>
            <w:r w:rsidRPr="00F06BC7">
              <w:t>0.61</w:t>
            </w:r>
          </w:p>
        </w:tc>
        <w:tc>
          <w:tcPr>
            <w:tcW w:w="1434" w:type="dxa"/>
          </w:tcPr>
          <w:p w14:paraId="2F33F233" w14:textId="77777777" w:rsidR="00EA35F8" w:rsidRPr="00011752" w:rsidRDefault="00EA35F8" w:rsidP="008C15ED">
            <w:pPr>
              <w:pStyle w:val="TableText"/>
              <w:jc w:val="center"/>
            </w:pPr>
            <w:r w:rsidRPr="00F06BC7">
              <w:t>0.11</w:t>
            </w:r>
          </w:p>
        </w:tc>
        <w:tc>
          <w:tcPr>
            <w:tcW w:w="1434" w:type="dxa"/>
          </w:tcPr>
          <w:p w14:paraId="76DF654B" w14:textId="77777777" w:rsidR="00EA35F8" w:rsidRPr="00011752" w:rsidRDefault="00EA35F8" w:rsidP="008C15ED">
            <w:pPr>
              <w:pStyle w:val="TableText"/>
              <w:jc w:val="center"/>
            </w:pPr>
            <w:r w:rsidRPr="00F06BC7">
              <w:t>&lt;0.001</w:t>
            </w:r>
          </w:p>
        </w:tc>
      </w:tr>
      <w:tr w:rsidR="00EA35F8" w:rsidRPr="00011752" w14:paraId="40E0FABD" w14:textId="77777777" w:rsidTr="00432B07">
        <w:trPr>
          <w:jc w:val="center"/>
        </w:trPr>
        <w:tc>
          <w:tcPr>
            <w:tcW w:w="2916" w:type="dxa"/>
          </w:tcPr>
          <w:p w14:paraId="2625EF3D" w14:textId="77777777" w:rsidR="00EA35F8" w:rsidRPr="00011752" w:rsidRDefault="00EA35F8" w:rsidP="008C15ED">
            <w:pPr>
              <w:pStyle w:val="TableHeading"/>
            </w:pPr>
            <w:r>
              <w:t>electrical conductivity (EC)</w:t>
            </w:r>
          </w:p>
        </w:tc>
        <w:tc>
          <w:tcPr>
            <w:tcW w:w="1433" w:type="dxa"/>
          </w:tcPr>
          <w:p w14:paraId="1857BD12" w14:textId="77777777" w:rsidR="00EA35F8" w:rsidRPr="00011752" w:rsidRDefault="00EA35F8" w:rsidP="008C15ED">
            <w:pPr>
              <w:pStyle w:val="TableText"/>
              <w:jc w:val="center"/>
            </w:pPr>
            <w:r w:rsidRPr="009B062B">
              <w:t>3.3e-03</w:t>
            </w:r>
          </w:p>
        </w:tc>
        <w:tc>
          <w:tcPr>
            <w:tcW w:w="1434" w:type="dxa"/>
          </w:tcPr>
          <w:p w14:paraId="78FD2112" w14:textId="77777777" w:rsidR="00EA35F8" w:rsidRPr="00011752" w:rsidRDefault="00EA35F8" w:rsidP="008C15ED">
            <w:pPr>
              <w:pStyle w:val="TableText"/>
              <w:jc w:val="center"/>
            </w:pPr>
            <w:r w:rsidRPr="009B062B">
              <w:t>2.8e-03</w:t>
            </w:r>
          </w:p>
        </w:tc>
        <w:tc>
          <w:tcPr>
            <w:tcW w:w="1434" w:type="dxa"/>
          </w:tcPr>
          <w:p w14:paraId="21EA9EF6" w14:textId="77777777" w:rsidR="00EA35F8" w:rsidRPr="00011752" w:rsidRDefault="00EA35F8" w:rsidP="008C15ED">
            <w:pPr>
              <w:pStyle w:val="TableText"/>
              <w:jc w:val="center"/>
            </w:pPr>
            <w:r w:rsidRPr="009B062B">
              <w:t>0.228</w:t>
            </w:r>
          </w:p>
        </w:tc>
      </w:tr>
      <w:tr w:rsidR="00EA35F8" w:rsidRPr="00011752" w14:paraId="767CB21B" w14:textId="77777777" w:rsidTr="00432B07">
        <w:trPr>
          <w:jc w:val="center"/>
        </w:trPr>
        <w:tc>
          <w:tcPr>
            <w:tcW w:w="2916" w:type="dxa"/>
          </w:tcPr>
          <w:p w14:paraId="1200076B" w14:textId="77777777" w:rsidR="00EA35F8" w:rsidRDefault="00EA35F8" w:rsidP="008C15ED">
            <w:pPr>
              <w:pStyle w:val="TableHeading"/>
            </w:pPr>
            <w:r>
              <w:t>temperature</w:t>
            </w:r>
          </w:p>
        </w:tc>
        <w:tc>
          <w:tcPr>
            <w:tcW w:w="1433" w:type="dxa"/>
          </w:tcPr>
          <w:p w14:paraId="262956C9" w14:textId="77777777" w:rsidR="00EA35F8" w:rsidRPr="009B062B" w:rsidRDefault="00EA35F8" w:rsidP="008C15ED">
            <w:pPr>
              <w:pStyle w:val="TableText"/>
              <w:jc w:val="center"/>
            </w:pPr>
            <w:r w:rsidRPr="00B1507D">
              <w:t>0.15</w:t>
            </w:r>
          </w:p>
        </w:tc>
        <w:tc>
          <w:tcPr>
            <w:tcW w:w="1434" w:type="dxa"/>
          </w:tcPr>
          <w:p w14:paraId="1AF3185E" w14:textId="77777777" w:rsidR="00EA35F8" w:rsidRPr="009B062B" w:rsidRDefault="00EA35F8" w:rsidP="008C15ED">
            <w:pPr>
              <w:pStyle w:val="TableText"/>
              <w:jc w:val="center"/>
            </w:pPr>
            <w:r w:rsidRPr="00B1507D">
              <w:t>0.03</w:t>
            </w:r>
          </w:p>
        </w:tc>
        <w:tc>
          <w:tcPr>
            <w:tcW w:w="1434" w:type="dxa"/>
          </w:tcPr>
          <w:p w14:paraId="7AFA7C3A" w14:textId="77777777" w:rsidR="00EA35F8" w:rsidRPr="009B062B" w:rsidRDefault="00EA35F8" w:rsidP="008C15ED">
            <w:pPr>
              <w:pStyle w:val="TableText"/>
              <w:jc w:val="center"/>
            </w:pPr>
            <w:r w:rsidRPr="00B1507D">
              <w:t>&lt;0.001</w:t>
            </w:r>
          </w:p>
        </w:tc>
      </w:tr>
      <w:tr w:rsidR="00EA35F8" w:rsidRPr="00011752" w14:paraId="0273A4B2" w14:textId="77777777" w:rsidTr="00432B07">
        <w:trPr>
          <w:jc w:val="center"/>
        </w:trPr>
        <w:tc>
          <w:tcPr>
            <w:tcW w:w="2916" w:type="dxa"/>
          </w:tcPr>
          <w:p w14:paraId="28C9AB86" w14:textId="77777777" w:rsidR="00EA35F8" w:rsidRPr="00011752" w:rsidRDefault="00EA35F8" w:rsidP="008C15ED">
            <w:pPr>
              <w:pStyle w:val="TableHeading"/>
            </w:pPr>
            <w:r>
              <w:t>water year</w:t>
            </w:r>
            <w:r w:rsidRPr="00011752">
              <w:t xml:space="preserve"> [</w:t>
            </w:r>
            <w:r>
              <w:t>2015</w:t>
            </w:r>
            <w:r w:rsidRPr="00011752">
              <w:t>]</w:t>
            </w:r>
          </w:p>
        </w:tc>
        <w:tc>
          <w:tcPr>
            <w:tcW w:w="1433" w:type="dxa"/>
          </w:tcPr>
          <w:p w14:paraId="5BC5F4F1" w14:textId="77777777" w:rsidR="00EA35F8" w:rsidRPr="00011752" w:rsidRDefault="00EA35F8" w:rsidP="008C15ED">
            <w:pPr>
              <w:pStyle w:val="TableText"/>
              <w:jc w:val="center"/>
            </w:pPr>
            <w:r w:rsidRPr="00082B96">
              <w:t>0.14</w:t>
            </w:r>
          </w:p>
        </w:tc>
        <w:tc>
          <w:tcPr>
            <w:tcW w:w="1434" w:type="dxa"/>
          </w:tcPr>
          <w:p w14:paraId="5452A368" w14:textId="77777777" w:rsidR="00EA35F8" w:rsidRPr="00011752" w:rsidRDefault="00EA35F8" w:rsidP="008C15ED">
            <w:pPr>
              <w:pStyle w:val="TableText"/>
              <w:jc w:val="center"/>
            </w:pPr>
            <w:r w:rsidRPr="00082B96">
              <w:t>0.12</w:t>
            </w:r>
          </w:p>
        </w:tc>
        <w:tc>
          <w:tcPr>
            <w:tcW w:w="1434" w:type="dxa"/>
          </w:tcPr>
          <w:p w14:paraId="0153AF2B" w14:textId="77777777" w:rsidR="00EA35F8" w:rsidRPr="00011752" w:rsidRDefault="00EA35F8" w:rsidP="008C15ED">
            <w:pPr>
              <w:pStyle w:val="TableText"/>
              <w:jc w:val="center"/>
            </w:pPr>
            <w:r w:rsidRPr="00082B96">
              <w:t>0.246</w:t>
            </w:r>
          </w:p>
        </w:tc>
      </w:tr>
      <w:tr w:rsidR="00EA35F8" w:rsidRPr="00011752" w14:paraId="540A9A02" w14:textId="77777777" w:rsidTr="00432B07">
        <w:trPr>
          <w:jc w:val="center"/>
        </w:trPr>
        <w:tc>
          <w:tcPr>
            <w:tcW w:w="2916" w:type="dxa"/>
          </w:tcPr>
          <w:p w14:paraId="2981EA41" w14:textId="77777777" w:rsidR="00EA35F8" w:rsidRPr="00011752" w:rsidRDefault="00EA35F8" w:rsidP="008C15ED">
            <w:pPr>
              <w:pStyle w:val="TableHeading"/>
            </w:pPr>
            <w:r>
              <w:t>water year</w:t>
            </w:r>
            <w:r w:rsidRPr="00011752">
              <w:t xml:space="preserve"> [</w:t>
            </w:r>
            <w:r>
              <w:t>2016</w:t>
            </w:r>
            <w:r w:rsidRPr="00011752">
              <w:t>]</w:t>
            </w:r>
          </w:p>
        </w:tc>
        <w:tc>
          <w:tcPr>
            <w:tcW w:w="1433" w:type="dxa"/>
          </w:tcPr>
          <w:p w14:paraId="78047751" w14:textId="77777777" w:rsidR="00EA35F8" w:rsidRPr="00011752" w:rsidRDefault="00EA35F8" w:rsidP="008C15ED">
            <w:pPr>
              <w:pStyle w:val="TableText"/>
              <w:jc w:val="center"/>
            </w:pPr>
            <w:r w:rsidRPr="00082B96">
              <w:t>-0.59</w:t>
            </w:r>
          </w:p>
        </w:tc>
        <w:tc>
          <w:tcPr>
            <w:tcW w:w="1434" w:type="dxa"/>
          </w:tcPr>
          <w:p w14:paraId="5E625CB7" w14:textId="77777777" w:rsidR="00EA35F8" w:rsidRPr="00011752" w:rsidRDefault="00EA35F8" w:rsidP="008C15ED">
            <w:pPr>
              <w:pStyle w:val="TableText"/>
              <w:jc w:val="center"/>
            </w:pPr>
            <w:r w:rsidRPr="00082B96">
              <w:t>0.23</w:t>
            </w:r>
          </w:p>
        </w:tc>
        <w:tc>
          <w:tcPr>
            <w:tcW w:w="1434" w:type="dxa"/>
          </w:tcPr>
          <w:p w14:paraId="7E8BCB7E" w14:textId="77777777" w:rsidR="00EA35F8" w:rsidRPr="00011752" w:rsidRDefault="00EA35F8" w:rsidP="008C15ED">
            <w:pPr>
              <w:pStyle w:val="TableText"/>
              <w:jc w:val="center"/>
            </w:pPr>
            <w:r w:rsidRPr="00082B96">
              <w:t>0.010</w:t>
            </w:r>
          </w:p>
        </w:tc>
      </w:tr>
      <w:tr w:rsidR="00EA35F8" w:rsidRPr="00011752" w14:paraId="1D71F4E4" w14:textId="77777777" w:rsidTr="00432B07">
        <w:trPr>
          <w:jc w:val="center"/>
        </w:trPr>
        <w:tc>
          <w:tcPr>
            <w:tcW w:w="2916" w:type="dxa"/>
          </w:tcPr>
          <w:p w14:paraId="35C314AC" w14:textId="77777777" w:rsidR="00EA35F8" w:rsidRPr="00011752" w:rsidRDefault="00EA35F8" w:rsidP="008C15ED">
            <w:pPr>
              <w:pStyle w:val="TableHeading"/>
            </w:pPr>
            <w:r>
              <w:t>water year</w:t>
            </w:r>
            <w:r w:rsidRPr="00011752">
              <w:t xml:space="preserve"> [</w:t>
            </w:r>
            <w:r>
              <w:t>2017</w:t>
            </w:r>
            <w:r w:rsidRPr="00011752">
              <w:t>]</w:t>
            </w:r>
          </w:p>
        </w:tc>
        <w:tc>
          <w:tcPr>
            <w:tcW w:w="1433" w:type="dxa"/>
          </w:tcPr>
          <w:p w14:paraId="17FCCB13" w14:textId="77777777" w:rsidR="00EA35F8" w:rsidRPr="00011752" w:rsidRDefault="00EA35F8" w:rsidP="008C15ED">
            <w:pPr>
              <w:pStyle w:val="TableText"/>
              <w:jc w:val="center"/>
            </w:pPr>
            <w:r w:rsidRPr="00082B96">
              <w:t>-0.11</w:t>
            </w:r>
          </w:p>
        </w:tc>
        <w:tc>
          <w:tcPr>
            <w:tcW w:w="1434" w:type="dxa"/>
          </w:tcPr>
          <w:p w14:paraId="58076168" w14:textId="77777777" w:rsidR="00EA35F8" w:rsidRPr="00011752" w:rsidRDefault="00EA35F8" w:rsidP="008C15ED">
            <w:pPr>
              <w:pStyle w:val="TableText"/>
              <w:jc w:val="center"/>
            </w:pPr>
            <w:r w:rsidRPr="00082B96">
              <w:t>0.14</w:t>
            </w:r>
          </w:p>
        </w:tc>
        <w:tc>
          <w:tcPr>
            <w:tcW w:w="1434" w:type="dxa"/>
          </w:tcPr>
          <w:p w14:paraId="2E30B3E4" w14:textId="77777777" w:rsidR="00EA35F8" w:rsidRPr="00011752" w:rsidRDefault="00EA35F8" w:rsidP="008C15ED">
            <w:pPr>
              <w:pStyle w:val="TableText"/>
              <w:jc w:val="center"/>
            </w:pPr>
            <w:r w:rsidRPr="00082B96">
              <w:t>0.452</w:t>
            </w:r>
          </w:p>
        </w:tc>
      </w:tr>
      <w:tr w:rsidR="00EA35F8" w:rsidRPr="00011752" w14:paraId="404CE2C1" w14:textId="77777777" w:rsidTr="00432B07">
        <w:trPr>
          <w:jc w:val="center"/>
        </w:trPr>
        <w:tc>
          <w:tcPr>
            <w:tcW w:w="2916" w:type="dxa"/>
          </w:tcPr>
          <w:p w14:paraId="37CC981C" w14:textId="77777777" w:rsidR="00EA35F8" w:rsidRPr="00011752" w:rsidRDefault="00EA35F8" w:rsidP="008C15ED">
            <w:pPr>
              <w:pStyle w:val="TableHeading"/>
            </w:pPr>
            <w:r>
              <w:t>water year</w:t>
            </w:r>
            <w:r w:rsidRPr="00011752">
              <w:t xml:space="preserve"> [</w:t>
            </w:r>
            <w:r>
              <w:t>2019</w:t>
            </w:r>
            <w:r w:rsidRPr="00011752">
              <w:t>]</w:t>
            </w:r>
          </w:p>
        </w:tc>
        <w:tc>
          <w:tcPr>
            <w:tcW w:w="1433" w:type="dxa"/>
          </w:tcPr>
          <w:p w14:paraId="3EF43660" w14:textId="77777777" w:rsidR="00EA35F8" w:rsidRPr="00011752" w:rsidRDefault="00EA35F8" w:rsidP="008C15ED">
            <w:pPr>
              <w:pStyle w:val="TableText"/>
              <w:jc w:val="center"/>
            </w:pPr>
            <w:r w:rsidRPr="00082B96">
              <w:t>0.65</w:t>
            </w:r>
          </w:p>
        </w:tc>
        <w:tc>
          <w:tcPr>
            <w:tcW w:w="1434" w:type="dxa"/>
          </w:tcPr>
          <w:p w14:paraId="39D6D04D" w14:textId="77777777" w:rsidR="00EA35F8" w:rsidRPr="00011752" w:rsidRDefault="00EA35F8" w:rsidP="008C15ED">
            <w:pPr>
              <w:pStyle w:val="TableText"/>
              <w:jc w:val="center"/>
            </w:pPr>
            <w:r w:rsidRPr="00082B96">
              <w:t>0.20</w:t>
            </w:r>
          </w:p>
        </w:tc>
        <w:tc>
          <w:tcPr>
            <w:tcW w:w="1434" w:type="dxa"/>
          </w:tcPr>
          <w:p w14:paraId="0101E222" w14:textId="77777777" w:rsidR="00EA35F8" w:rsidRPr="00011752" w:rsidRDefault="00EA35F8" w:rsidP="008C15ED">
            <w:pPr>
              <w:pStyle w:val="TableText"/>
              <w:jc w:val="center"/>
            </w:pPr>
            <w:r w:rsidRPr="00082B96">
              <w:t>0.001</w:t>
            </w:r>
          </w:p>
        </w:tc>
      </w:tr>
      <w:tr w:rsidR="00EA35F8" w:rsidRPr="00011752" w14:paraId="47A7A221" w14:textId="77777777" w:rsidTr="00432B07">
        <w:trPr>
          <w:jc w:val="center"/>
        </w:trPr>
        <w:tc>
          <w:tcPr>
            <w:tcW w:w="2916" w:type="dxa"/>
          </w:tcPr>
          <w:p w14:paraId="60A3ECFD" w14:textId="77777777" w:rsidR="00EA35F8" w:rsidRPr="00011752" w:rsidRDefault="00EA35F8" w:rsidP="008C15ED">
            <w:pPr>
              <w:pStyle w:val="TableHeading"/>
            </w:pPr>
            <w:r>
              <w:t>10-day flow trend (dQ10)</w:t>
            </w:r>
          </w:p>
        </w:tc>
        <w:tc>
          <w:tcPr>
            <w:tcW w:w="1433" w:type="dxa"/>
          </w:tcPr>
          <w:p w14:paraId="0BC79A47" w14:textId="77777777" w:rsidR="00EA35F8" w:rsidRPr="00011752" w:rsidRDefault="00EA35F8" w:rsidP="008C15ED">
            <w:pPr>
              <w:pStyle w:val="TableText"/>
              <w:jc w:val="center"/>
            </w:pPr>
            <w:r w:rsidRPr="00532C36">
              <w:t>4.20</w:t>
            </w:r>
          </w:p>
        </w:tc>
        <w:tc>
          <w:tcPr>
            <w:tcW w:w="1434" w:type="dxa"/>
          </w:tcPr>
          <w:p w14:paraId="03764CA5" w14:textId="77777777" w:rsidR="00EA35F8" w:rsidRPr="00011752" w:rsidRDefault="00EA35F8" w:rsidP="008C15ED">
            <w:pPr>
              <w:pStyle w:val="TableText"/>
              <w:jc w:val="center"/>
            </w:pPr>
            <w:r w:rsidRPr="00532C36">
              <w:t>1.38</w:t>
            </w:r>
          </w:p>
        </w:tc>
        <w:tc>
          <w:tcPr>
            <w:tcW w:w="1434" w:type="dxa"/>
          </w:tcPr>
          <w:p w14:paraId="6C6707EB" w14:textId="77777777" w:rsidR="00EA35F8" w:rsidRPr="00011752" w:rsidRDefault="00EA35F8" w:rsidP="008C15ED">
            <w:pPr>
              <w:pStyle w:val="TableText"/>
              <w:jc w:val="center"/>
            </w:pPr>
            <w:r w:rsidRPr="00532C36">
              <w:t>0.002</w:t>
            </w:r>
          </w:p>
        </w:tc>
      </w:tr>
      <w:tr w:rsidR="00EA35F8" w:rsidRPr="00011752" w14:paraId="11C66F38" w14:textId="77777777" w:rsidTr="00432B07">
        <w:trPr>
          <w:jc w:val="center"/>
        </w:trPr>
        <w:tc>
          <w:tcPr>
            <w:tcW w:w="2916" w:type="dxa"/>
          </w:tcPr>
          <w:p w14:paraId="0503AB3A" w14:textId="77777777" w:rsidR="00EA35F8" w:rsidRPr="00011752" w:rsidRDefault="00EA35F8" w:rsidP="008C15ED">
            <w:pPr>
              <w:pStyle w:val="TableHeading"/>
            </w:pPr>
            <w:r>
              <w:t>FPA60</w:t>
            </w:r>
          </w:p>
        </w:tc>
        <w:tc>
          <w:tcPr>
            <w:tcW w:w="1433" w:type="dxa"/>
          </w:tcPr>
          <w:p w14:paraId="78CC7E5F" w14:textId="77777777" w:rsidR="00EA35F8" w:rsidRPr="00011752" w:rsidRDefault="00EA35F8" w:rsidP="008C15ED">
            <w:pPr>
              <w:pStyle w:val="TableText"/>
              <w:jc w:val="center"/>
            </w:pPr>
            <w:r>
              <w:t>5</w:t>
            </w:r>
            <w:r w:rsidRPr="00F65A30">
              <w:t>.</w:t>
            </w:r>
            <w:r>
              <w:t>9e-04</w:t>
            </w:r>
          </w:p>
        </w:tc>
        <w:tc>
          <w:tcPr>
            <w:tcW w:w="1434" w:type="dxa"/>
          </w:tcPr>
          <w:p w14:paraId="58190C74" w14:textId="77777777" w:rsidR="00EA35F8" w:rsidRPr="00011752" w:rsidRDefault="00EA35F8" w:rsidP="008C15ED">
            <w:pPr>
              <w:pStyle w:val="TableText"/>
              <w:jc w:val="center"/>
            </w:pPr>
            <w:r>
              <w:t>1.7e-04</w:t>
            </w:r>
          </w:p>
        </w:tc>
        <w:tc>
          <w:tcPr>
            <w:tcW w:w="1434" w:type="dxa"/>
          </w:tcPr>
          <w:p w14:paraId="53FFA76A" w14:textId="77777777" w:rsidR="00EA35F8" w:rsidRPr="00011752" w:rsidRDefault="00EA35F8" w:rsidP="008C15ED">
            <w:pPr>
              <w:pStyle w:val="TableText"/>
              <w:jc w:val="center"/>
            </w:pPr>
            <w:r w:rsidRPr="00F65A30">
              <w:t>0.001</w:t>
            </w:r>
          </w:p>
        </w:tc>
      </w:tr>
      <w:tr w:rsidR="00EA35F8" w:rsidRPr="00011752" w14:paraId="0F5E6F94" w14:textId="77777777" w:rsidTr="00432B07">
        <w:trPr>
          <w:jc w:val="center"/>
        </w:trPr>
        <w:tc>
          <w:tcPr>
            <w:tcW w:w="2916" w:type="dxa"/>
          </w:tcPr>
          <w:p w14:paraId="04A5656E" w14:textId="77777777" w:rsidR="00EA35F8" w:rsidRPr="00011752" w:rsidRDefault="00EA35F8" w:rsidP="008C15ED">
            <w:pPr>
              <w:pStyle w:val="TableHeading"/>
            </w:pPr>
            <w:proofErr w:type="gramStart"/>
            <w:r w:rsidRPr="00F65A30">
              <w:t>temp</w:t>
            </w:r>
            <w:r>
              <w:t>erature:dQ</w:t>
            </w:r>
            <w:proofErr w:type="gramEnd"/>
            <w:r>
              <w:t>10</w:t>
            </w:r>
          </w:p>
        </w:tc>
        <w:tc>
          <w:tcPr>
            <w:tcW w:w="1433" w:type="dxa"/>
          </w:tcPr>
          <w:p w14:paraId="5830D545" w14:textId="77777777" w:rsidR="00EA35F8" w:rsidRPr="00011752" w:rsidRDefault="00EA35F8" w:rsidP="008C15ED">
            <w:pPr>
              <w:pStyle w:val="TableText"/>
              <w:jc w:val="center"/>
            </w:pPr>
            <w:r w:rsidRPr="00F65A30">
              <w:t>-0.12</w:t>
            </w:r>
          </w:p>
        </w:tc>
        <w:tc>
          <w:tcPr>
            <w:tcW w:w="1434" w:type="dxa"/>
          </w:tcPr>
          <w:p w14:paraId="6472ADA1" w14:textId="77777777" w:rsidR="00EA35F8" w:rsidRPr="00011752" w:rsidRDefault="00EA35F8" w:rsidP="008C15ED">
            <w:pPr>
              <w:pStyle w:val="TableText"/>
              <w:jc w:val="center"/>
            </w:pPr>
            <w:r w:rsidRPr="00F65A30">
              <w:t>0.05</w:t>
            </w:r>
          </w:p>
        </w:tc>
        <w:tc>
          <w:tcPr>
            <w:tcW w:w="1434" w:type="dxa"/>
          </w:tcPr>
          <w:p w14:paraId="1E7BD31B" w14:textId="77777777" w:rsidR="00EA35F8" w:rsidRPr="00011752" w:rsidRDefault="00EA35F8" w:rsidP="008C15ED">
            <w:pPr>
              <w:pStyle w:val="TableText"/>
              <w:jc w:val="center"/>
            </w:pPr>
            <w:r w:rsidRPr="00F65A30">
              <w:t>0.015</w:t>
            </w:r>
          </w:p>
        </w:tc>
      </w:tr>
      <w:tr w:rsidR="00EA35F8" w:rsidRPr="00011752" w14:paraId="0B04AAFD" w14:textId="77777777" w:rsidTr="00432B07">
        <w:trPr>
          <w:jc w:val="center"/>
        </w:trPr>
        <w:tc>
          <w:tcPr>
            <w:tcW w:w="2916" w:type="dxa"/>
          </w:tcPr>
          <w:p w14:paraId="34EB4028" w14:textId="77777777" w:rsidR="00EA35F8" w:rsidRPr="00011752" w:rsidRDefault="00EA35F8" w:rsidP="008C15ED">
            <w:pPr>
              <w:pStyle w:val="TableHeading"/>
            </w:pPr>
            <w:proofErr w:type="gramStart"/>
            <w:r>
              <w:t>EC:dQ</w:t>
            </w:r>
            <w:proofErr w:type="gramEnd"/>
            <w:r>
              <w:t>10</w:t>
            </w:r>
          </w:p>
        </w:tc>
        <w:tc>
          <w:tcPr>
            <w:tcW w:w="1433" w:type="dxa"/>
          </w:tcPr>
          <w:p w14:paraId="40090BA2" w14:textId="77777777" w:rsidR="00EA35F8" w:rsidRPr="00011752" w:rsidRDefault="00EA35F8" w:rsidP="008C15ED">
            <w:pPr>
              <w:pStyle w:val="TableText"/>
              <w:jc w:val="center"/>
            </w:pPr>
            <w:r w:rsidRPr="00F65A30">
              <w:t>-0.01</w:t>
            </w:r>
          </w:p>
        </w:tc>
        <w:tc>
          <w:tcPr>
            <w:tcW w:w="1434" w:type="dxa"/>
          </w:tcPr>
          <w:p w14:paraId="36101C2B" w14:textId="77777777" w:rsidR="00EA35F8" w:rsidRPr="00011752" w:rsidRDefault="00EA35F8" w:rsidP="008C15ED">
            <w:pPr>
              <w:pStyle w:val="TableText"/>
              <w:jc w:val="center"/>
            </w:pPr>
            <w:r w:rsidRPr="009B062B">
              <w:t>2.8e-03</w:t>
            </w:r>
          </w:p>
        </w:tc>
        <w:tc>
          <w:tcPr>
            <w:tcW w:w="1434" w:type="dxa"/>
          </w:tcPr>
          <w:p w14:paraId="2315810E" w14:textId="77777777" w:rsidR="00EA35F8" w:rsidRPr="00011752" w:rsidRDefault="00EA35F8" w:rsidP="008C15ED">
            <w:pPr>
              <w:pStyle w:val="TableText"/>
              <w:jc w:val="center"/>
            </w:pPr>
            <w:r w:rsidRPr="00F65A30">
              <w:t>0.008</w:t>
            </w:r>
          </w:p>
        </w:tc>
      </w:tr>
      <w:tr w:rsidR="00EA35F8" w:rsidRPr="00011752" w14:paraId="2CAC867D" w14:textId="77777777" w:rsidTr="00432B07">
        <w:trPr>
          <w:jc w:val="center"/>
        </w:trPr>
        <w:tc>
          <w:tcPr>
            <w:tcW w:w="2916" w:type="dxa"/>
            <w:tcBorders>
              <w:bottom w:val="single" w:sz="4" w:space="0" w:color="auto"/>
            </w:tcBorders>
          </w:tcPr>
          <w:p w14:paraId="4D206887" w14:textId="77777777" w:rsidR="00EA35F8" w:rsidRPr="00011752" w:rsidRDefault="00EA35F8" w:rsidP="008C15ED">
            <w:pPr>
              <w:pStyle w:val="TableHeading"/>
            </w:pPr>
            <w:proofErr w:type="gramStart"/>
            <w:r>
              <w:t>EC:FPA</w:t>
            </w:r>
            <w:proofErr w:type="gramEnd"/>
            <w:r>
              <w:t>60</w:t>
            </w:r>
          </w:p>
        </w:tc>
        <w:tc>
          <w:tcPr>
            <w:tcW w:w="1433" w:type="dxa"/>
            <w:tcBorders>
              <w:bottom w:val="single" w:sz="4" w:space="0" w:color="auto"/>
            </w:tcBorders>
          </w:tcPr>
          <w:p w14:paraId="6F56DADB" w14:textId="77777777" w:rsidR="00EA35F8" w:rsidRPr="00011752" w:rsidRDefault="00EA35F8" w:rsidP="008C15ED">
            <w:pPr>
              <w:pStyle w:val="TableText"/>
              <w:jc w:val="center"/>
            </w:pPr>
            <w:r w:rsidRPr="00F65A30">
              <w:t>-</w:t>
            </w:r>
            <w:r>
              <w:t>4</w:t>
            </w:r>
            <w:r w:rsidRPr="00F65A30">
              <w:t>.</w:t>
            </w:r>
            <w:r>
              <w:t>2e-</w:t>
            </w:r>
            <w:r w:rsidRPr="00F65A30">
              <w:t>0</w:t>
            </w:r>
            <w:r>
              <w:t>6</w:t>
            </w:r>
          </w:p>
        </w:tc>
        <w:tc>
          <w:tcPr>
            <w:tcW w:w="1434" w:type="dxa"/>
            <w:tcBorders>
              <w:bottom w:val="single" w:sz="4" w:space="0" w:color="auto"/>
            </w:tcBorders>
          </w:tcPr>
          <w:p w14:paraId="7216FF43" w14:textId="77777777" w:rsidR="00EA35F8" w:rsidRPr="00011752" w:rsidRDefault="00EA35F8" w:rsidP="008C15ED">
            <w:pPr>
              <w:pStyle w:val="TableText"/>
              <w:jc w:val="center"/>
            </w:pPr>
            <w:r w:rsidRPr="00F65A30">
              <w:t>-</w:t>
            </w:r>
            <w:r>
              <w:t>9</w:t>
            </w:r>
            <w:r w:rsidRPr="00F65A30">
              <w:t>.</w:t>
            </w:r>
            <w:r>
              <w:t>0e-</w:t>
            </w:r>
            <w:r w:rsidRPr="00F65A30">
              <w:t>0</w:t>
            </w:r>
            <w:r>
              <w:t>7</w:t>
            </w:r>
          </w:p>
        </w:tc>
        <w:tc>
          <w:tcPr>
            <w:tcW w:w="1434" w:type="dxa"/>
            <w:tcBorders>
              <w:bottom w:val="single" w:sz="4" w:space="0" w:color="auto"/>
            </w:tcBorders>
          </w:tcPr>
          <w:p w14:paraId="774BA958" w14:textId="77777777" w:rsidR="00EA35F8" w:rsidRPr="00011752" w:rsidRDefault="00EA35F8" w:rsidP="008C15ED">
            <w:pPr>
              <w:pStyle w:val="TableText"/>
              <w:jc w:val="center"/>
            </w:pPr>
            <w:r w:rsidRPr="00F65A30">
              <w:t>&lt;0.001</w:t>
            </w:r>
          </w:p>
        </w:tc>
      </w:tr>
    </w:tbl>
    <w:p w14:paraId="71B02414" w14:textId="77777777" w:rsidR="00EA35F8" w:rsidRDefault="00EA35F8" w:rsidP="00EA35F8">
      <w:pPr>
        <w:spacing w:before="0" w:after="160" w:line="259" w:lineRule="auto"/>
        <w:jc w:val="left"/>
        <w:rPr>
          <w:noProof/>
          <w:highlight w:val="yellow"/>
          <w:lang w:eastAsia="en-AU"/>
        </w:rPr>
      </w:pPr>
    </w:p>
    <w:p w14:paraId="0D64F5BA" w14:textId="77777777" w:rsidR="00EA35F8" w:rsidRDefault="00EA35F8" w:rsidP="00EA35F8">
      <w:pPr>
        <w:spacing w:before="0" w:after="160" w:line="259" w:lineRule="auto"/>
        <w:jc w:val="left"/>
        <w:rPr>
          <w:noProof/>
          <w:highlight w:val="yellow"/>
          <w:lang w:eastAsia="en-AU"/>
        </w:rPr>
      </w:pPr>
    </w:p>
    <w:p w14:paraId="753387C1" w14:textId="77777777" w:rsidR="00EA35F8" w:rsidRPr="00DB1140" w:rsidRDefault="00EA35F8" w:rsidP="00EA35F8"/>
    <w:p w14:paraId="54EBF73D" w14:textId="77777777" w:rsidR="00EA35F8" w:rsidRDefault="00EA35F8" w:rsidP="00EA35F8">
      <w:pPr>
        <w:spacing w:before="0" w:after="160" w:line="259" w:lineRule="auto"/>
        <w:jc w:val="left"/>
        <w:rPr>
          <w:b/>
          <w:bCs/>
          <w:color w:val="auto"/>
          <w:sz w:val="20"/>
          <w:szCs w:val="18"/>
        </w:rPr>
      </w:pPr>
      <w:bookmarkStart w:id="390" w:name="_Ref57288770"/>
      <w:r>
        <w:br w:type="page"/>
      </w:r>
    </w:p>
    <w:bookmarkEnd w:id="390"/>
    <w:p w14:paraId="7B78D060" w14:textId="3D3A0E55" w:rsidR="00EA35F8" w:rsidRDefault="00EA35F8" w:rsidP="00EA35F8">
      <w:r>
        <w:t>For taxonomic richness (</w:t>
      </w:r>
      <w:r w:rsidR="004A35E2">
        <w:fldChar w:fldCharType="begin"/>
      </w:r>
      <w:r w:rsidR="004A35E2">
        <w:instrText xml:space="preserve"> REF _Ref63781993 \h </w:instrText>
      </w:r>
      <w:r w:rsidR="004A35E2">
        <w:fldChar w:fldCharType="separate"/>
      </w:r>
      <w:r w:rsidR="006045CA">
        <w:t xml:space="preserve">Figure </w:t>
      </w:r>
      <w:r w:rsidR="006045CA">
        <w:rPr>
          <w:noProof/>
        </w:rPr>
        <w:t>44</w:t>
      </w:r>
      <w:r w:rsidR="004A35E2">
        <w:fldChar w:fldCharType="end"/>
      </w:r>
      <w:r>
        <w:t>b), across all years, environmental water was predicted to account for 9% of observed taxa (</w:t>
      </w:r>
      <w:r w:rsidRPr="00EC3D26">
        <w:t xml:space="preserve">mean difference </w:t>
      </w:r>
      <w:proofErr w:type="gramStart"/>
      <w:r w:rsidRPr="00EC3D26">
        <w:t>±[</w:t>
      </w:r>
      <w:proofErr w:type="gramEnd"/>
      <w:r w:rsidRPr="00EC3D26">
        <w:t xml:space="preserve"> 95% CI] between observed and modelled</w:t>
      </w:r>
      <w:r>
        <w:t xml:space="preserve"> </w:t>
      </w:r>
      <w:r w:rsidRPr="00EC3D26">
        <w:t xml:space="preserve">no environmental water  </w:t>
      </w:r>
      <w:r>
        <w:t xml:space="preserve">scenarios </w:t>
      </w:r>
      <w:r w:rsidRPr="00EC3D26">
        <w:t>= 2.</w:t>
      </w:r>
      <w:r>
        <w:t xml:space="preserve">3 </w:t>
      </w:r>
      <w:r w:rsidRPr="00EC3D26">
        <w:t>[1</w:t>
      </w:r>
      <w:r>
        <w:t>.6</w:t>
      </w:r>
      <w:r w:rsidRPr="00EC3D26">
        <w:t xml:space="preserve">, </w:t>
      </w:r>
      <w:r>
        <w:t>2.9</w:t>
      </w:r>
      <w:r w:rsidRPr="00EC3D26">
        <w:t>]</w:t>
      </w:r>
      <w:r>
        <w:t xml:space="preserve"> taxa per sampling event</w:t>
      </w:r>
      <w:r w:rsidRPr="00EC3D26">
        <w:t xml:space="preserve">; t = </w:t>
      </w:r>
      <w:r>
        <w:t>7.04</w:t>
      </w:r>
      <w:r w:rsidRPr="00EC3D26">
        <w:t>, df = 194, p &lt; 0.001</w:t>
      </w:r>
      <w:r>
        <w:t>). Commonwealth environmental water alone was predicted to account for ~64% of this increase (</w:t>
      </w:r>
      <w:r w:rsidRPr="00EC3D26">
        <w:t>mean difference</w:t>
      </w:r>
      <w:r>
        <w:t xml:space="preserve"> </w:t>
      </w:r>
      <w:proofErr w:type="gramStart"/>
      <w:r w:rsidRPr="00EC3D26">
        <w:t>±[</w:t>
      </w:r>
      <w:proofErr w:type="gramEnd"/>
      <w:r w:rsidRPr="00EC3D26">
        <w:t xml:space="preserve"> 95% CI] = </w:t>
      </w:r>
      <w:r>
        <w:t>1.5</w:t>
      </w:r>
      <w:r w:rsidRPr="00EC3D26">
        <w:t xml:space="preserve"> [</w:t>
      </w:r>
      <w:r>
        <w:t>0.95</w:t>
      </w:r>
      <w:r w:rsidRPr="00EC3D26">
        <w:t>,</w:t>
      </w:r>
      <w:r>
        <w:t xml:space="preserve"> 1.96</w:t>
      </w:r>
      <w:r w:rsidRPr="00EC3D26">
        <w:t xml:space="preserve">] taxa per </w:t>
      </w:r>
      <w:r>
        <w:t>sampling event</w:t>
      </w:r>
      <w:r w:rsidRPr="00EC3D26">
        <w:t xml:space="preserve">; </w:t>
      </w:r>
      <w:r w:rsidRPr="00EC3D26">
        <w:rPr>
          <w:i/>
          <w:iCs/>
        </w:rPr>
        <w:t>t</w:t>
      </w:r>
      <w:r w:rsidRPr="00EC3D26">
        <w:t xml:space="preserve"> =</w:t>
      </w:r>
      <w:r>
        <w:t xml:space="preserve"> 5</w:t>
      </w:r>
      <w:r w:rsidRPr="00EC3D26">
        <w:t>.</w:t>
      </w:r>
      <w:r>
        <w:t>65</w:t>
      </w:r>
      <w:r w:rsidRPr="00EC3D26">
        <w:t xml:space="preserve">, </w:t>
      </w:r>
      <w:r w:rsidRPr="00EC3D26">
        <w:rPr>
          <w:i/>
          <w:iCs/>
        </w:rPr>
        <w:t xml:space="preserve">df </w:t>
      </w:r>
      <w:r w:rsidRPr="00EC3D26">
        <w:t xml:space="preserve">= 194, </w:t>
      </w:r>
      <w:r w:rsidRPr="00EC3D26">
        <w:rPr>
          <w:i/>
          <w:iCs/>
        </w:rPr>
        <w:t>p</w:t>
      </w:r>
      <w:r w:rsidRPr="00EC3D26">
        <w:t xml:space="preserve"> &lt; 0.001</w:t>
      </w:r>
      <w:r>
        <w:t xml:space="preserve">). </w:t>
      </w:r>
    </w:p>
    <w:p w14:paraId="64DEDE52" w14:textId="162A0DA1" w:rsidR="00EA35F8" w:rsidRDefault="00EA35F8" w:rsidP="00EA35F8">
      <w:r>
        <w:t xml:space="preserve">As discussed </w:t>
      </w:r>
      <w:r w:rsidRPr="00291D53">
        <w:t xml:space="preserve">in Inter-annual comparisons, </w:t>
      </w:r>
      <w:r>
        <w:t>the most important predictor of taxonomic richness was the density of individuals, which has a strong positive influence on the number of taxa observed (Table D</w:t>
      </w:r>
      <w:r w:rsidR="00065DAD">
        <w:t>7</w:t>
      </w:r>
      <w:r>
        <w:t xml:space="preserve">). Other predictors with a positive influence on richness included the mean long-term (12 week) daily flow, water temperature, and the area of floodplain inundated over the last 28 days (FPA28). As with the density model, electrical conductivity was most influential via a negative interaction with floodplain area but for taxonomic richness, the interaction between temperature and the 10-day flow trend was positive. One possible explanation could be increased transport efficiency from upstream source areas as seasonal temperatures rising. Consistent with this interpretation, taxa richness was highest in late spring and early summer, although month did not have a large effect on taxonomic richness. </w:t>
      </w:r>
    </w:p>
    <w:p w14:paraId="5503DBE9" w14:textId="77777777" w:rsidR="00EA35F8" w:rsidRDefault="00EA35F8" w:rsidP="00EA35F8">
      <w:r w:rsidRPr="00DC2A73">
        <w:t xml:space="preserve"> </w:t>
      </w:r>
      <w:r>
        <w:t xml:space="preserve">The Poisson generalised linear model had similar performance to the density model, with an identical explained deviance of 0.61 but slightly higher squared correlation between predicted and observed density (0.57). Interestingly, there was no overdispersion evident in the model that would warrant the use of a negative binomial error structure (as was required for the density model). However, it is important to note that the uncertainty in the performance of the density model is compounded in the richness model because of the need to use the output from the former model as the density predictor in the latter. To obtain an estimate of the benefits of environmental water, this is essentially unavoidable, because of the high dependence of taxonomic richness on density. However, it does increase model uncertainty and provides an additional complexity to modelling taxonomic richness as opposed to density. Nonetheless, as with the density model, across all years there appears to be clear benefits for </w:t>
      </w:r>
      <w:proofErr w:type="spellStart"/>
      <w:r>
        <w:t>microinvertebrate</w:t>
      </w:r>
      <w:proofErr w:type="spellEnd"/>
      <w:r>
        <w:t xml:space="preserve"> taxonomic richness from environmental water delivery.</w:t>
      </w:r>
    </w:p>
    <w:p w14:paraId="78B497AD" w14:textId="77777777" w:rsidR="00432B07" w:rsidRDefault="00432B07" w:rsidP="00EA35F8">
      <w:pPr>
        <w:pStyle w:val="TableCaption"/>
      </w:pPr>
      <w:bookmarkStart w:id="391" w:name="_Ref57820426"/>
    </w:p>
    <w:p w14:paraId="7E3F7394" w14:textId="77777777" w:rsidR="00432B07" w:rsidRDefault="00432B07">
      <w:pPr>
        <w:spacing w:before="0" w:after="160" w:line="259" w:lineRule="auto"/>
        <w:jc w:val="left"/>
        <w:rPr>
          <w:b/>
          <w:sz w:val="20"/>
        </w:rPr>
      </w:pPr>
      <w:r>
        <w:br w:type="page"/>
      </w:r>
    </w:p>
    <w:p w14:paraId="1018579C" w14:textId="2CAF18D9" w:rsidR="00EA35F8" w:rsidRPr="00825D39" w:rsidRDefault="00EA35F8" w:rsidP="00EA35F8">
      <w:pPr>
        <w:pStyle w:val="TableCaption"/>
      </w:pPr>
      <w:r w:rsidRPr="00825D39">
        <w:t>Table</w:t>
      </w:r>
      <w:bookmarkEnd w:id="391"/>
      <w:r>
        <w:t xml:space="preserve"> D</w:t>
      </w:r>
      <w:r w:rsidR="00065DAD">
        <w:t>7</w:t>
      </w:r>
      <w:r>
        <w:t xml:space="preserve">. </w:t>
      </w:r>
      <w:r w:rsidRPr="00C011F2">
        <w:t>Results of taxonomic richness Poisson generalised linear model, showing selected predictors, estimated coefficients (Estimate), standard error in the coefficient estimate (std. Error) and Type I error probability (p-value). Explained deviance for the model was 0.61, residual standard error: 0.007. Abundance was predicted for environmental flow scenarios using the model in</w:t>
      </w:r>
      <w:bookmarkStart w:id="392" w:name="_Ref57820422"/>
      <w:r w:rsidR="00DA498B">
        <w:t xml:space="preserve"> Table D6</w:t>
      </w:r>
      <w:r w:rsidRPr="00C011F2">
        <w:t>.</w:t>
      </w:r>
      <w:bookmarkEnd w:id="392"/>
    </w:p>
    <w:tbl>
      <w:tblPr>
        <w:tblStyle w:val="TableGrid"/>
        <w:tblW w:w="821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4"/>
        <w:gridCol w:w="1418"/>
        <w:gridCol w:w="1417"/>
        <w:gridCol w:w="1418"/>
      </w:tblGrid>
      <w:tr w:rsidR="00EA35F8" w:rsidRPr="001B6A93" w14:paraId="6970AECE" w14:textId="77777777" w:rsidTr="00432B07">
        <w:trPr>
          <w:jc w:val="center"/>
        </w:trPr>
        <w:tc>
          <w:tcPr>
            <w:tcW w:w="3964" w:type="dxa"/>
            <w:tcBorders>
              <w:top w:val="single" w:sz="4" w:space="0" w:color="auto"/>
              <w:bottom w:val="single" w:sz="4" w:space="0" w:color="auto"/>
            </w:tcBorders>
          </w:tcPr>
          <w:p w14:paraId="10E5A69C" w14:textId="77777777" w:rsidR="00EA35F8" w:rsidRPr="001B6A93" w:rsidRDefault="00EA35F8" w:rsidP="008C15ED">
            <w:pPr>
              <w:pStyle w:val="TableHeading"/>
            </w:pPr>
            <w:r w:rsidRPr="001B6A93">
              <w:t>Predictors</w:t>
            </w:r>
          </w:p>
        </w:tc>
        <w:tc>
          <w:tcPr>
            <w:tcW w:w="1418" w:type="dxa"/>
            <w:tcBorders>
              <w:top w:val="single" w:sz="4" w:space="0" w:color="auto"/>
              <w:bottom w:val="single" w:sz="4" w:space="0" w:color="auto"/>
            </w:tcBorders>
          </w:tcPr>
          <w:p w14:paraId="55356538" w14:textId="77777777" w:rsidR="00EA35F8" w:rsidRPr="001B6A93" w:rsidRDefault="00EA35F8" w:rsidP="008C15ED">
            <w:pPr>
              <w:pStyle w:val="TableHeading"/>
            </w:pPr>
            <w:r w:rsidRPr="001B6A93">
              <w:t>Estimate</w:t>
            </w:r>
          </w:p>
        </w:tc>
        <w:tc>
          <w:tcPr>
            <w:tcW w:w="1417" w:type="dxa"/>
            <w:tcBorders>
              <w:top w:val="single" w:sz="4" w:space="0" w:color="auto"/>
              <w:bottom w:val="single" w:sz="4" w:space="0" w:color="auto"/>
            </w:tcBorders>
          </w:tcPr>
          <w:p w14:paraId="7C78F82C" w14:textId="77777777" w:rsidR="00EA35F8" w:rsidRPr="001B6A93" w:rsidRDefault="00EA35F8" w:rsidP="008C15ED">
            <w:pPr>
              <w:pStyle w:val="TableHeading"/>
            </w:pPr>
            <w:r w:rsidRPr="001B6A93">
              <w:t>std. Error</w:t>
            </w:r>
          </w:p>
        </w:tc>
        <w:tc>
          <w:tcPr>
            <w:tcW w:w="1418" w:type="dxa"/>
            <w:tcBorders>
              <w:top w:val="single" w:sz="4" w:space="0" w:color="auto"/>
              <w:bottom w:val="single" w:sz="4" w:space="0" w:color="auto"/>
            </w:tcBorders>
          </w:tcPr>
          <w:p w14:paraId="47D5A03A" w14:textId="77777777" w:rsidR="00EA35F8" w:rsidRPr="005039E2" w:rsidRDefault="00EA35F8" w:rsidP="008C15ED">
            <w:pPr>
              <w:pStyle w:val="TableHeading"/>
              <w:rPr>
                <w:i/>
                <w:iCs/>
              </w:rPr>
            </w:pPr>
            <w:r w:rsidRPr="005039E2">
              <w:rPr>
                <w:i/>
                <w:iCs/>
              </w:rPr>
              <w:t>p</w:t>
            </w:r>
          </w:p>
        </w:tc>
      </w:tr>
      <w:tr w:rsidR="00EA35F8" w:rsidRPr="001B6A93" w14:paraId="4050E1D9" w14:textId="77777777" w:rsidTr="00432B07">
        <w:trPr>
          <w:jc w:val="center"/>
        </w:trPr>
        <w:tc>
          <w:tcPr>
            <w:tcW w:w="3964" w:type="dxa"/>
            <w:tcBorders>
              <w:top w:val="single" w:sz="4" w:space="0" w:color="auto"/>
            </w:tcBorders>
          </w:tcPr>
          <w:p w14:paraId="22EEF798" w14:textId="77777777" w:rsidR="00EA35F8" w:rsidRPr="001B6A93" w:rsidRDefault="00EA35F8" w:rsidP="008C15ED">
            <w:pPr>
              <w:pStyle w:val="TableHeading"/>
            </w:pPr>
            <w:r w:rsidRPr="001B6A93">
              <w:t>(Intercept)</w:t>
            </w:r>
          </w:p>
        </w:tc>
        <w:tc>
          <w:tcPr>
            <w:tcW w:w="1418" w:type="dxa"/>
            <w:tcBorders>
              <w:top w:val="single" w:sz="4" w:space="0" w:color="auto"/>
            </w:tcBorders>
          </w:tcPr>
          <w:p w14:paraId="449D4521" w14:textId="77777777" w:rsidR="00EA35F8" w:rsidRPr="00825D39" w:rsidRDefault="00EA35F8" w:rsidP="008C15ED">
            <w:pPr>
              <w:pStyle w:val="TableText"/>
            </w:pPr>
            <w:r w:rsidRPr="00825D39">
              <w:t>1.00</w:t>
            </w:r>
          </w:p>
        </w:tc>
        <w:tc>
          <w:tcPr>
            <w:tcW w:w="1417" w:type="dxa"/>
            <w:tcBorders>
              <w:top w:val="single" w:sz="4" w:space="0" w:color="auto"/>
            </w:tcBorders>
          </w:tcPr>
          <w:p w14:paraId="6071E4B1" w14:textId="77777777" w:rsidR="00EA35F8" w:rsidRPr="00C011F2" w:rsidRDefault="00EA35F8" w:rsidP="008C15ED">
            <w:pPr>
              <w:pStyle w:val="TableText"/>
            </w:pPr>
            <w:r w:rsidRPr="00C011F2">
              <w:t>0.35</w:t>
            </w:r>
          </w:p>
        </w:tc>
        <w:tc>
          <w:tcPr>
            <w:tcW w:w="1418" w:type="dxa"/>
            <w:tcBorders>
              <w:top w:val="single" w:sz="4" w:space="0" w:color="auto"/>
            </w:tcBorders>
          </w:tcPr>
          <w:p w14:paraId="0C5F551D" w14:textId="77777777" w:rsidR="00EA35F8" w:rsidRPr="00C011F2" w:rsidRDefault="00EA35F8" w:rsidP="008C15ED">
            <w:pPr>
              <w:pStyle w:val="TableText"/>
            </w:pPr>
            <w:r w:rsidRPr="00C011F2">
              <w:t>0.004</w:t>
            </w:r>
          </w:p>
        </w:tc>
      </w:tr>
      <w:tr w:rsidR="00EA35F8" w:rsidRPr="001B6A93" w14:paraId="0DDAA3BA" w14:textId="77777777" w:rsidTr="00432B07">
        <w:trPr>
          <w:jc w:val="center"/>
        </w:trPr>
        <w:tc>
          <w:tcPr>
            <w:tcW w:w="3964" w:type="dxa"/>
          </w:tcPr>
          <w:p w14:paraId="79F51107" w14:textId="77777777" w:rsidR="00EA35F8" w:rsidRPr="001B6A93" w:rsidRDefault="00EA35F8" w:rsidP="008C15ED">
            <w:pPr>
              <w:pStyle w:val="TableHeading"/>
            </w:pPr>
            <w:r>
              <w:t>M</w:t>
            </w:r>
            <w:r w:rsidRPr="00011752">
              <w:t>onth [</w:t>
            </w:r>
            <w:r>
              <w:t>Oct</w:t>
            </w:r>
            <w:r w:rsidRPr="00011752">
              <w:t>]</w:t>
            </w:r>
          </w:p>
        </w:tc>
        <w:tc>
          <w:tcPr>
            <w:tcW w:w="1418" w:type="dxa"/>
          </w:tcPr>
          <w:p w14:paraId="499B3985" w14:textId="77777777" w:rsidR="00EA35F8" w:rsidRPr="00825D39" w:rsidRDefault="00EA35F8" w:rsidP="008C15ED">
            <w:pPr>
              <w:pStyle w:val="TableText"/>
            </w:pPr>
            <w:r w:rsidRPr="00825D39">
              <w:t>0.01</w:t>
            </w:r>
          </w:p>
        </w:tc>
        <w:tc>
          <w:tcPr>
            <w:tcW w:w="1417" w:type="dxa"/>
          </w:tcPr>
          <w:p w14:paraId="62FA8672" w14:textId="77777777" w:rsidR="00EA35F8" w:rsidRPr="00C011F2" w:rsidRDefault="00EA35F8" w:rsidP="008C15ED">
            <w:pPr>
              <w:pStyle w:val="TableText"/>
            </w:pPr>
            <w:r w:rsidRPr="00C011F2">
              <w:t>0.11</w:t>
            </w:r>
          </w:p>
        </w:tc>
        <w:tc>
          <w:tcPr>
            <w:tcW w:w="1418" w:type="dxa"/>
          </w:tcPr>
          <w:p w14:paraId="4004A92B" w14:textId="77777777" w:rsidR="00EA35F8" w:rsidRPr="00C011F2" w:rsidRDefault="00EA35F8" w:rsidP="008C15ED">
            <w:pPr>
              <w:pStyle w:val="TableText"/>
            </w:pPr>
            <w:r w:rsidRPr="00C011F2">
              <w:t>0.937</w:t>
            </w:r>
          </w:p>
        </w:tc>
      </w:tr>
      <w:tr w:rsidR="00EA35F8" w:rsidRPr="001B6A93" w14:paraId="1CB38C28" w14:textId="77777777" w:rsidTr="00432B07">
        <w:trPr>
          <w:jc w:val="center"/>
        </w:trPr>
        <w:tc>
          <w:tcPr>
            <w:tcW w:w="3964" w:type="dxa"/>
          </w:tcPr>
          <w:p w14:paraId="17C7C687" w14:textId="77777777" w:rsidR="00EA35F8" w:rsidRPr="001B6A93" w:rsidRDefault="00EA35F8" w:rsidP="008C15ED">
            <w:pPr>
              <w:pStyle w:val="TableHeading"/>
            </w:pPr>
            <w:r>
              <w:t>M</w:t>
            </w:r>
            <w:r w:rsidRPr="00011752">
              <w:t>onth [</w:t>
            </w:r>
            <w:r>
              <w:t>Nov</w:t>
            </w:r>
            <w:r w:rsidRPr="00011752">
              <w:t>]</w:t>
            </w:r>
          </w:p>
        </w:tc>
        <w:tc>
          <w:tcPr>
            <w:tcW w:w="1418" w:type="dxa"/>
          </w:tcPr>
          <w:p w14:paraId="6617E61C" w14:textId="77777777" w:rsidR="00EA35F8" w:rsidRPr="00825D39" w:rsidRDefault="00EA35F8" w:rsidP="008C15ED">
            <w:pPr>
              <w:pStyle w:val="TableText"/>
            </w:pPr>
            <w:r w:rsidRPr="00825D39">
              <w:t>0.16</w:t>
            </w:r>
          </w:p>
        </w:tc>
        <w:tc>
          <w:tcPr>
            <w:tcW w:w="1417" w:type="dxa"/>
          </w:tcPr>
          <w:p w14:paraId="3DE39B6F" w14:textId="77777777" w:rsidR="00EA35F8" w:rsidRPr="00C011F2" w:rsidRDefault="00EA35F8" w:rsidP="008C15ED">
            <w:pPr>
              <w:pStyle w:val="TableText"/>
            </w:pPr>
            <w:r w:rsidRPr="00C011F2">
              <w:t>0.13</w:t>
            </w:r>
          </w:p>
        </w:tc>
        <w:tc>
          <w:tcPr>
            <w:tcW w:w="1418" w:type="dxa"/>
          </w:tcPr>
          <w:p w14:paraId="5FCED44E" w14:textId="77777777" w:rsidR="00EA35F8" w:rsidRPr="00C011F2" w:rsidRDefault="00EA35F8" w:rsidP="008C15ED">
            <w:pPr>
              <w:pStyle w:val="TableText"/>
            </w:pPr>
            <w:r w:rsidRPr="00C011F2">
              <w:t>0.203</w:t>
            </w:r>
          </w:p>
        </w:tc>
      </w:tr>
      <w:tr w:rsidR="00EA35F8" w:rsidRPr="001B6A93" w14:paraId="38CC9231" w14:textId="77777777" w:rsidTr="00432B07">
        <w:trPr>
          <w:jc w:val="center"/>
        </w:trPr>
        <w:tc>
          <w:tcPr>
            <w:tcW w:w="3964" w:type="dxa"/>
          </w:tcPr>
          <w:p w14:paraId="2F148983" w14:textId="77777777" w:rsidR="00EA35F8" w:rsidRPr="001B6A93" w:rsidRDefault="00EA35F8" w:rsidP="008C15ED">
            <w:pPr>
              <w:pStyle w:val="TableHeading"/>
            </w:pPr>
            <w:r>
              <w:t>M</w:t>
            </w:r>
            <w:r w:rsidRPr="00011752">
              <w:t>onth [</w:t>
            </w:r>
            <w:r>
              <w:t>Dec</w:t>
            </w:r>
            <w:r w:rsidRPr="00011752">
              <w:t>]</w:t>
            </w:r>
          </w:p>
        </w:tc>
        <w:tc>
          <w:tcPr>
            <w:tcW w:w="1418" w:type="dxa"/>
          </w:tcPr>
          <w:p w14:paraId="41EC3C28" w14:textId="77777777" w:rsidR="00EA35F8" w:rsidRPr="00825D39" w:rsidRDefault="00EA35F8" w:rsidP="008C15ED">
            <w:pPr>
              <w:pStyle w:val="TableText"/>
            </w:pPr>
            <w:r w:rsidRPr="00825D39">
              <w:t>0.16</w:t>
            </w:r>
          </w:p>
        </w:tc>
        <w:tc>
          <w:tcPr>
            <w:tcW w:w="1417" w:type="dxa"/>
          </w:tcPr>
          <w:p w14:paraId="1ECCB502" w14:textId="77777777" w:rsidR="00EA35F8" w:rsidRPr="00C011F2" w:rsidRDefault="00EA35F8" w:rsidP="008C15ED">
            <w:pPr>
              <w:pStyle w:val="TableText"/>
            </w:pPr>
            <w:r w:rsidRPr="00C011F2">
              <w:t>0.14</w:t>
            </w:r>
          </w:p>
        </w:tc>
        <w:tc>
          <w:tcPr>
            <w:tcW w:w="1418" w:type="dxa"/>
          </w:tcPr>
          <w:p w14:paraId="2E48C57A" w14:textId="77777777" w:rsidR="00EA35F8" w:rsidRPr="00C011F2" w:rsidRDefault="00EA35F8" w:rsidP="008C15ED">
            <w:pPr>
              <w:pStyle w:val="TableText"/>
            </w:pPr>
            <w:r w:rsidRPr="00C011F2">
              <w:t>0.263</w:t>
            </w:r>
          </w:p>
        </w:tc>
      </w:tr>
      <w:tr w:rsidR="00EA35F8" w:rsidRPr="001B6A93" w14:paraId="058AEF22" w14:textId="77777777" w:rsidTr="00432B07">
        <w:trPr>
          <w:jc w:val="center"/>
        </w:trPr>
        <w:tc>
          <w:tcPr>
            <w:tcW w:w="3964" w:type="dxa"/>
          </w:tcPr>
          <w:p w14:paraId="1B113679" w14:textId="77777777" w:rsidR="00EA35F8" w:rsidRPr="001B6A93" w:rsidRDefault="00EA35F8" w:rsidP="008C15ED">
            <w:pPr>
              <w:pStyle w:val="TableHeading"/>
            </w:pPr>
            <w:r>
              <w:t>M</w:t>
            </w:r>
            <w:r w:rsidRPr="00011752">
              <w:t>onth [</w:t>
            </w:r>
            <w:r>
              <w:t>Jan</w:t>
            </w:r>
            <w:r w:rsidRPr="00011752">
              <w:t>]</w:t>
            </w:r>
          </w:p>
        </w:tc>
        <w:tc>
          <w:tcPr>
            <w:tcW w:w="1418" w:type="dxa"/>
          </w:tcPr>
          <w:p w14:paraId="7E637D2C" w14:textId="77777777" w:rsidR="00EA35F8" w:rsidRPr="00825D39" w:rsidRDefault="00EA35F8" w:rsidP="008C15ED">
            <w:pPr>
              <w:pStyle w:val="TableText"/>
            </w:pPr>
            <w:r w:rsidRPr="00825D39">
              <w:t>0.11</w:t>
            </w:r>
          </w:p>
        </w:tc>
        <w:tc>
          <w:tcPr>
            <w:tcW w:w="1417" w:type="dxa"/>
          </w:tcPr>
          <w:p w14:paraId="49C5EA2F" w14:textId="77777777" w:rsidR="00EA35F8" w:rsidRPr="00C011F2" w:rsidRDefault="00EA35F8" w:rsidP="008C15ED">
            <w:pPr>
              <w:pStyle w:val="TableText"/>
            </w:pPr>
            <w:r w:rsidRPr="00C011F2">
              <w:t>0.16</w:t>
            </w:r>
          </w:p>
        </w:tc>
        <w:tc>
          <w:tcPr>
            <w:tcW w:w="1418" w:type="dxa"/>
          </w:tcPr>
          <w:p w14:paraId="48B5E7D0" w14:textId="77777777" w:rsidR="00EA35F8" w:rsidRPr="00C011F2" w:rsidRDefault="00EA35F8" w:rsidP="008C15ED">
            <w:pPr>
              <w:pStyle w:val="TableText"/>
            </w:pPr>
            <w:r w:rsidRPr="00C011F2">
              <w:t>0.466</w:t>
            </w:r>
          </w:p>
        </w:tc>
      </w:tr>
      <w:tr w:rsidR="00EA35F8" w:rsidRPr="001B6A93" w14:paraId="45BFB6F3" w14:textId="77777777" w:rsidTr="00432B07">
        <w:trPr>
          <w:jc w:val="center"/>
        </w:trPr>
        <w:tc>
          <w:tcPr>
            <w:tcW w:w="3964" w:type="dxa"/>
          </w:tcPr>
          <w:p w14:paraId="3E04934A" w14:textId="77777777" w:rsidR="00EA35F8" w:rsidRPr="001B6A93" w:rsidRDefault="00EA35F8" w:rsidP="008C15ED">
            <w:pPr>
              <w:pStyle w:val="TableHeading"/>
            </w:pPr>
            <w:r>
              <w:t>abundance</w:t>
            </w:r>
          </w:p>
        </w:tc>
        <w:tc>
          <w:tcPr>
            <w:tcW w:w="1418" w:type="dxa"/>
          </w:tcPr>
          <w:p w14:paraId="5093509A" w14:textId="77777777" w:rsidR="00EA35F8" w:rsidRPr="00C011F2" w:rsidRDefault="00EA35F8" w:rsidP="008C15ED">
            <w:pPr>
              <w:pStyle w:val="TableText"/>
            </w:pPr>
            <w:r w:rsidRPr="00825D39">
              <w:t>2.1e</w:t>
            </w:r>
            <w:r w:rsidRPr="00C011F2">
              <w:t>-04</w:t>
            </w:r>
          </w:p>
        </w:tc>
        <w:tc>
          <w:tcPr>
            <w:tcW w:w="1417" w:type="dxa"/>
          </w:tcPr>
          <w:p w14:paraId="3E88122A" w14:textId="77777777" w:rsidR="00EA35F8" w:rsidRPr="00C011F2" w:rsidRDefault="00EA35F8" w:rsidP="008C15ED">
            <w:pPr>
              <w:pStyle w:val="TableText"/>
            </w:pPr>
            <w:r w:rsidRPr="00C011F2">
              <w:t>2.9e-05</w:t>
            </w:r>
          </w:p>
        </w:tc>
        <w:tc>
          <w:tcPr>
            <w:tcW w:w="1418" w:type="dxa"/>
          </w:tcPr>
          <w:p w14:paraId="052DB685" w14:textId="77777777" w:rsidR="00EA35F8" w:rsidRPr="00C011F2" w:rsidRDefault="00EA35F8" w:rsidP="008C15ED">
            <w:pPr>
              <w:pStyle w:val="TableText"/>
            </w:pPr>
            <w:r w:rsidRPr="00C011F2">
              <w:t>&lt;0.001</w:t>
            </w:r>
          </w:p>
        </w:tc>
      </w:tr>
      <w:tr w:rsidR="00EA35F8" w:rsidRPr="001B6A93" w14:paraId="4890C0FA" w14:textId="77777777" w:rsidTr="00432B07">
        <w:trPr>
          <w:jc w:val="center"/>
        </w:trPr>
        <w:tc>
          <w:tcPr>
            <w:tcW w:w="3964" w:type="dxa"/>
          </w:tcPr>
          <w:p w14:paraId="66DA6FAD" w14:textId="77777777" w:rsidR="00EA35F8" w:rsidRPr="001B6A93" w:rsidRDefault="00EA35F8" w:rsidP="008C15ED">
            <w:pPr>
              <w:pStyle w:val="TableHeading"/>
            </w:pPr>
            <w:r>
              <w:t>temperature</w:t>
            </w:r>
          </w:p>
        </w:tc>
        <w:tc>
          <w:tcPr>
            <w:tcW w:w="1418" w:type="dxa"/>
          </w:tcPr>
          <w:p w14:paraId="64FB3329" w14:textId="77777777" w:rsidR="00EA35F8" w:rsidRPr="00825D39" w:rsidRDefault="00EA35F8" w:rsidP="008C15ED">
            <w:pPr>
              <w:pStyle w:val="TableText"/>
            </w:pPr>
            <w:r w:rsidRPr="00825D39">
              <w:t>0.04</w:t>
            </w:r>
          </w:p>
        </w:tc>
        <w:tc>
          <w:tcPr>
            <w:tcW w:w="1417" w:type="dxa"/>
          </w:tcPr>
          <w:p w14:paraId="13E69AA4" w14:textId="77777777" w:rsidR="00EA35F8" w:rsidRPr="00C011F2" w:rsidRDefault="00EA35F8" w:rsidP="008C15ED">
            <w:pPr>
              <w:pStyle w:val="TableText"/>
            </w:pPr>
            <w:r w:rsidRPr="00C011F2">
              <w:t>0.01</w:t>
            </w:r>
          </w:p>
        </w:tc>
        <w:tc>
          <w:tcPr>
            <w:tcW w:w="1418" w:type="dxa"/>
          </w:tcPr>
          <w:p w14:paraId="10C74AE4" w14:textId="77777777" w:rsidR="00EA35F8" w:rsidRPr="00C011F2" w:rsidRDefault="00EA35F8" w:rsidP="008C15ED">
            <w:pPr>
              <w:pStyle w:val="TableText"/>
            </w:pPr>
            <w:r w:rsidRPr="00C011F2">
              <w:t>0.002</w:t>
            </w:r>
          </w:p>
        </w:tc>
      </w:tr>
      <w:tr w:rsidR="00EA35F8" w:rsidRPr="001B6A93" w14:paraId="43C07328" w14:textId="77777777" w:rsidTr="00432B07">
        <w:trPr>
          <w:jc w:val="center"/>
        </w:trPr>
        <w:tc>
          <w:tcPr>
            <w:tcW w:w="3964" w:type="dxa"/>
          </w:tcPr>
          <w:p w14:paraId="744820D7" w14:textId="77777777" w:rsidR="00EA35F8" w:rsidRPr="001B6A93" w:rsidRDefault="00EA35F8" w:rsidP="008C15ED">
            <w:pPr>
              <w:pStyle w:val="TableHeading"/>
            </w:pPr>
            <w:r w:rsidRPr="00855ADD">
              <w:t>electrical conductivity (EC)</w:t>
            </w:r>
          </w:p>
        </w:tc>
        <w:tc>
          <w:tcPr>
            <w:tcW w:w="1418" w:type="dxa"/>
          </w:tcPr>
          <w:p w14:paraId="0E20D923" w14:textId="77777777" w:rsidR="00EA35F8" w:rsidRPr="00C011F2" w:rsidRDefault="00EA35F8" w:rsidP="008C15ED">
            <w:pPr>
              <w:pStyle w:val="TableText"/>
            </w:pPr>
            <w:r w:rsidRPr="00825D39">
              <w:t>7.5e</w:t>
            </w:r>
            <w:r w:rsidRPr="00C011F2">
              <w:t>-04</w:t>
            </w:r>
          </w:p>
        </w:tc>
        <w:tc>
          <w:tcPr>
            <w:tcW w:w="1417" w:type="dxa"/>
          </w:tcPr>
          <w:p w14:paraId="1D36BF1A" w14:textId="77777777" w:rsidR="00EA35F8" w:rsidRPr="00C011F2" w:rsidRDefault="00EA35F8" w:rsidP="008C15ED">
            <w:pPr>
              <w:pStyle w:val="TableText"/>
            </w:pPr>
            <w:r w:rsidRPr="00C011F2">
              <w:t>7.3e-04</w:t>
            </w:r>
          </w:p>
        </w:tc>
        <w:tc>
          <w:tcPr>
            <w:tcW w:w="1418" w:type="dxa"/>
          </w:tcPr>
          <w:p w14:paraId="584E0270" w14:textId="77777777" w:rsidR="00EA35F8" w:rsidRPr="00C011F2" w:rsidRDefault="00EA35F8" w:rsidP="008C15ED">
            <w:pPr>
              <w:pStyle w:val="TableText"/>
            </w:pPr>
            <w:r w:rsidRPr="00C011F2">
              <w:t>0.302</w:t>
            </w:r>
          </w:p>
        </w:tc>
      </w:tr>
      <w:tr w:rsidR="00EA35F8" w:rsidRPr="001B6A93" w14:paraId="6DC9AFCD" w14:textId="77777777" w:rsidTr="00432B07">
        <w:trPr>
          <w:jc w:val="center"/>
        </w:trPr>
        <w:tc>
          <w:tcPr>
            <w:tcW w:w="3964" w:type="dxa"/>
          </w:tcPr>
          <w:p w14:paraId="490E91A8" w14:textId="77777777" w:rsidR="00EA35F8" w:rsidRPr="001B6A93" w:rsidRDefault="00EA35F8" w:rsidP="008C15ED">
            <w:pPr>
              <w:pStyle w:val="TableHeading"/>
            </w:pPr>
            <w:r>
              <w:t>10-day flow trend (dQ10)</w:t>
            </w:r>
          </w:p>
        </w:tc>
        <w:tc>
          <w:tcPr>
            <w:tcW w:w="1418" w:type="dxa"/>
          </w:tcPr>
          <w:p w14:paraId="4EF6C8D9" w14:textId="77777777" w:rsidR="00EA35F8" w:rsidRPr="00825D39" w:rsidRDefault="00EA35F8" w:rsidP="008C15ED">
            <w:pPr>
              <w:pStyle w:val="TableText"/>
            </w:pPr>
            <w:r w:rsidRPr="00825D39">
              <w:t>-0.35</w:t>
            </w:r>
          </w:p>
        </w:tc>
        <w:tc>
          <w:tcPr>
            <w:tcW w:w="1417" w:type="dxa"/>
          </w:tcPr>
          <w:p w14:paraId="6C841F78" w14:textId="77777777" w:rsidR="00EA35F8" w:rsidRPr="00C011F2" w:rsidRDefault="00EA35F8" w:rsidP="008C15ED">
            <w:pPr>
              <w:pStyle w:val="TableText"/>
            </w:pPr>
            <w:r w:rsidRPr="00C011F2">
              <w:t>0.37</w:t>
            </w:r>
          </w:p>
        </w:tc>
        <w:tc>
          <w:tcPr>
            <w:tcW w:w="1418" w:type="dxa"/>
          </w:tcPr>
          <w:p w14:paraId="23B83B5A" w14:textId="77777777" w:rsidR="00EA35F8" w:rsidRPr="00C011F2" w:rsidRDefault="00EA35F8" w:rsidP="008C15ED">
            <w:pPr>
              <w:pStyle w:val="TableText"/>
            </w:pPr>
            <w:r w:rsidRPr="00C011F2">
              <w:t>0.355</w:t>
            </w:r>
          </w:p>
        </w:tc>
      </w:tr>
      <w:tr w:rsidR="00EA35F8" w:rsidRPr="001B6A93" w14:paraId="24C50FDD" w14:textId="77777777" w:rsidTr="00432B07">
        <w:trPr>
          <w:jc w:val="center"/>
        </w:trPr>
        <w:tc>
          <w:tcPr>
            <w:tcW w:w="3964" w:type="dxa"/>
          </w:tcPr>
          <w:p w14:paraId="6D6A4FF2" w14:textId="77777777" w:rsidR="00EA35F8" w:rsidRPr="001B6A93" w:rsidRDefault="00EA35F8" w:rsidP="008C15ED">
            <w:pPr>
              <w:pStyle w:val="TableHeading"/>
            </w:pPr>
            <w:r>
              <w:t>mean long-term daily flow</w:t>
            </w:r>
          </w:p>
        </w:tc>
        <w:tc>
          <w:tcPr>
            <w:tcW w:w="1418" w:type="dxa"/>
          </w:tcPr>
          <w:p w14:paraId="2289D626" w14:textId="77777777" w:rsidR="00EA35F8" w:rsidRPr="00825D39" w:rsidRDefault="00EA35F8" w:rsidP="008C15ED">
            <w:pPr>
              <w:pStyle w:val="TableText"/>
            </w:pPr>
            <w:r w:rsidRPr="00825D39">
              <w:t>0.10</w:t>
            </w:r>
          </w:p>
        </w:tc>
        <w:tc>
          <w:tcPr>
            <w:tcW w:w="1417" w:type="dxa"/>
          </w:tcPr>
          <w:p w14:paraId="1CE9448D" w14:textId="77777777" w:rsidR="00EA35F8" w:rsidRPr="00C011F2" w:rsidRDefault="00EA35F8" w:rsidP="008C15ED">
            <w:pPr>
              <w:pStyle w:val="TableText"/>
            </w:pPr>
            <w:r w:rsidRPr="00C011F2">
              <w:t>0.02</w:t>
            </w:r>
          </w:p>
        </w:tc>
        <w:tc>
          <w:tcPr>
            <w:tcW w:w="1418" w:type="dxa"/>
          </w:tcPr>
          <w:p w14:paraId="3BF79968" w14:textId="77777777" w:rsidR="00EA35F8" w:rsidRPr="00C011F2" w:rsidRDefault="00EA35F8" w:rsidP="008C15ED">
            <w:pPr>
              <w:pStyle w:val="TableText"/>
            </w:pPr>
            <w:r w:rsidRPr="00C011F2">
              <w:t>&lt;0.001</w:t>
            </w:r>
          </w:p>
        </w:tc>
      </w:tr>
      <w:tr w:rsidR="00EA35F8" w:rsidRPr="001B6A93" w14:paraId="0623342C" w14:textId="77777777" w:rsidTr="00432B07">
        <w:trPr>
          <w:jc w:val="center"/>
        </w:trPr>
        <w:tc>
          <w:tcPr>
            <w:tcW w:w="3964" w:type="dxa"/>
          </w:tcPr>
          <w:p w14:paraId="36FE4609" w14:textId="77777777" w:rsidR="00EA35F8" w:rsidRPr="00855ADD" w:rsidRDefault="00EA35F8" w:rsidP="008C15ED">
            <w:pPr>
              <w:pStyle w:val="TableHeading"/>
            </w:pPr>
            <w:r>
              <w:t>FPA28</w:t>
            </w:r>
          </w:p>
        </w:tc>
        <w:tc>
          <w:tcPr>
            <w:tcW w:w="1418" w:type="dxa"/>
          </w:tcPr>
          <w:p w14:paraId="53D19C50" w14:textId="77777777" w:rsidR="00EA35F8" w:rsidRPr="00825D39" w:rsidRDefault="00EA35F8" w:rsidP="008C15ED">
            <w:pPr>
              <w:pStyle w:val="TableText"/>
            </w:pPr>
            <w:r w:rsidRPr="00825D39">
              <w:t>4.2e-04</w:t>
            </w:r>
          </w:p>
        </w:tc>
        <w:tc>
          <w:tcPr>
            <w:tcW w:w="1417" w:type="dxa"/>
          </w:tcPr>
          <w:p w14:paraId="2B66891F" w14:textId="77777777" w:rsidR="00EA35F8" w:rsidRPr="00C011F2" w:rsidRDefault="00EA35F8" w:rsidP="008C15ED">
            <w:pPr>
              <w:pStyle w:val="TableText"/>
            </w:pPr>
            <w:r w:rsidRPr="00C011F2">
              <w:t>1.3e-04</w:t>
            </w:r>
          </w:p>
        </w:tc>
        <w:tc>
          <w:tcPr>
            <w:tcW w:w="1418" w:type="dxa"/>
          </w:tcPr>
          <w:p w14:paraId="17A73EDC" w14:textId="77777777" w:rsidR="00EA35F8" w:rsidRPr="00C011F2" w:rsidRDefault="00EA35F8" w:rsidP="008C15ED">
            <w:pPr>
              <w:pStyle w:val="TableText"/>
            </w:pPr>
            <w:r w:rsidRPr="00C011F2">
              <w:t>0.001</w:t>
            </w:r>
          </w:p>
        </w:tc>
      </w:tr>
      <w:tr w:rsidR="00EA35F8" w:rsidRPr="001B6A93" w14:paraId="545623EB" w14:textId="77777777" w:rsidTr="00432B07">
        <w:trPr>
          <w:jc w:val="center"/>
        </w:trPr>
        <w:tc>
          <w:tcPr>
            <w:tcW w:w="3964" w:type="dxa"/>
          </w:tcPr>
          <w:p w14:paraId="0F9542F2" w14:textId="77777777" w:rsidR="00EA35F8" w:rsidRDefault="00EA35F8" w:rsidP="008C15ED">
            <w:pPr>
              <w:pStyle w:val="TableHeading"/>
            </w:pPr>
            <w:proofErr w:type="gramStart"/>
            <w:r w:rsidRPr="00A874B6">
              <w:t>temp:</w:t>
            </w:r>
            <w:r>
              <w:t>dQ</w:t>
            </w:r>
            <w:proofErr w:type="gramEnd"/>
            <w:r w:rsidRPr="00A874B6">
              <w:t>10</w:t>
            </w:r>
          </w:p>
        </w:tc>
        <w:tc>
          <w:tcPr>
            <w:tcW w:w="1418" w:type="dxa"/>
          </w:tcPr>
          <w:p w14:paraId="6C35F1E9" w14:textId="77777777" w:rsidR="00EA35F8" w:rsidRPr="00825D39" w:rsidRDefault="00EA35F8" w:rsidP="008C15ED">
            <w:pPr>
              <w:pStyle w:val="TableText"/>
            </w:pPr>
            <w:r w:rsidRPr="00825D39">
              <w:t>0.03</w:t>
            </w:r>
          </w:p>
        </w:tc>
        <w:tc>
          <w:tcPr>
            <w:tcW w:w="1417" w:type="dxa"/>
          </w:tcPr>
          <w:p w14:paraId="6C8E7A18" w14:textId="77777777" w:rsidR="00EA35F8" w:rsidRPr="00C011F2" w:rsidRDefault="00EA35F8" w:rsidP="008C15ED">
            <w:pPr>
              <w:pStyle w:val="TableText"/>
            </w:pPr>
            <w:r w:rsidRPr="00C011F2">
              <w:t>0.02</w:t>
            </w:r>
          </w:p>
        </w:tc>
        <w:tc>
          <w:tcPr>
            <w:tcW w:w="1418" w:type="dxa"/>
          </w:tcPr>
          <w:p w14:paraId="30EECDB3" w14:textId="77777777" w:rsidR="00EA35F8" w:rsidRPr="00C011F2" w:rsidRDefault="00EA35F8" w:rsidP="008C15ED">
            <w:pPr>
              <w:pStyle w:val="TableText"/>
            </w:pPr>
            <w:r w:rsidRPr="00C011F2">
              <w:t>0.127</w:t>
            </w:r>
          </w:p>
        </w:tc>
      </w:tr>
      <w:tr w:rsidR="00EA35F8" w:rsidRPr="001B6A93" w14:paraId="756D3FF5" w14:textId="77777777" w:rsidTr="00432B07">
        <w:trPr>
          <w:jc w:val="center"/>
        </w:trPr>
        <w:tc>
          <w:tcPr>
            <w:tcW w:w="3964" w:type="dxa"/>
            <w:tcBorders>
              <w:bottom w:val="single" w:sz="4" w:space="0" w:color="auto"/>
            </w:tcBorders>
          </w:tcPr>
          <w:p w14:paraId="07ACCAB0" w14:textId="77777777" w:rsidR="00EA35F8" w:rsidRDefault="00EA35F8" w:rsidP="008C15ED">
            <w:pPr>
              <w:pStyle w:val="TableHeading"/>
            </w:pPr>
            <w:proofErr w:type="gramStart"/>
            <w:r w:rsidRPr="00A874B6">
              <w:t>EC:FPA</w:t>
            </w:r>
            <w:proofErr w:type="gramEnd"/>
            <w:r>
              <w:t>28</w:t>
            </w:r>
          </w:p>
        </w:tc>
        <w:tc>
          <w:tcPr>
            <w:tcW w:w="1418" w:type="dxa"/>
            <w:tcBorders>
              <w:bottom w:val="single" w:sz="4" w:space="0" w:color="auto"/>
            </w:tcBorders>
          </w:tcPr>
          <w:p w14:paraId="0AE86D06" w14:textId="77777777" w:rsidR="00EA35F8" w:rsidRPr="00825D39" w:rsidRDefault="00EA35F8" w:rsidP="008C15ED">
            <w:pPr>
              <w:pStyle w:val="TableText"/>
            </w:pPr>
            <w:r w:rsidRPr="00825D39">
              <w:t>-2.3e-06</w:t>
            </w:r>
          </w:p>
        </w:tc>
        <w:tc>
          <w:tcPr>
            <w:tcW w:w="1417" w:type="dxa"/>
            <w:tcBorders>
              <w:bottom w:val="single" w:sz="4" w:space="0" w:color="auto"/>
            </w:tcBorders>
          </w:tcPr>
          <w:p w14:paraId="11AB43AB" w14:textId="77777777" w:rsidR="00EA35F8" w:rsidRPr="00C011F2" w:rsidRDefault="00EA35F8" w:rsidP="008C15ED">
            <w:pPr>
              <w:pStyle w:val="TableText"/>
            </w:pPr>
            <w:r w:rsidRPr="00C011F2">
              <w:t>6.8e-07</w:t>
            </w:r>
          </w:p>
        </w:tc>
        <w:tc>
          <w:tcPr>
            <w:tcW w:w="1418" w:type="dxa"/>
            <w:tcBorders>
              <w:bottom w:val="single" w:sz="4" w:space="0" w:color="auto"/>
            </w:tcBorders>
          </w:tcPr>
          <w:p w14:paraId="724FAB58" w14:textId="77777777" w:rsidR="00EA35F8" w:rsidRPr="00C011F2" w:rsidRDefault="00EA35F8" w:rsidP="008C15ED">
            <w:pPr>
              <w:pStyle w:val="TableText"/>
            </w:pPr>
            <w:r w:rsidRPr="00C011F2">
              <w:t>0.001</w:t>
            </w:r>
          </w:p>
        </w:tc>
      </w:tr>
    </w:tbl>
    <w:p w14:paraId="7B3B96E8" w14:textId="77777777" w:rsidR="00EA35F8" w:rsidRDefault="00EA35F8" w:rsidP="00EA35F8">
      <w:pPr>
        <w:spacing w:before="0" w:after="160" w:line="259" w:lineRule="auto"/>
        <w:jc w:val="left"/>
        <w:rPr>
          <w:noProof/>
          <w:highlight w:val="yellow"/>
          <w:lang w:eastAsia="en-AU"/>
        </w:rPr>
      </w:pPr>
    </w:p>
    <w:p w14:paraId="38193AB1" w14:textId="77777777" w:rsidR="00EA35F8" w:rsidRDefault="00EA35F8" w:rsidP="00EA35F8"/>
    <w:p w14:paraId="742BCF12" w14:textId="690DE433" w:rsidR="00385C6A" w:rsidRDefault="00385C6A" w:rsidP="00385C6A">
      <w:r w:rsidRPr="009E2AA1">
        <w:rPr>
          <w:i/>
          <w:iCs/>
          <w:color w:val="2F5496" w:themeColor="accent5" w:themeShade="BF"/>
          <w:sz w:val="18"/>
          <w:szCs w:val="16"/>
        </w:rPr>
        <w:t>H</w:t>
      </w:r>
      <w:r>
        <w:rPr>
          <w:i/>
          <w:iCs/>
          <w:color w:val="2F5496" w:themeColor="accent5" w:themeShade="BF"/>
          <w:sz w:val="18"/>
          <w:szCs w:val="16"/>
        </w:rPr>
        <w:t>2</w:t>
      </w:r>
      <w:r w:rsidRPr="009E2AA1">
        <w:rPr>
          <w:i/>
          <w:iCs/>
          <w:color w:val="2F5496" w:themeColor="accent5" w:themeShade="BF"/>
          <w:sz w:val="18"/>
          <w:szCs w:val="16"/>
        </w:rPr>
        <w:t xml:space="preserve">: </w:t>
      </w:r>
      <w:r>
        <w:rPr>
          <w:i/>
          <w:iCs/>
          <w:color w:val="2F5496" w:themeColor="accent5" w:themeShade="BF"/>
          <w:sz w:val="18"/>
          <w:szCs w:val="16"/>
        </w:rPr>
        <w:t>Lateral and longitudinal connectivity</w:t>
      </w:r>
    </w:p>
    <w:p w14:paraId="41AB277A" w14:textId="54FFD5B2" w:rsidR="00EA35F8" w:rsidRDefault="00EA35F8" w:rsidP="00EA35F8">
      <w:r>
        <w:t xml:space="preserve">Across all years, environmental water delivery accounted for ~18% of the observed density of </w:t>
      </w:r>
      <w:proofErr w:type="spellStart"/>
      <w:r>
        <w:t>microinvertebrates</w:t>
      </w:r>
      <w:proofErr w:type="spellEnd"/>
      <w:r>
        <w:t xml:space="preserve"> dependent on lateral connectivity (</w:t>
      </w:r>
      <w:r w:rsidRPr="00EC3D26">
        <w:t>mean difference ±[95% CI] between observed and modelled</w:t>
      </w:r>
      <w:r>
        <w:t xml:space="preserve"> </w:t>
      </w:r>
      <w:r w:rsidRPr="00EC3D26">
        <w:t xml:space="preserve">no environmental water </w:t>
      </w:r>
      <w:r>
        <w:t xml:space="preserve">scenarios </w:t>
      </w:r>
      <w:r w:rsidRPr="00EC3D26">
        <w:t xml:space="preserve">= </w:t>
      </w:r>
      <w:r>
        <w:t xml:space="preserve">8.9 </w:t>
      </w:r>
      <w:r w:rsidRPr="00EC3D26">
        <w:t>[</w:t>
      </w:r>
      <w:r>
        <w:t>6.4</w:t>
      </w:r>
      <w:r w:rsidRPr="00EC3D26">
        <w:t xml:space="preserve">, </w:t>
      </w:r>
      <w:r>
        <w:t>11.4</w:t>
      </w:r>
      <w:r w:rsidRPr="00EC3D26">
        <w:t>]</w:t>
      </w:r>
      <w:r>
        <w:t xml:space="preserve"> </w:t>
      </w:r>
      <w:proofErr w:type="spellStart"/>
      <w:r>
        <w:t>ind</w:t>
      </w:r>
      <w:proofErr w:type="spellEnd"/>
      <w:r>
        <w:t>/L</w:t>
      </w:r>
      <w:r w:rsidRPr="00EC3D26">
        <w:t xml:space="preserve">; </w:t>
      </w:r>
      <w:r w:rsidRPr="00FB57BA">
        <w:rPr>
          <w:i/>
          <w:iCs/>
        </w:rPr>
        <w:t>t</w:t>
      </w:r>
      <w:r w:rsidRPr="00EC3D26">
        <w:t xml:space="preserve"> = </w:t>
      </w:r>
      <w:r>
        <w:t>7.06</w:t>
      </w:r>
      <w:r w:rsidRPr="00EC3D26">
        <w:t xml:space="preserve">, df = 194, </w:t>
      </w:r>
      <w:r w:rsidRPr="00FB57BA">
        <w:rPr>
          <w:i/>
          <w:iCs/>
        </w:rPr>
        <w:t>p</w:t>
      </w:r>
      <w:r w:rsidRPr="00EC3D26">
        <w:t xml:space="preserve"> &lt; 0.001</w:t>
      </w:r>
      <w:r>
        <w:t>). Commonwealth environmental water alone accounted for ~86% of this (</w:t>
      </w:r>
      <w:r w:rsidRPr="00EC3D26">
        <w:t>mean difference</w:t>
      </w:r>
      <w:r>
        <w:t xml:space="preserve"> </w:t>
      </w:r>
      <w:proofErr w:type="gramStart"/>
      <w:r w:rsidRPr="00EC3D26">
        <w:t>±[</w:t>
      </w:r>
      <w:proofErr w:type="gramEnd"/>
      <w:r w:rsidRPr="00EC3D26">
        <w:t xml:space="preserve"> 95% CI] = </w:t>
      </w:r>
      <w:r>
        <w:t>7.6</w:t>
      </w:r>
      <w:r w:rsidRPr="00EC3D26">
        <w:t xml:space="preserve"> [</w:t>
      </w:r>
      <w:r>
        <w:t>5.6</w:t>
      </w:r>
      <w:r w:rsidRPr="00EC3D26">
        <w:t>,</w:t>
      </w:r>
      <w:r>
        <w:t xml:space="preserve"> 9.6</w:t>
      </w:r>
      <w:r w:rsidRPr="00EC3D26">
        <w:t xml:space="preserve">] </w:t>
      </w:r>
      <w:proofErr w:type="spellStart"/>
      <w:r>
        <w:t>ind</w:t>
      </w:r>
      <w:proofErr w:type="spellEnd"/>
      <w:r>
        <w:t xml:space="preserve">/L; </w:t>
      </w:r>
      <w:r w:rsidRPr="00146FC8">
        <w:rPr>
          <w:i/>
          <w:iCs/>
        </w:rPr>
        <w:t>t</w:t>
      </w:r>
      <w:r>
        <w:t>= 7</w:t>
      </w:r>
      <w:r w:rsidRPr="00EC3D26">
        <w:t>.</w:t>
      </w:r>
      <w:r>
        <w:t>53</w:t>
      </w:r>
      <w:r w:rsidRPr="00EC3D26">
        <w:t xml:space="preserve">, </w:t>
      </w:r>
      <w:r w:rsidRPr="00FB57BA">
        <w:t>df</w:t>
      </w:r>
      <w:r w:rsidRPr="00EC3D26">
        <w:rPr>
          <w:i/>
          <w:iCs/>
        </w:rPr>
        <w:t xml:space="preserve"> </w:t>
      </w:r>
      <w:r w:rsidRPr="00EC3D26">
        <w:t xml:space="preserve">= 194, </w:t>
      </w:r>
      <w:r w:rsidRPr="00AE6AEB">
        <w:rPr>
          <w:i/>
          <w:iCs/>
        </w:rPr>
        <w:t>p</w:t>
      </w:r>
      <w:r>
        <w:t xml:space="preserve"> &lt;0.001).</w:t>
      </w:r>
    </w:p>
    <w:p w14:paraId="5E163CD3" w14:textId="77777777" w:rsidR="00EA35F8" w:rsidRDefault="00EA35F8" w:rsidP="00EA35F8">
      <w:r>
        <w:t xml:space="preserve">Across all years, environmental water delivery accounted for ~16.5% of the observed density of </w:t>
      </w:r>
      <w:proofErr w:type="spellStart"/>
      <w:r>
        <w:t>microinvertebrates</w:t>
      </w:r>
      <w:proofErr w:type="spellEnd"/>
      <w:r>
        <w:t xml:space="preserve"> dependent on longitudinal connectivity (</w:t>
      </w:r>
      <w:r w:rsidRPr="00EC3D26">
        <w:t>mean difference ±[ 95% CI] between observed and modelled</w:t>
      </w:r>
      <w:r>
        <w:t xml:space="preserve"> </w:t>
      </w:r>
      <w:r w:rsidRPr="00EC3D26">
        <w:t>no environmental water</w:t>
      </w:r>
      <w:r>
        <w:t xml:space="preserve"> scenarios</w:t>
      </w:r>
      <w:r w:rsidRPr="00EC3D26">
        <w:t xml:space="preserve"> = </w:t>
      </w:r>
      <w:r>
        <w:t xml:space="preserve">83.2 </w:t>
      </w:r>
      <w:r w:rsidRPr="00EC3D26">
        <w:t>[</w:t>
      </w:r>
      <w:r>
        <w:t>66.0</w:t>
      </w:r>
      <w:r w:rsidRPr="00EC3D26">
        <w:t xml:space="preserve">, </w:t>
      </w:r>
      <w:r>
        <w:t>100.4</w:t>
      </w:r>
      <w:r w:rsidRPr="00EC3D26">
        <w:t>]</w:t>
      </w:r>
      <w:r>
        <w:t xml:space="preserve"> </w:t>
      </w:r>
      <w:proofErr w:type="spellStart"/>
      <w:r>
        <w:t>ind</w:t>
      </w:r>
      <w:proofErr w:type="spellEnd"/>
      <w:r>
        <w:t>/L</w:t>
      </w:r>
      <w:r w:rsidRPr="00EC3D26">
        <w:t xml:space="preserve">; </w:t>
      </w:r>
      <w:r w:rsidRPr="00FB57BA">
        <w:rPr>
          <w:i/>
          <w:iCs/>
        </w:rPr>
        <w:t xml:space="preserve">t </w:t>
      </w:r>
      <w:r w:rsidRPr="00EC3D26">
        <w:t xml:space="preserve">= </w:t>
      </w:r>
      <w:r>
        <w:t>9.56</w:t>
      </w:r>
      <w:r w:rsidRPr="00EC3D26">
        <w:t xml:space="preserve">, df = 194, </w:t>
      </w:r>
      <w:r w:rsidRPr="00FB57BA">
        <w:rPr>
          <w:i/>
          <w:iCs/>
        </w:rPr>
        <w:t>p</w:t>
      </w:r>
      <w:r w:rsidRPr="00EC3D26">
        <w:t xml:space="preserve"> &lt; 0.001</w:t>
      </w:r>
      <w:r>
        <w:t>). Commonwealth environmental water alone accounted for ~65% of this increase (</w:t>
      </w:r>
      <w:r w:rsidRPr="00EC3D26">
        <w:t>mean difference</w:t>
      </w:r>
      <w:r>
        <w:t xml:space="preserve"> </w:t>
      </w:r>
      <w:proofErr w:type="gramStart"/>
      <w:r w:rsidRPr="00EC3D26">
        <w:t>±[</w:t>
      </w:r>
      <w:proofErr w:type="gramEnd"/>
      <w:r w:rsidRPr="00EC3D26">
        <w:t xml:space="preserve"> 95% CI] = </w:t>
      </w:r>
      <w:r>
        <w:t>54.1</w:t>
      </w:r>
      <w:r w:rsidRPr="00EC3D26">
        <w:t xml:space="preserve"> [</w:t>
      </w:r>
      <w:r>
        <w:t>41.2</w:t>
      </w:r>
      <w:r w:rsidRPr="00EC3D26">
        <w:t>,</w:t>
      </w:r>
      <w:r>
        <w:t xml:space="preserve"> 66.9</w:t>
      </w:r>
      <w:r w:rsidRPr="00EC3D26">
        <w:t xml:space="preserve">] </w:t>
      </w:r>
      <w:proofErr w:type="spellStart"/>
      <w:r>
        <w:t>ind</w:t>
      </w:r>
      <w:proofErr w:type="spellEnd"/>
      <w:r>
        <w:t>/L</w:t>
      </w:r>
      <w:r w:rsidRPr="00EC3D26">
        <w:t xml:space="preserve">; </w:t>
      </w:r>
      <w:r w:rsidRPr="00EC3D26">
        <w:rPr>
          <w:i/>
          <w:iCs/>
        </w:rPr>
        <w:t>t</w:t>
      </w:r>
      <w:r w:rsidRPr="00EC3D26">
        <w:t xml:space="preserve"> =</w:t>
      </w:r>
      <w:r>
        <w:t xml:space="preserve"> 8</w:t>
      </w:r>
      <w:r w:rsidRPr="00EC3D26">
        <w:t>.</w:t>
      </w:r>
      <w:r>
        <w:t>29</w:t>
      </w:r>
      <w:r w:rsidRPr="00EC3D26">
        <w:t xml:space="preserve">, </w:t>
      </w:r>
      <w:r w:rsidRPr="00FB57BA">
        <w:t>df</w:t>
      </w:r>
      <w:r w:rsidRPr="00EC3D26">
        <w:rPr>
          <w:i/>
          <w:iCs/>
        </w:rPr>
        <w:t xml:space="preserve"> </w:t>
      </w:r>
      <w:r w:rsidRPr="00EC3D26">
        <w:t xml:space="preserve">= 194, </w:t>
      </w:r>
      <w:r w:rsidRPr="00EC3D26">
        <w:rPr>
          <w:i/>
          <w:iCs/>
        </w:rPr>
        <w:t>p</w:t>
      </w:r>
      <w:r w:rsidRPr="00EC3D26">
        <w:t xml:space="preserve"> &lt; 0.001</w:t>
      </w:r>
      <w:r>
        <w:t>).</w:t>
      </w:r>
    </w:p>
    <w:p w14:paraId="6D533F93" w14:textId="45D3A026" w:rsidR="00EA35F8" w:rsidRDefault="00EA35F8" w:rsidP="00EA35F8">
      <w:pPr>
        <w:pStyle w:val="TableHeading"/>
      </w:pPr>
      <w:r>
        <w:t>Table D</w:t>
      </w:r>
      <w:r w:rsidR="00065DAD">
        <w:t>8</w:t>
      </w:r>
      <w:r>
        <w:t xml:space="preserve">. </w:t>
      </w:r>
      <w:r w:rsidRPr="00830EF3">
        <w:t xml:space="preserve">Results of negative binomial generalised linear model for abundance (individuals per litre) </w:t>
      </w:r>
      <w:r>
        <w:t xml:space="preserve">of taxa dependent upon lateral connectivity </w:t>
      </w:r>
      <w:r w:rsidRPr="00830EF3">
        <w:t>showing selected predictors, estimated coefficients (Estimate), standard errors in estimation (</w:t>
      </w:r>
      <w:proofErr w:type="spellStart"/>
      <w:proofErr w:type="gramStart"/>
      <w:r w:rsidRPr="00830EF3">
        <w:t>std.Error</w:t>
      </w:r>
      <w:proofErr w:type="spellEnd"/>
      <w:proofErr w:type="gramEnd"/>
      <w:r w:rsidRPr="00830EF3">
        <w:t xml:space="preserve">) and Type I Error probability (p-value). Flow data were log transformed prior to modelling.  FPA60 quantifies the area of floodplain inundated over the last 60 days (see Methods for full description of predictor calculation). Negative binomial distribution dispersion parameter (theta) = </w:t>
      </w:r>
      <w:r>
        <w:t>2</w:t>
      </w:r>
      <w:r w:rsidRPr="00830EF3">
        <w:t>.4</w:t>
      </w:r>
      <w:r>
        <w:t>1</w:t>
      </w:r>
      <w:r w:rsidRPr="00830EF3">
        <w:t>, standard error = 0.</w:t>
      </w:r>
      <w:r>
        <w:t>26</w:t>
      </w:r>
      <w:r w:rsidRPr="00830EF3">
        <w:t>.</w:t>
      </w:r>
    </w:p>
    <w:tbl>
      <w:tblPr>
        <w:tblStyle w:val="TableGrid"/>
        <w:tblW w:w="721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16"/>
        <w:gridCol w:w="1433"/>
        <w:gridCol w:w="1434"/>
        <w:gridCol w:w="1434"/>
      </w:tblGrid>
      <w:tr w:rsidR="00EA35F8" w:rsidRPr="00011752" w14:paraId="4A0E1642" w14:textId="77777777" w:rsidTr="00432B07">
        <w:trPr>
          <w:jc w:val="center"/>
        </w:trPr>
        <w:tc>
          <w:tcPr>
            <w:tcW w:w="2916" w:type="dxa"/>
            <w:tcBorders>
              <w:top w:val="single" w:sz="4" w:space="0" w:color="auto"/>
              <w:bottom w:val="single" w:sz="4" w:space="0" w:color="auto"/>
            </w:tcBorders>
          </w:tcPr>
          <w:p w14:paraId="2DBAE789" w14:textId="77777777" w:rsidR="00EA35F8" w:rsidRPr="00011752" w:rsidRDefault="00EA35F8" w:rsidP="008C15ED">
            <w:pPr>
              <w:pStyle w:val="TableHeading"/>
            </w:pPr>
            <w:r w:rsidRPr="00011752">
              <w:t>Predictor</w:t>
            </w:r>
          </w:p>
        </w:tc>
        <w:tc>
          <w:tcPr>
            <w:tcW w:w="1433" w:type="dxa"/>
            <w:tcBorders>
              <w:top w:val="single" w:sz="4" w:space="0" w:color="auto"/>
              <w:bottom w:val="single" w:sz="4" w:space="0" w:color="auto"/>
            </w:tcBorders>
          </w:tcPr>
          <w:p w14:paraId="7651336E" w14:textId="77777777" w:rsidR="00EA35F8" w:rsidRPr="00011752" w:rsidRDefault="00EA35F8" w:rsidP="008C15ED">
            <w:pPr>
              <w:pStyle w:val="TableHeading"/>
            </w:pPr>
            <w:r w:rsidRPr="00011752">
              <w:t>Estimate</w:t>
            </w:r>
          </w:p>
        </w:tc>
        <w:tc>
          <w:tcPr>
            <w:tcW w:w="1434" w:type="dxa"/>
            <w:tcBorders>
              <w:top w:val="single" w:sz="4" w:space="0" w:color="auto"/>
              <w:bottom w:val="single" w:sz="4" w:space="0" w:color="auto"/>
            </w:tcBorders>
          </w:tcPr>
          <w:p w14:paraId="242EF9CD" w14:textId="77777777" w:rsidR="00EA35F8" w:rsidRPr="00011752" w:rsidRDefault="00EA35F8" w:rsidP="008C15ED">
            <w:pPr>
              <w:pStyle w:val="TableHeading"/>
            </w:pPr>
            <w:r w:rsidRPr="00011752">
              <w:t>std. Error</w:t>
            </w:r>
          </w:p>
        </w:tc>
        <w:tc>
          <w:tcPr>
            <w:tcW w:w="1434" w:type="dxa"/>
            <w:tcBorders>
              <w:top w:val="single" w:sz="4" w:space="0" w:color="auto"/>
              <w:bottom w:val="single" w:sz="4" w:space="0" w:color="auto"/>
            </w:tcBorders>
          </w:tcPr>
          <w:p w14:paraId="3931E43F" w14:textId="77777777" w:rsidR="00EA35F8" w:rsidRPr="00011752" w:rsidRDefault="00EA35F8" w:rsidP="008C15ED">
            <w:pPr>
              <w:pStyle w:val="TableHeading"/>
            </w:pPr>
            <w:r w:rsidRPr="00011752">
              <w:rPr>
                <w:i/>
                <w:iCs/>
              </w:rPr>
              <w:t>p</w:t>
            </w:r>
            <w:r>
              <w:t>-value</w:t>
            </w:r>
          </w:p>
        </w:tc>
      </w:tr>
      <w:tr w:rsidR="00EA35F8" w:rsidRPr="00011752" w14:paraId="724776C5" w14:textId="77777777" w:rsidTr="00432B07">
        <w:trPr>
          <w:jc w:val="center"/>
        </w:trPr>
        <w:tc>
          <w:tcPr>
            <w:tcW w:w="2916" w:type="dxa"/>
            <w:tcBorders>
              <w:top w:val="single" w:sz="4" w:space="0" w:color="auto"/>
            </w:tcBorders>
          </w:tcPr>
          <w:p w14:paraId="1978C5DC" w14:textId="77777777" w:rsidR="00EA35F8" w:rsidRPr="00011752" w:rsidRDefault="00EA35F8" w:rsidP="008C15ED">
            <w:pPr>
              <w:pStyle w:val="TableHeading"/>
            </w:pPr>
            <w:r w:rsidRPr="00011752">
              <w:t>(Intercept)</w:t>
            </w:r>
          </w:p>
        </w:tc>
        <w:tc>
          <w:tcPr>
            <w:tcW w:w="1433" w:type="dxa"/>
            <w:tcBorders>
              <w:top w:val="single" w:sz="4" w:space="0" w:color="auto"/>
            </w:tcBorders>
          </w:tcPr>
          <w:p w14:paraId="494B4145" w14:textId="77777777" w:rsidR="00EA35F8" w:rsidRPr="00011752" w:rsidRDefault="00EA35F8" w:rsidP="008C15ED">
            <w:pPr>
              <w:pStyle w:val="TableText"/>
              <w:jc w:val="center"/>
            </w:pPr>
            <w:r w:rsidRPr="00C838D7">
              <w:t>-4.41</w:t>
            </w:r>
          </w:p>
        </w:tc>
        <w:tc>
          <w:tcPr>
            <w:tcW w:w="1434" w:type="dxa"/>
            <w:tcBorders>
              <w:top w:val="single" w:sz="4" w:space="0" w:color="auto"/>
            </w:tcBorders>
          </w:tcPr>
          <w:p w14:paraId="6713BE51" w14:textId="77777777" w:rsidR="00EA35F8" w:rsidRPr="00011752" w:rsidRDefault="00EA35F8" w:rsidP="008C15ED">
            <w:pPr>
              <w:pStyle w:val="TableText"/>
              <w:jc w:val="center"/>
            </w:pPr>
            <w:r w:rsidRPr="00C838D7">
              <w:t>3.79</w:t>
            </w:r>
          </w:p>
        </w:tc>
        <w:tc>
          <w:tcPr>
            <w:tcW w:w="1434" w:type="dxa"/>
            <w:tcBorders>
              <w:top w:val="single" w:sz="4" w:space="0" w:color="auto"/>
            </w:tcBorders>
          </w:tcPr>
          <w:p w14:paraId="7B7929D9" w14:textId="77777777" w:rsidR="00EA35F8" w:rsidRPr="00011752" w:rsidRDefault="00EA35F8" w:rsidP="008C15ED">
            <w:pPr>
              <w:pStyle w:val="TableText"/>
              <w:jc w:val="center"/>
            </w:pPr>
            <w:r w:rsidRPr="00C838D7">
              <w:t>0.245</w:t>
            </w:r>
          </w:p>
        </w:tc>
      </w:tr>
      <w:tr w:rsidR="00EA35F8" w:rsidRPr="00011752" w14:paraId="144B5102" w14:textId="77777777" w:rsidTr="00432B07">
        <w:trPr>
          <w:jc w:val="center"/>
        </w:trPr>
        <w:tc>
          <w:tcPr>
            <w:tcW w:w="2916" w:type="dxa"/>
          </w:tcPr>
          <w:p w14:paraId="3AA45708" w14:textId="77777777" w:rsidR="00EA35F8" w:rsidRPr="00011752" w:rsidRDefault="00EA35F8" w:rsidP="008C15ED">
            <w:pPr>
              <w:pStyle w:val="TableHeading"/>
            </w:pPr>
            <w:r>
              <w:t>M</w:t>
            </w:r>
            <w:r w:rsidRPr="00011752">
              <w:t>onth [</w:t>
            </w:r>
            <w:r>
              <w:t>Oct</w:t>
            </w:r>
            <w:r w:rsidRPr="00011752">
              <w:t>]</w:t>
            </w:r>
          </w:p>
        </w:tc>
        <w:tc>
          <w:tcPr>
            <w:tcW w:w="1433" w:type="dxa"/>
          </w:tcPr>
          <w:p w14:paraId="4DABA44C" w14:textId="77777777" w:rsidR="00EA35F8" w:rsidRPr="00011752" w:rsidRDefault="00EA35F8" w:rsidP="008C15ED">
            <w:pPr>
              <w:pStyle w:val="TableText"/>
              <w:jc w:val="center"/>
            </w:pPr>
            <w:r w:rsidRPr="00543F04">
              <w:t>-0.46</w:t>
            </w:r>
          </w:p>
        </w:tc>
        <w:tc>
          <w:tcPr>
            <w:tcW w:w="1434" w:type="dxa"/>
          </w:tcPr>
          <w:p w14:paraId="4CCAE202" w14:textId="77777777" w:rsidR="00EA35F8" w:rsidRPr="00011752" w:rsidRDefault="00EA35F8" w:rsidP="008C15ED">
            <w:pPr>
              <w:pStyle w:val="TableText"/>
              <w:jc w:val="center"/>
            </w:pPr>
            <w:r w:rsidRPr="00543F04">
              <w:t>0.38</w:t>
            </w:r>
          </w:p>
        </w:tc>
        <w:tc>
          <w:tcPr>
            <w:tcW w:w="1434" w:type="dxa"/>
          </w:tcPr>
          <w:p w14:paraId="1E4D3DDF" w14:textId="77777777" w:rsidR="00EA35F8" w:rsidRPr="00011752" w:rsidRDefault="00EA35F8" w:rsidP="008C15ED">
            <w:pPr>
              <w:pStyle w:val="TableText"/>
              <w:jc w:val="center"/>
            </w:pPr>
            <w:r w:rsidRPr="00543F04">
              <w:t>0.216</w:t>
            </w:r>
          </w:p>
        </w:tc>
      </w:tr>
      <w:tr w:rsidR="00EA35F8" w:rsidRPr="00011752" w14:paraId="2E3E20FF" w14:textId="77777777" w:rsidTr="00432B07">
        <w:trPr>
          <w:jc w:val="center"/>
        </w:trPr>
        <w:tc>
          <w:tcPr>
            <w:tcW w:w="2916" w:type="dxa"/>
          </w:tcPr>
          <w:p w14:paraId="286F67A9" w14:textId="77777777" w:rsidR="00EA35F8" w:rsidRPr="00011752" w:rsidRDefault="00EA35F8" w:rsidP="008C15ED">
            <w:pPr>
              <w:pStyle w:val="TableHeading"/>
            </w:pPr>
            <w:r>
              <w:t>M</w:t>
            </w:r>
            <w:r w:rsidRPr="00011752">
              <w:t>onth [</w:t>
            </w:r>
            <w:r>
              <w:t>Nov</w:t>
            </w:r>
            <w:r w:rsidRPr="00011752">
              <w:t>]</w:t>
            </w:r>
          </w:p>
        </w:tc>
        <w:tc>
          <w:tcPr>
            <w:tcW w:w="1433" w:type="dxa"/>
          </w:tcPr>
          <w:p w14:paraId="54E87F22" w14:textId="77777777" w:rsidR="00EA35F8" w:rsidRPr="00011752" w:rsidRDefault="00EA35F8" w:rsidP="008C15ED">
            <w:pPr>
              <w:pStyle w:val="TableText"/>
              <w:jc w:val="center"/>
            </w:pPr>
            <w:r w:rsidRPr="00390253">
              <w:t>-2.04</w:t>
            </w:r>
          </w:p>
        </w:tc>
        <w:tc>
          <w:tcPr>
            <w:tcW w:w="1434" w:type="dxa"/>
          </w:tcPr>
          <w:p w14:paraId="766212CA" w14:textId="77777777" w:rsidR="00EA35F8" w:rsidRPr="00011752" w:rsidRDefault="00EA35F8" w:rsidP="008C15ED">
            <w:pPr>
              <w:pStyle w:val="TableText"/>
              <w:jc w:val="center"/>
            </w:pPr>
            <w:r w:rsidRPr="00390253">
              <w:t>0.45</w:t>
            </w:r>
          </w:p>
        </w:tc>
        <w:tc>
          <w:tcPr>
            <w:tcW w:w="1434" w:type="dxa"/>
          </w:tcPr>
          <w:p w14:paraId="2B77CE9D" w14:textId="77777777" w:rsidR="00EA35F8" w:rsidRPr="00011752" w:rsidRDefault="00EA35F8" w:rsidP="008C15ED">
            <w:pPr>
              <w:pStyle w:val="TableText"/>
              <w:jc w:val="center"/>
            </w:pPr>
            <w:r w:rsidRPr="00390253">
              <w:t>&lt;0.001</w:t>
            </w:r>
          </w:p>
        </w:tc>
      </w:tr>
      <w:tr w:rsidR="00EA35F8" w:rsidRPr="00011752" w14:paraId="74DCF1B2" w14:textId="77777777" w:rsidTr="00432B07">
        <w:trPr>
          <w:jc w:val="center"/>
        </w:trPr>
        <w:tc>
          <w:tcPr>
            <w:tcW w:w="2916" w:type="dxa"/>
          </w:tcPr>
          <w:p w14:paraId="2084A6D0" w14:textId="77777777" w:rsidR="00EA35F8" w:rsidRPr="00011752" w:rsidRDefault="00EA35F8" w:rsidP="008C15ED">
            <w:pPr>
              <w:pStyle w:val="TableHeading"/>
            </w:pPr>
            <w:r>
              <w:t>M</w:t>
            </w:r>
            <w:r w:rsidRPr="00011752">
              <w:t>onth [</w:t>
            </w:r>
            <w:r>
              <w:t>Dec</w:t>
            </w:r>
            <w:r w:rsidRPr="00011752">
              <w:t>]</w:t>
            </w:r>
          </w:p>
        </w:tc>
        <w:tc>
          <w:tcPr>
            <w:tcW w:w="1433" w:type="dxa"/>
          </w:tcPr>
          <w:p w14:paraId="1C003AAD" w14:textId="77777777" w:rsidR="00EA35F8" w:rsidRPr="00011752" w:rsidRDefault="00EA35F8" w:rsidP="008C15ED">
            <w:pPr>
              <w:pStyle w:val="TableText"/>
              <w:jc w:val="center"/>
            </w:pPr>
            <w:r w:rsidRPr="00FE5DE6">
              <w:t>-1.91</w:t>
            </w:r>
          </w:p>
        </w:tc>
        <w:tc>
          <w:tcPr>
            <w:tcW w:w="1434" w:type="dxa"/>
          </w:tcPr>
          <w:p w14:paraId="4FD7D2C4" w14:textId="77777777" w:rsidR="00EA35F8" w:rsidRPr="00011752" w:rsidRDefault="00EA35F8" w:rsidP="008C15ED">
            <w:pPr>
              <w:pStyle w:val="TableText"/>
              <w:jc w:val="center"/>
            </w:pPr>
            <w:r w:rsidRPr="00FE5DE6">
              <w:t>0.51</w:t>
            </w:r>
          </w:p>
        </w:tc>
        <w:tc>
          <w:tcPr>
            <w:tcW w:w="1434" w:type="dxa"/>
          </w:tcPr>
          <w:p w14:paraId="25BD93D4" w14:textId="77777777" w:rsidR="00EA35F8" w:rsidRPr="00011752" w:rsidRDefault="00EA35F8" w:rsidP="008C15ED">
            <w:pPr>
              <w:pStyle w:val="TableText"/>
              <w:jc w:val="center"/>
            </w:pPr>
            <w:r w:rsidRPr="00FE5DE6">
              <w:t>&lt;0.001</w:t>
            </w:r>
          </w:p>
        </w:tc>
      </w:tr>
      <w:tr w:rsidR="00EA35F8" w:rsidRPr="00011752" w14:paraId="63F93732" w14:textId="77777777" w:rsidTr="00432B07">
        <w:trPr>
          <w:jc w:val="center"/>
        </w:trPr>
        <w:tc>
          <w:tcPr>
            <w:tcW w:w="2916" w:type="dxa"/>
          </w:tcPr>
          <w:p w14:paraId="5B313705" w14:textId="77777777" w:rsidR="00EA35F8" w:rsidRPr="00011752" w:rsidRDefault="00EA35F8" w:rsidP="008C15ED">
            <w:pPr>
              <w:pStyle w:val="TableHeading"/>
            </w:pPr>
            <w:r>
              <w:t>M</w:t>
            </w:r>
            <w:r w:rsidRPr="00011752">
              <w:t>onth [</w:t>
            </w:r>
            <w:r>
              <w:t>Jan</w:t>
            </w:r>
            <w:r w:rsidRPr="00011752">
              <w:t>]</w:t>
            </w:r>
          </w:p>
        </w:tc>
        <w:tc>
          <w:tcPr>
            <w:tcW w:w="1433" w:type="dxa"/>
          </w:tcPr>
          <w:p w14:paraId="0A189050" w14:textId="77777777" w:rsidR="00EA35F8" w:rsidRPr="00011752" w:rsidRDefault="00EA35F8" w:rsidP="008C15ED">
            <w:pPr>
              <w:pStyle w:val="TableText"/>
              <w:jc w:val="center"/>
            </w:pPr>
            <w:r w:rsidRPr="003E7B55">
              <w:t>-2.35</w:t>
            </w:r>
          </w:p>
        </w:tc>
        <w:tc>
          <w:tcPr>
            <w:tcW w:w="1434" w:type="dxa"/>
          </w:tcPr>
          <w:p w14:paraId="6B650A34" w14:textId="77777777" w:rsidR="00EA35F8" w:rsidRPr="00011752" w:rsidRDefault="00EA35F8" w:rsidP="008C15ED">
            <w:pPr>
              <w:pStyle w:val="TableText"/>
              <w:jc w:val="center"/>
            </w:pPr>
            <w:r w:rsidRPr="003E7B55">
              <w:t>0.56</w:t>
            </w:r>
          </w:p>
        </w:tc>
        <w:tc>
          <w:tcPr>
            <w:tcW w:w="1434" w:type="dxa"/>
          </w:tcPr>
          <w:p w14:paraId="1E454F20" w14:textId="77777777" w:rsidR="00EA35F8" w:rsidRPr="00011752" w:rsidRDefault="00EA35F8" w:rsidP="008C15ED">
            <w:pPr>
              <w:pStyle w:val="TableText"/>
              <w:jc w:val="center"/>
            </w:pPr>
            <w:r w:rsidRPr="003E7B55">
              <w:t>&lt;0.001</w:t>
            </w:r>
          </w:p>
        </w:tc>
      </w:tr>
      <w:tr w:rsidR="00EA35F8" w:rsidRPr="00011752" w14:paraId="3CF97E7A" w14:textId="77777777" w:rsidTr="00432B07">
        <w:trPr>
          <w:jc w:val="center"/>
        </w:trPr>
        <w:tc>
          <w:tcPr>
            <w:tcW w:w="2916" w:type="dxa"/>
          </w:tcPr>
          <w:p w14:paraId="6AC75852" w14:textId="77777777" w:rsidR="00EA35F8" w:rsidRPr="00011752" w:rsidRDefault="00EA35F8" w:rsidP="008C15ED">
            <w:pPr>
              <w:pStyle w:val="TableHeading"/>
            </w:pPr>
            <w:r>
              <w:t>mean daily flow (ML/d)</w:t>
            </w:r>
          </w:p>
        </w:tc>
        <w:tc>
          <w:tcPr>
            <w:tcW w:w="1433" w:type="dxa"/>
          </w:tcPr>
          <w:p w14:paraId="7C9435DA" w14:textId="77777777" w:rsidR="00EA35F8" w:rsidRPr="00011752" w:rsidRDefault="00EA35F8" w:rsidP="008C15ED">
            <w:pPr>
              <w:pStyle w:val="TableText"/>
              <w:jc w:val="center"/>
            </w:pPr>
            <w:r w:rsidRPr="00AD165F">
              <w:t>-0.67</w:t>
            </w:r>
          </w:p>
        </w:tc>
        <w:tc>
          <w:tcPr>
            <w:tcW w:w="1434" w:type="dxa"/>
          </w:tcPr>
          <w:p w14:paraId="5CE2D3F8" w14:textId="77777777" w:rsidR="00EA35F8" w:rsidRPr="00011752" w:rsidRDefault="00EA35F8" w:rsidP="008C15ED">
            <w:pPr>
              <w:pStyle w:val="TableText"/>
              <w:jc w:val="center"/>
            </w:pPr>
            <w:r w:rsidRPr="00AD165F">
              <w:t>0.15</w:t>
            </w:r>
          </w:p>
        </w:tc>
        <w:tc>
          <w:tcPr>
            <w:tcW w:w="1434" w:type="dxa"/>
          </w:tcPr>
          <w:p w14:paraId="04EAC0F7" w14:textId="77777777" w:rsidR="00EA35F8" w:rsidRPr="00011752" w:rsidRDefault="00EA35F8" w:rsidP="008C15ED">
            <w:pPr>
              <w:pStyle w:val="TableText"/>
              <w:jc w:val="center"/>
            </w:pPr>
            <w:r w:rsidRPr="00AD165F">
              <w:t>&lt;0.001</w:t>
            </w:r>
          </w:p>
        </w:tc>
      </w:tr>
      <w:tr w:rsidR="00EA35F8" w:rsidRPr="00011752" w14:paraId="6D9F96FE" w14:textId="77777777" w:rsidTr="00432B07">
        <w:trPr>
          <w:jc w:val="center"/>
        </w:trPr>
        <w:tc>
          <w:tcPr>
            <w:tcW w:w="2916" w:type="dxa"/>
          </w:tcPr>
          <w:p w14:paraId="4A75D161" w14:textId="77777777" w:rsidR="00EA35F8" w:rsidRDefault="00EA35F8" w:rsidP="008C15ED">
            <w:pPr>
              <w:pStyle w:val="TableHeading"/>
            </w:pPr>
            <w:r>
              <w:t>mean long-term daily flow</w:t>
            </w:r>
          </w:p>
        </w:tc>
        <w:tc>
          <w:tcPr>
            <w:tcW w:w="1433" w:type="dxa"/>
          </w:tcPr>
          <w:p w14:paraId="24EE65E2" w14:textId="77777777" w:rsidR="00EA35F8" w:rsidRPr="00AD165F" w:rsidRDefault="00EA35F8" w:rsidP="008C15ED">
            <w:pPr>
              <w:pStyle w:val="TableText"/>
              <w:jc w:val="center"/>
            </w:pPr>
            <w:r w:rsidRPr="007E4FC6">
              <w:t>0.82</w:t>
            </w:r>
          </w:p>
        </w:tc>
        <w:tc>
          <w:tcPr>
            <w:tcW w:w="1434" w:type="dxa"/>
          </w:tcPr>
          <w:p w14:paraId="68C75B4D" w14:textId="77777777" w:rsidR="00EA35F8" w:rsidRPr="00AD165F" w:rsidRDefault="00EA35F8" w:rsidP="008C15ED">
            <w:pPr>
              <w:pStyle w:val="TableText"/>
              <w:jc w:val="center"/>
            </w:pPr>
            <w:r w:rsidRPr="007E4FC6">
              <w:t>0.31</w:t>
            </w:r>
          </w:p>
        </w:tc>
        <w:tc>
          <w:tcPr>
            <w:tcW w:w="1434" w:type="dxa"/>
          </w:tcPr>
          <w:p w14:paraId="43068EC3" w14:textId="77777777" w:rsidR="00EA35F8" w:rsidRPr="00AD165F" w:rsidRDefault="00EA35F8" w:rsidP="008C15ED">
            <w:pPr>
              <w:pStyle w:val="TableText"/>
              <w:jc w:val="center"/>
            </w:pPr>
            <w:r w:rsidRPr="007E4FC6">
              <w:t>0.007</w:t>
            </w:r>
          </w:p>
        </w:tc>
      </w:tr>
      <w:tr w:rsidR="00EA35F8" w:rsidRPr="00011752" w14:paraId="36A1D894" w14:textId="77777777" w:rsidTr="00432B07">
        <w:trPr>
          <w:jc w:val="center"/>
        </w:trPr>
        <w:tc>
          <w:tcPr>
            <w:tcW w:w="2916" w:type="dxa"/>
          </w:tcPr>
          <w:p w14:paraId="1E708B68" w14:textId="77777777" w:rsidR="00EA35F8" w:rsidRPr="00011752" w:rsidRDefault="00EA35F8" w:rsidP="008C15ED">
            <w:pPr>
              <w:pStyle w:val="TableHeading"/>
            </w:pPr>
            <w:r>
              <w:t>electrical conductivity (EC)</w:t>
            </w:r>
          </w:p>
        </w:tc>
        <w:tc>
          <w:tcPr>
            <w:tcW w:w="1433" w:type="dxa"/>
          </w:tcPr>
          <w:p w14:paraId="5EA0D571" w14:textId="77777777" w:rsidR="00EA35F8" w:rsidRPr="00011752" w:rsidRDefault="00EA35F8" w:rsidP="008C15ED">
            <w:pPr>
              <w:pStyle w:val="TableText"/>
              <w:jc w:val="center"/>
            </w:pPr>
            <w:r w:rsidRPr="009B062B">
              <w:t>3.3e-03</w:t>
            </w:r>
          </w:p>
        </w:tc>
        <w:tc>
          <w:tcPr>
            <w:tcW w:w="1434" w:type="dxa"/>
          </w:tcPr>
          <w:p w14:paraId="5B2946E3" w14:textId="77777777" w:rsidR="00EA35F8" w:rsidRPr="00011752" w:rsidRDefault="00EA35F8" w:rsidP="008C15ED">
            <w:pPr>
              <w:pStyle w:val="TableText"/>
              <w:jc w:val="center"/>
            </w:pPr>
            <w:r w:rsidRPr="009B062B">
              <w:t>2.8e-03</w:t>
            </w:r>
          </w:p>
        </w:tc>
        <w:tc>
          <w:tcPr>
            <w:tcW w:w="1434" w:type="dxa"/>
          </w:tcPr>
          <w:p w14:paraId="59914F73" w14:textId="77777777" w:rsidR="00EA35F8" w:rsidRPr="00011752" w:rsidRDefault="00EA35F8" w:rsidP="008C15ED">
            <w:pPr>
              <w:pStyle w:val="TableText"/>
              <w:jc w:val="center"/>
            </w:pPr>
            <w:r w:rsidRPr="009B062B">
              <w:t>0.228</w:t>
            </w:r>
          </w:p>
        </w:tc>
      </w:tr>
      <w:tr w:rsidR="00EA35F8" w:rsidRPr="00011752" w14:paraId="537D3621" w14:textId="77777777" w:rsidTr="00432B07">
        <w:trPr>
          <w:jc w:val="center"/>
        </w:trPr>
        <w:tc>
          <w:tcPr>
            <w:tcW w:w="2916" w:type="dxa"/>
          </w:tcPr>
          <w:p w14:paraId="79FE6B85" w14:textId="77777777" w:rsidR="00EA35F8" w:rsidRPr="00011752" w:rsidRDefault="00EA35F8" w:rsidP="008C15ED">
            <w:pPr>
              <w:pStyle w:val="TableHeading"/>
            </w:pPr>
            <w:r>
              <w:t>water year</w:t>
            </w:r>
            <w:r w:rsidRPr="00011752">
              <w:t xml:space="preserve"> [</w:t>
            </w:r>
            <w:r>
              <w:t>2015</w:t>
            </w:r>
            <w:r w:rsidRPr="00011752">
              <w:t>]</w:t>
            </w:r>
          </w:p>
        </w:tc>
        <w:tc>
          <w:tcPr>
            <w:tcW w:w="1433" w:type="dxa"/>
          </w:tcPr>
          <w:p w14:paraId="306FD1A4" w14:textId="77777777" w:rsidR="00EA35F8" w:rsidRPr="00011752" w:rsidRDefault="00EA35F8" w:rsidP="008C15ED">
            <w:pPr>
              <w:pStyle w:val="TableText"/>
              <w:jc w:val="center"/>
            </w:pPr>
            <w:r w:rsidRPr="003A57BF">
              <w:t>-0.69</w:t>
            </w:r>
          </w:p>
        </w:tc>
        <w:tc>
          <w:tcPr>
            <w:tcW w:w="1434" w:type="dxa"/>
          </w:tcPr>
          <w:p w14:paraId="4CCA5206" w14:textId="77777777" w:rsidR="00EA35F8" w:rsidRPr="00011752" w:rsidRDefault="00EA35F8" w:rsidP="008C15ED">
            <w:pPr>
              <w:pStyle w:val="TableText"/>
              <w:jc w:val="center"/>
            </w:pPr>
            <w:r w:rsidRPr="003A57BF">
              <w:t>0.18</w:t>
            </w:r>
          </w:p>
        </w:tc>
        <w:tc>
          <w:tcPr>
            <w:tcW w:w="1434" w:type="dxa"/>
          </w:tcPr>
          <w:p w14:paraId="08B99B08" w14:textId="77777777" w:rsidR="00EA35F8" w:rsidRPr="00011752" w:rsidRDefault="00EA35F8" w:rsidP="008C15ED">
            <w:pPr>
              <w:pStyle w:val="TableText"/>
              <w:jc w:val="center"/>
            </w:pPr>
            <w:r w:rsidRPr="003A57BF">
              <w:t>&lt;0.001</w:t>
            </w:r>
          </w:p>
        </w:tc>
      </w:tr>
      <w:tr w:rsidR="00EA35F8" w:rsidRPr="00011752" w14:paraId="1A14F5CD" w14:textId="77777777" w:rsidTr="00432B07">
        <w:trPr>
          <w:jc w:val="center"/>
        </w:trPr>
        <w:tc>
          <w:tcPr>
            <w:tcW w:w="2916" w:type="dxa"/>
          </w:tcPr>
          <w:p w14:paraId="059280FC" w14:textId="77777777" w:rsidR="00EA35F8" w:rsidRPr="00011752" w:rsidRDefault="00EA35F8" w:rsidP="008C15ED">
            <w:pPr>
              <w:pStyle w:val="TableHeading"/>
            </w:pPr>
            <w:r>
              <w:t>water year</w:t>
            </w:r>
            <w:r w:rsidRPr="00011752">
              <w:t xml:space="preserve"> [</w:t>
            </w:r>
            <w:r>
              <w:t>2016</w:t>
            </w:r>
            <w:r w:rsidRPr="00011752">
              <w:t>]</w:t>
            </w:r>
          </w:p>
        </w:tc>
        <w:tc>
          <w:tcPr>
            <w:tcW w:w="1433" w:type="dxa"/>
          </w:tcPr>
          <w:p w14:paraId="606AF3B9" w14:textId="77777777" w:rsidR="00EA35F8" w:rsidRPr="00011752" w:rsidRDefault="00EA35F8" w:rsidP="008C15ED">
            <w:pPr>
              <w:pStyle w:val="TableText"/>
              <w:jc w:val="center"/>
            </w:pPr>
            <w:r w:rsidRPr="00944017">
              <w:t>-1.47</w:t>
            </w:r>
          </w:p>
        </w:tc>
        <w:tc>
          <w:tcPr>
            <w:tcW w:w="1434" w:type="dxa"/>
          </w:tcPr>
          <w:p w14:paraId="0214F88C" w14:textId="77777777" w:rsidR="00EA35F8" w:rsidRPr="00011752" w:rsidRDefault="00EA35F8" w:rsidP="008C15ED">
            <w:pPr>
              <w:pStyle w:val="TableText"/>
              <w:jc w:val="center"/>
            </w:pPr>
            <w:r w:rsidRPr="00944017">
              <w:t>0.57</w:t>
            </w:r>
          </w:p>
        </w:tc>
        <w:tc>
          <w:tcPr>
            <w:tcW w:w="1434" w:type="dxa"/>
          </w:tcPr>
          <w:p w14:paraId="798FBB64" w14:textId="77777777" w:rsidR="00EA35F8" w:rsidRPr="00011752" w:rsidRDefault="00EA35F8" w:rsidP="008C15ED">
            <w:pPr>
              <w:pStyle w:val="TableText"/>
              <w:jc w:val="center"/>
            </w:pPr>
            <w:r w:rsidRPr="00944017">
              <w:t>0.010</w:t>
            </w:r>
          </w:p>
        </w:tc>
      </w:tr>
      <w:tr w:rsidR="00EA35F8" w:rsidRPr="00011752" w14:paraId="365ECDBF" w14:textId="77777777" w:rsidTr="00432B07">
        <w:trPr>
          <w:jc w:val="center"/>
        </w:trPr>
        <w:tc>
          <w:tcPr>
            <w:tcW w:w="2916" w:type="dxa"/>
          </w:tcPr>
          <w:p w14:paraId="31267771" w14:textId="77777777" w:rsidR="00EA35F8" w:rsidRPr="00011752" w:rsidRDefault="00EA35F8" w:rsidP="008C15ED">
            <w:pPr>
              <w:pStyle w:val="TableHeading"/>
            </w:pPr>
            <w:r>
              <w:t>water year</w:t>
            </w:r>
            <w:r w:rsidRPr="00011752">
              <w:t xml:space="preserve"> [</w:t>
            </w:r>
            <w:r>
              <w:t>2017</w:t>
            </w:r>
            <w:r w:rsidRPr="00011752">
              <w:t>]</w:t>
            </w:r>
          </w:p>
        </w:tc>
        <w:tc>
          <w:tcPr>
            <w:tcW w:w="1433" w:type="dxa"/>
          </w:tcPr>
          <w:p w14:paraId="2BC0E5D8" w14:textId="77777777" w:rsidR="00EA35F8" w:rsidRPr="00011752" w:rsidRDefault="00EA35F8" w:rsidP="008C15ED">
            <w:pPr>
              <w:pStyle w:val="TableText"/>
              <w:jc w:val="center"/>
            </w:pPr>
            <w:r w:rsidRPr="001F1483">
              <w:t>-0.43</w:t>
            </w:r>
          </w:p>
        </w:tc>
        <w:tc>
          <w:tcPr>
            <w:tcW w:w="1434" w:type="dxa"/>
          </w:tcPr>
          <w:p w14:paraId="223E675D" w14:textId="77777777" w:rsidR="00EA35F8" w:rsidRPr="00011752" w:rsidRDefault="00EA35F8" w:rsidP="008C15ED">
            <w:pPr>
              <w:pStyle w:val="TableText"/>
              <w:jc w:val="center"/>
            </w:pPr>
            <w:r w:rsidRPr="001F1483">
              <w:t>0.19</w:t>
            </w:r>
          </w:p>
        </w:tc>
        <w:tc>
          <w:tcPr>
            <w:tcW w:w="1434" w:type="dxa"/>
          </w:tcPr>
          <w:p w14:paraId="4F1010BC" w14:textId="77777777" w:rsidR="00EA35F8" w:rsidRPr="00011752" w:rsidRDefault="00EA35F8" w:rsidP="008C15ED">
            <w:pPr>
              <w:pStyle w:val="TableText"/>
              <w:jc w:val="center"/>
            </w:pPr>
            <w:r w:rsidRPr="001F1483">
              <w:t>0.028</w:t>
            </w:r>
          </w:p>
        </w:tc>
      </w:tr>
      <w:tr w:rsidR="00EA35F8" w:rsidRPr="00011752" w14:paraId="08BD0BC8" w14:textId="77777777" w:rsidTr="00432B07">
        <w:trPr>
          <w:jc w:val="center"/>
        </w:trPr>
        <w:tc>
          <w:tcPr>
            <w:tcW w:w="2916" w:type="dxa"/>
          </w:tcPr>
          <w:p w14:paraId="6E07DCDE" w14:textId="77777777" w:rsidR="00EA35F8" w:rsidRPr="00011752" w:rsidRDefault="00EA35F8" w:rsidP="008C15ED">
            <w:pPr>
              <w:pStyle w:val="TableHeading"/>
            </w:pPr>
            <w:r>
              <w:t>water year</w:t>
            </w:r>
            <w:r w:rsidRPr="00011752">
              <w:t xml:space="preserve"> [</w:t>
            </w:r>
            <w:r>
              <w:t>2019</w:t>
            </w:r>
            <w:r w:rsidRPr="00011752">
              <w:t>]</w:t>
            </w:r>
          </w:p>
        </w:tc>
        <w:tc>
          <w:tcPr>
            <w:tcW w:w="1433" w:type="dxa"/>
          </w:tcPr>
          <w:p w14:paraId="3EB1319A" w14:textId="77777777" w:rsidR="00EA35F8" w:rsidRPr="00011752" w:rsidRDefault="00EA35F8" w:rsidP="008C15ED">
            <w:pPr>
              <w:pStyle w:val="TableText"/>
              <w:jc w:val="center"/>
            </w:pPr>
            <w:r w:rsidRPr="006A390D">
              <w:t>-0.47</w:t>
            </w:r>
          </w:p>
        </w:tc>
        <w:tc>
          <w:tcPr>
            <w:tcW w:w="1434" w:type="dxa"/>
          </w:tcPr>
          <w:p w14:paraId="2EC8ABA6" w14:textId="77777777" w:rsidR="00EA35F8" w:rsidRPr="00011752" w:rsidRDefault="00EA35F8" w:rsidP="008C15ED">
            <w:pPr>
              <w:pStyle w:val="TableText"/>
              <w:jc w:val="center"/>
            </w:pPr>
            <w:r w:rsidRPr="006A390D">
              <w:t>0.28</w:t>
            </w:r>
          </w:p>
        </w:tc>
        <w:tc>
          <w:tcPr>
            <w:tcW w:w="1434" w:type="dxa"/>
          </w:tcPr>
          <w:p w14:paraId="636DDCD0" w14:textId="77777777" w:rsidR="00EA35F8" w:rsidRPr="00011752" w:rsidRDefault="00EA35F8" w:rsidP="008C15ED">
            <w:pPr>
              <w:pStyle w:val="TableText"/>
              <w:jc w:val="center"/>
            </w:pPr>
            <w:r w:rsidRPr="006A390D">
              <w:t>0.095</w:t>
            </w:r>
          </w:p>
        </w:tc>
      </w:tr>
      <w:tr w:rsidR="00EA35F8" w:rsidRPr="00011752" w14:paraId="7D2D1480" w14:textId="77777777" w:rsidTr="00432B07">
        <w:trPr>
          <w:jc w:val="center"/>
        </w:trPr>
        <w:tc>
          <w:tcPr>
            <w:tcW w:w="2916" w:type="dxa"/>
          </w:tcPr>
          <w:p w14:paraId="5779A091" w14:textId="77777777" w:rsidR="00EA35F8" w:rsidRDefault="00EA35F8" w:rsidP="008C15ED">
            <w:pPr>
              <w:pStyle w:val="TableHeading"/>
            </w:pPr>
            <w:r>
              <w:t>temperature</w:t>
            </w:r>
          </w:p>
        </w:tc>
        <w:tc>
          <w:tcPr>
            <w:tcW w:w="1433" w:type="dxa"/>
          </w:tcPr>
          <w:p w14:paraId="7011BB41" w14:textId="77777777" w:rsidR="00EA35F8" w:rsidRPr="006A390D" w:rsidRDefault="00EA35F8" w:rsidP="008C15ED">
            <w:pPr>
              <w:pStyle w:val="TableText"/>
              <w:jc w:val="center"/>
            </w:pPr>
            <w:r w:rsidRPr="00B833FB">
              <w:t>0.36</w:t>
            </w:r>
          </w:p>
        </w:tc>
        <w:tc>
          <w:tcPr>
            <w:tcW w:w="1434" w:type="dxa"/>
          </w:tcPr>
          <w:p w14:paraId="7349B1FC" w14:textId="77777777" w:rsidR="00EA35F8" w:rsidRPr="006A390D" w:rsidRDefault="00EA35F8" w:rsidP="008C15ED">
            <w:pPr>
              <w:pStyle w:val="TableText"/>
              <w:jc w:val="center"/>
            </w:pPr>
            <w:r w:rsidRPr="00B833FB">
              <w:t>0.14</w:t>
            </w:r>
          </w:p>
        </w:tc>
        <w:tc>
          <w:tcPr>
            <w:tcW w:w="1434" w:type="dxa"/>
          </w:tcPr>
          <w:p w14:paraId="6D3DF6AC" w14:textId="77777777" w:rsidR="00EA35F8" w:rsidRPr="006A390D" w:rsidRDefault="00EA35F8" w:rsidP="008C15ED">
            <w:pPr>
              <w:pStyle w:val="TableText"/>
              <w:jc w:val="center"/>
            </w:pPr>
            <w:r w:rsidRPr="00B833FB">
              <w:t>0.010</w:t>
            </w:r>
          </w:p>
        </w:tc>
      </w:tr>
      <w:tr w:rsidR="00EA35F8" w:rsidRPr="00011752" w14:paraId="7A5CDFB8" w14:textId="77777777" w:rsidTr="00432B07">
        <w:trPr>
          <w:jc w:val="center"/>
        </w:trPr>
        <w:tc>
          <w:tcPr>
            <w:tcW w:w="2916" w:type="dxa"/>
          </w:tcPr>
          <w:p w14:paraId="4578619E" w14:textId="77777777" w:rsidR="00EA35F8" w:rsidRDefault="00EA35F8" w:rsidP="008C15ED">
            <w:pPr>
              <w:pStyle w:val="TableHeading"/>
            </w:pPr>
            <w:r>
              <w:t>electrical conductivity</w:t>
            </w:r>
          </w:p>
        </w:tc>
        <w:tc>
          <w:tcPr>
            <w:tcW w:w="1433" w:type="dxa"/>
          </w:tcPr>
          <w:p w14:paraId="3645D2A0" w14:textId="77777777" w:rsidR="00EA35F8" w:rsidRPr="00B833FB" w:rsidRDefault="00EA35F8" w:rsidP="008C15ED">
            <w:pPr>
              <w:pStyle w:val="TableText"/>
              <w:jc w:val="center"/>
            </w:pPr>
            <w:r w:rsidRPr="007E1910">
              <w:t>0.03</w:t>
            </w:r>
          </w:p>
        </w:tc>
        <w:tc>
          <w:tcPr>
            <w:tcW w:w="1434" w:type="dxa"/>
          </w:tcPr>
          <w:p w14:paraId="2FAE1101" w14:textId="77777777" w:rsidR="00EA35F8" w:rsidRPr="00B833FB" w:rsidRDefault="00EA35F8" w:rsidP="008C15ED">
            <w:pPr>
              <w:pStyle w:val="TableText"/>
              <w:jc w:val="center"/>
            </w:pPr>
            <w:r w:rsidRPr="007E1910">
              <w:t>0.02</w:t>
            </w:r>
          </w:p>
        </w:tc>
        <w:tc>
          <w:tcPr>
            <w:tcW w:w="1434" w:type="dxa"/>
          </w:tcPr>
          <w:p w14:paraId="43CF14C7" w14:textId="77777777" w:rsidR="00EA35F8" w:rsidRPr="00B833FB" w:rsidRDefault="00EA35F8" w:rsidP="008C15ED">
            <w:pPr>
              <w:pStyle w:val="TableText"/>
              <w:jc w:val="center"/>
            </w:pPr>
            <w:r w:rsidRPr="007E1910">
              <w:t>0.027</w:t>
            </w:r>
          </w:p>
        </w:tc>
      </w:tr>
      <w:tr w:rsidR="00EA35F8" w:rsidRPr="00011752" w14:paraId="52AC672B" w14:textId="77777777" w:rsidTr="00432B07">
        <w:trPr>
          <w:jc w:val="center"/>
        </w:trPr>
        <w:tc>
          <w:tcPr>
            <w:tcW w:w="2916" w:type="dxa"/>
          </w:tcPr>
          <w:p w14:paraId="57FF9658" w14:textId="77777777" w:rsidR="00EA35F8" w:rsidRPr="00011752" w:rsidRDefault="00EA35F8" w:rsidP="008C15ED">
            <w:pPr>
              <w:pStyle w:val="TableHeading"/>
            </w:pPr>
            <w:r>
              <w:t>10-day flow trend (dQ10)</w:t>
            </w:r>
          </w:p>
        </w:tc>
        <w:tc>
          <w:tcPr>
            <w:tcW w:w="1433" w:type="dxa"/>
          </w:tcPr>
          <w:p w14:paraId="03379B98" w14:textId="77777777" w:rsidR="00EA35F8" w:rsidRPr="00011752" w:rsidRDefault="00EA35F8" w:rsidP="008C15ED">
            <w:pPr>
              <w:pStyle w:val="TableText"/>
              <w:jc w:val="center"/>
            </w:pPr>
            <w:r w:rsidRPr="00FA50A9">
              <w:t>1.77</w:t>
            </w:r>
          </w:p>
        </w:tc>
        <w:tc>
          <w:tcPr>
            <w:tcW w:w="1434" w:type="dxa"/>
          </w:tcPr>
          <w:p w14:paraId="0758BFBC" w14:textId="77777777" w:rsidR="00EA35F8" w:rsidRPr="00011752" w:rsidRDefault="00EA35F8" w:rsidP="008C15ED">
            <w:pPr>
              <w:pStyle w:val="TableText"/>
              <w:jc w:val="center"/>
            </w:pPr>
            <w:r w:rsidRPr="00FA50A9">
              <w:t>0.74</w:t>
            </w:r>
          </w:p>
        </w:tc>
        <w:tc>
          <w:tcPr>
            <w:tcW w:w="1434" w:type="dxa"/>
          </w:tcPr>
          <w:p w14:paraId="72C03489" w14:textId="77777777" w:rsidR="00EA35F8" w:rsidRPr="00011752" w:rsidRDefault="00EA35F8" w:rsidP="008C15ED">
            <w:pPr>
              <w:pStyle w:val="TableText"/>
              <w:jc w:val="center"/>
            </w:pPr>
            <w:r w:rsidRPr="00FA50A9">
              <w:t>0.017</w:t>
            </w:r>
          </w:p>
        </w:tc>
      </w:tr>
      <w:tr w:rsidR="00EA35F8" w:rsidRPr="00011752" w14:paraId="440BCAC1" w14:textId="77777777" w:rsidTr="00432B07">
        <w:trPr>
          <w:jc w:val="center"/>
        </w:trPr>
        <w:tc>
          <w:tcPr>
            <w:tcW w:w="2916" w:type="dxa"/>
          </w:tcPr>
          <w:p w14:paraId="3AFEAD78" w14:textId="77777777" w:rsidR="00EA35F8" w:rsidRPr="00011752" w:rsidRDefault="00EA35F8" w:rsidP="008C15ED">
            <w:pPr>
              <w:pStyle w:val="TableHeading"/>
            </w:pPr>
            <w:r w:rsidRPr="00EF6941">
              <w:t>FPA60</w:t>
            </w:r>
          </w:p>
        </w:tc>
        <w:tc>
          <w:tcPr>
            <w:tcW w:w="1433" w:type="dxa"/>
          </w:tcPr>
          <w:p w14:paraId="5751AE0F" w14:textId="77777777" w:rsidR="00EA35F8" w:rsidRPr="00011752" w:rsidRDefault="00EA35F8" w:rsidP="008C15ED">
            <w:pPr>
              <w:pStyle w:val="TableText"/>
              <w:jc w:val="center"/>
            </w:pPr>
            <w:r>
              <w:t>4</w:t>
            </w:r>
            <w:r w:rsidRPr="00F65A30">
              <w:t>.</w:t>
            </w:r>
            <w:r>
              <w:t>0e-04</w:t>
            </w:r>
          </w:p>
        </w:tc>
        <w:tc>
          <w:tcPr>
            <w:tcW w:w="1434" w:type="dxa"/>
          </w:tcPr>
          <w:p w14:paraId="738F4AA4" w14:textId="77777777" w:rsidR="00EA35F8" w:rsidRPr="00011752" w:rsidRDefault="00EA35F8" w:rsidP="008C15ED">
            <w:pPr>
              <w:pStyle w:val="TableText"/>
              <w:jc w:val="center"/>
            </w:pPr>
            <w:r>
              <w:t>2.3e-04</w:t>
            </w:r>
          </w:p>
        </w:tc>
        <w:tc>
          <w:tcPr>
            <w:tcW w:w="1434" w:type="dxa"/>
          </w:tcPr>
          <w:p w14:paraId="5B2F6392" w14:textId="77777777" w:rsidR="00EA35F8" w:rsidRPr="00011752" w:rsidRDefault="00EA35F8" w:rsidP="008C15ED">
            <w:pPr>
              <w:pStyle w:val="TableText"/>
              <w:jc w:val="center"/>
            </w:pPr>
            <w:r w:rsidRPr="00EF6941">
              <w:t>0.086</w:t>
            </w:r>
          </w:p>
        </w:tc>
      </w:tr>
      <w:tr w:rsidR="00EA35F8" w:rsidRPr="00011752" w14:paraId="5F5DA33E" w14:textId="77777777" w:rsidTr="00432B07">
        <w:trPr>
          <w:jc w:val="center"/>
        </w:trPr>
        <w:tc>
          <w:tcPr>
            <w:tcW w:w="2916" w:type="dxa"/>
          </w:tcPr>
          <w:p w14:paraId="136E2B7A" w14:textId="77777777" w:rsidR="00EA35F8" w:rsidRPr="00011752" w:rsidRDefault="00EA35F8" w:rsidP="008C15ED">
            <w:pPr>
              <w:pStyle w:val="TableHeading"/>
            </w:pPr>
            <w:proofErr w:type="spellStart"/>
            <w:r w:rsidRPr="00F65A30">
              <w:t>temp</w:t>
            </w:r>
            <w:r>
              <w:t>erature:EC</w:t>
            </w:r>
            <w:proofErr w:type="spellEnd"/>
          </w:p>
        </w:tc>
        <w:tc>
          <w:tcPr>
            <w:tcW w:w="1433" w:type="dxa"/>
          </w:tcPr>
          <w:p w14:paraId="0486A73D" w14:textId="77777777" w:rsidR="00EA35F8" w:rsidRPr="00011752" w:rsidRDefault="00EA35F8" w:rsidP="008C15ED">
            <w:pPr>
              <w:pStyle w:val="TableText"/>
              <w:jc w:val="center"/>
            </w:pPr>
            <w:r>
              <w:t>-1.3</w:t>
            </w:r>
            <w:r w:rsidRPr="00C74FFF">
              <w:t>e-0</w:t>
            </w:r>
            <w:r>
              <w:t>3</w:t>
            </w:r>
          </w:p>
        </w:tc>
        <w:tc>
          <w:tcPr>
            <w:tcW w:w="1434" w:type="dxa"/>
          </w:tcPr>
          <w:p w14:paraId="3CCA8050" w14:textId="77777777" w:rsidR="00EA35F8" w:rsidRPr="00011752" w:rsidRDefault="00EA35F8" w:rsidP="008C15ED">
            <w:pPr>
              <w:pStyle w:val="TableText"/>
              <w:jc w:val="center"/>
            </w:pPr>
            <w:r>
              <w:t>7</w:t>
            </w:r>
            <w:r w:rsidRPr="00C74FFF">
              <w:t>.</w:t>
            </w:r>
            <w:r>
              <w:t>0</w:t>
            </w:r>
            <w:r w:rsidRPr="00C74FFF">
              <w:t>e-04</w:t>
            </w:r>
          </w:p>
        </w:tc>
        <w:tc>
          <w:tcPr>
            <w:tcW w:w="1434" w:type="dxa"/>
          </w:tcPr>
          <w:p w14:paraId="3FA95CE5" w14:textId="77777777" w:rsidR="00EA35F8" w:rsidRPr="00011752" w:rsidRDefault="00EA35F8" w:rsidP="008C15ED">
            <w:pPr>
              <w:pStyle w:val="TableText"/>
              <w:jc w:val="center"/>
            </w:pPr>
            <w:r w:rsidRPr="00EF6941">
              <w:t>0.061</w:t>
            </w:r>
          </w:p>
        </w:tc>
      </w:tr>
      <w:tr w:rsidR="00EA35F8" w:rsidRPr="00011752" w14:paraId="2A77412A" w14:textId="77777777" w:rsidTr="00432B07">
        <w:trPr>
          <w:jc w:val="center"/>
        </w:trPr>
        <w:tc>
          <w:tcPr>
            <w:tcW w:w="2916" w:type="dxa"/>
          </w:tcPr>
          <w:p w14:paraId="264C6A80" w14:textId="77777777" w:rsidR="00EA35F8" w:rsidRPr="00011752" w:rsidRDefault="00EA35F8" w:rsidP="008C15ED">
            <w:pPr>
              <w:pStyle w:val="TableHeading"/>
            </w:pPr>
            <w:proofErr w:type="gramStart"/>
            <w:r>
              <w:t>EC:dQ</w:t>
            </w:r>
            <w:proofErr w:type="gramEnd"/>
            <w:r>
              <w:t>10</w:t>
            </w:r>
          </w:p>
        </w:tc>
        <w:tc>
          <w:tcPr>
            <w:tcW w:w="1433" w:type="dxa"/>
          </w:tcPr>
          <w:p w14:paraId="5C9E7655" w14:textId="77777777" w:rsidR="00EA35F8" w:rsidRPr="00011752" w:rsidRDefault="00EA35F8" w:rsidP="008C15ED">
            <w:pPr>
              <w:pStyle w:val="TableText"/>
              <w:jc w:val="center"/>
            </w:pPr>
            <w:r w:rsidRPr="00161841">
              <w:t>-</w:t>
            </w:r>
            <w:r>
              <w:t>5</w:t>
            </w:r>
            <w:r w:rsidRPr="00161841">
              <w:t>.</w:t>
            </w:r>
            <w:r>
              <w:t>6</w:t>
            </w:r>
            <w:r w:rsidRPr="00161841">
              <w:t>e-03</w:t>
            </w:r>
          </w:p>
        </w:tc>
        <w:tc>
          <w:tcPr>
            <w:tcW w:w="1434" w:type="dxa"/>
          </w:tcPr>
          <w:p w14:paraId="462E7FCF" w14:textId="77777777" w:rsidR="00EA35F8" w:rsidRPr="00011752" w:rsidRDefault="00EA35F8" w:rsidP="008C15ED">
            <w:pPr>
              <w:pStyle w:val="TableText"/>
              <w:jc w:val="center"/>
            </w:pPr>
            <w:r>
              <w:t>3</w:t>
            </w:r>
            <w:r w:rsidRPr="00161841">
              <w:t>.</w:t>
            </w:r>
            <w:r>
              <w:t>5</w:t>
            </w:r>
            <w:r w:rsidRPr="00161841">
              <w:t>e-0</w:t>
            </w:r>
            <w:r>
              <w:t>3</w:t>
            </w:r>
          </w:p>
        </w:tc>
        <w:tc>
          <w:tcPr>
            <w:tcW w:w="1434" w:type="dxa"/>
          </w:tcPr>
          <w:p w14:paraId="00E9F561" w14:textId="77777777" w:rsidR="00EA35F8" w:rsidRPr="00011752" w:rsidRDefault="00EA35F8" w:rsidP="008C15ED">
            <w:pPr>
              <w:pStyle w:val="TableText"/>
              <w:jc w:val="center"/>
            </w:pPr>
            <w:r w:rsidRPr="00F65A30">
              <w:t>0.</w:t>
            </w:r>
            <w:r>
              <w:t>1</w:t>
            </w:r>
            <w:r w:rsidRPr="00F65A30">
              <w:t>0</w:t>
            </w:r>
            <w:r>
              <w:t>4</w:t>
            </w:r>
          </w:p>
        </w:tc>
      </w:tr>
      <w:tr w:rsidR="00EA35F8" w:rsidRPr="00011752" w14:paraId="1C39CD31" w14:textId="77777777" w:rsidTr="00432B07">
        <w:trPr>
          <w:jc w:val="center"/>
        </w:trPr>
        <w:tc>
          <w:tcPr>
            <w:tcW w:w="2916" w:type="dxa"/>
            <w:tcBorders>
              <w:bottom w:val="single" w:sz="4" w:space="0" w:color="auto"/>
            </w:tcBorders>
          </w:tcPr>
          <w:p w14:paraId="3C0BA134" w14:textId="77777777" w:rsidR="00EA35F8" w:rsidRPr="00011752" w:rsidRDefault="00EA35F8" w:rsidP="008C15ED">
            <w:pPr>
              <w:pStyle w:val="TableHeading"/>
            </w:pPr>
            <w:proofErr w:type="gramStart"/>
            <w:r>
              <w:t>EC:FPA</w:t>
            </w:r>
            <w:proofErr w:type="gramEnd"/>
            <w:r>
              <w:t>60</w:t>
            </w:r>
          </w:p>
        </w:tc>
        <w:tc>
          <w:tcPr>
            <w:tcW w:w="1433" w:type="dxa"/>
            <w:tcBorders>
              <w:bottom w:val="single" w:sz="4" w:space="0" w:color="auto"/>
            </w:tcBorders>
          </w:tcPr>
          <w:p w14:paraId="25342F08" w14:textId="77777777" w:rsidR="00EA35F8" w:rsidRPr="00011752" w:rsidRDefault="00EA35F8" w:rsidP="008C15ED">
            <w:pPr>
              <w:pStyle w:val="TableText"/>
              <w:jc w:val="center"/>
            </w:pPr>
            <w:r w:rsidRPr="00F65A30">
              <w:t>-</w:t>
            </w:r>
            <w:r>
              <w:t>2</w:t>
            </w:r>
            <w:r w:rsidRPr="00F65A30">
              <w:t>.</w:t>
            </w:r>
            <w:r>
              <w:t>0e-</w:t>
            </w:r>
            <w:r w:rsidRPr="00F65A30">
              <w:t>0</w:t>
            </w:r>
            <w:r>
              <w:t>6</w:t>
            </w:r>
          </w:p>
        </w:tc>
        <w:tc>
          <w:tcPr>
            <w:tcW w:w="1434" w:type="dxa"/>
            <w:tcBorders>
              <w:bottom w:val="single" w:sz="4" w:space="0" w:color="auto"/>
            </w:tcBorders>
          </w:tcPr>
          <w:p w14:paraId="5DFD0DB0" w14:textId="77777777" w:rsidR="00EA35F8" w:rsidRPr="00011752" w:rsidRDefault="00EA35F8" w:rsidP="008C15ED">
            <w:pPr>
              <w:pStyle w:val="TableText"/>
              <w:jc w:val="center"/>
            </w:pPr>
            <w:r>
              <w:t>1</w:t>
            </w:r>
            <w:r w:rsidRPr="00F65A30">
              <w:t>.</w:t>
            </w:r>
            <w:r>
              <w:t>2e-</w:t>
            </w:r>
            <w:r w:rsidRPr="00F65A30">
              <w:t>0</w:t>
            </w:r>
            <w:r>
              <w:t>7</w:t>
            </w:r>
          </w:p>
        </w:tc>
        <w:tc>
          <w:tcPr>
            <w:tcW w:w="1434" w:type="dxa"/>
            <w:tcBorders>
              <w:bottom w:val="single" w:sz="4" w:space="0" w:color="auto"/>
            </w:tcBorders>
          </w:tcPr>
          <w:p w14:paraId="5002F33A" w14:textId="77777777" w:rsidR="00EA35F8" w:rsidRPr="00011752" w:rsidRDefault="00EA35F8" w:rsidP="008C15ED">
            <w:pPr>
              <w:pStyle w:val="TableText"/>
              <w:jc w:val="center"/>
            </w:pPr>
            <w:r w:rsidRPr="00F65A30">
              <w:t>0.1</w:t>
            </w:r>
            <w:r>
              <w:t>06</w:t>
            </w:r>
          </w:p>
        </w:tc>
      </w:tr>
    </w:tbl>
    <w:p w14:paraId="70819176" w14:textId="77777777" w:rsidR="00EA35F8" w:rsidRDefault="00EA35F8" w:rsidP="00EA35F8"/>
    <w:p w14:paraId="35B652B4" w14:textId="77777777" w:rsidR="00EA35F8" w:rsidRDefault="00EA35F8" w:rsidP="00EA35F8"/>
    <w:p w14:paraId="2E8FA087" w14:textId="77777777" w:rsidR="00EA35F8" w:rsidRDefault="00EA35F8" w:rsidP="00EA35F8"/>
    <w:p w14:paraId="570E2C6A" w14:textId="69526CEB" w:rsidR="00EA35F8" w:rsidRDefault="00EA35F8" w:rsidP="00402161">
      <w:pPr>
        <w:pStyle w:val="Caption"/>
      </w:pPr>
      <w:r>
        <w:t>Table D</w:t>
      </w:r>
      <w:r w:rsidR="00065DAD">
        <w:t>9</w:t>
      </w:r>
      <w:r>
        <w:t>. Results of negative binomial</w:t>
      </w:r>
      <w:r w:rsidRPr="00D37DD2">
        <w:t xml:space="preserve"> generalised linear model for abundance (individuals per litre) of taxa dependent upon </w:t>
      </w:r>
      <w:r>
        <w:t>longitudinal</w:t>
      </w:r>
      <w:r w:rsidRPr="00D37DD2">
        <w:t xml:space="preserve"> connectivity showing selected predictors, estimated coefficients (Estimate), standard errors in estimation (</w:t>
      </w:r>
      <w:proofErr w:type="spellStart"/>
      <w:proofErr w:type="gramStart"/>
      <w:r w:rsidRPr="00D37DD2">
        <w:t>std.Error</w:t>
      </w:r>
      <w:proofErr w:type="spellEnd"/>
      <w:proofErr w:type="gramEnd"/>
      <w:r w:rsidRPr="00D37DD2">
        <w:t>) and Type I Error probability (p-value). Flow data were log transformed prior to modelling. FPA60 quantifies the area of floodplain inundated over the last 60 days (see Methods for full description of predictor calculation). Negative binomial distribution dispersion parameter (theta) = 2.41, standard error = 0.26.</w:t>
      </w:r>
    </w:p>
    <w:tbl>
      <w:tblPr>
        <w:tblStyle w:val="TableGrid"/>
        <w:tblW w:w="721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16"/>
        <w:gridCol w:w="1433"/>
        <w:gridCol w:w="1434"/>
        <w:gridCol w:w="1434"/>
      </w:tblGrid>
      <w:tr w:rsidR="00EA35F8" w:rsidRPr="00011752" w14:paraId="42D159CE" w14:textId="77777777" w:rsidTr="00432B07">
        <w:trPr>
          <w:jc w:val="center"/>
        </w:trPr>
        <w:tc>
          <w:tcPr>
            <w:tcW w:w="2916" w:type="dxa"/>
            <w:tcBorders>
              <w:top w:val="single" w:sz="4" w:space="0" w:color="auto"/>
              <w:bottom w:val="single" w:sz="4" w:space="0" w:color="auto"/>
            </w:tcBorders>
          </w:tcPr>
          <w:p w14:paraId="55CAC263" w14:textId="77777777" w:rsidR="00EA35F8" w:rsidRPr="00011752" w:rsidRDefault="00EA35F8" w:rsidP="008C15ED">
            <w:pPr>
              <w:pStyle w:val="TableHeading"/>
            </w:pPr>
            <w:r w:rsidRPr="00011752">
              <w:t>Predictor</w:t>
            </w:r>
          </w:p>
        </w:tc>
        <w:tc>
          <w:tcPr>
            <w:tcW w:w="1433" w:type="dxa"/>
            <w:tcBorders>
              <w:top w:val="single" w:sz="4" w:space="0" w:color="auto"/>
              <w:bottom w:val="single" w:sz="4" w:space="0" w:color="auto"/>
            </w:tcBorders>
          </w:tcPr>
          <w:p w14:paraId="5E902EAC" w14:textId="77777777" w:rsidR="00EA35F8" w:rsidRPr="00011752" w:rsidRDefault="00EA35F8" w:rsidP="008C15ED">
            <w:pPr>
              <w:pStyle w:val="TableHeading"/>
            </w:pPr>
            <w:r w:rsidRPr="00011752">
              <w:t>Estimate</w:t>
            </w:r>
          </w:p>
        </w:tc>
        <w:tc>
          <w:tcPr>
            <w:tcW w:w="1434" w:type="dxa"/>
            <w:tcBorders>
              <w:top w:val="single" w:sz="4" w:space="0" w:color="auto"/>
              <w:bottom w:val="single" w:sz="4" w:space="0" w:color="auto"/>
            </w:tcBorders>
          </w:tcPr>
          <w:p w14:paraId="5C5B6D1A" w14:textId="77777777" w:rsidR="00EA35F8" w:rsidRPr="00011752" w:rsidRDefault="00EA35F8" w:rsidP="008C15ED">
            <w:pPr>
              <w:pStyle w:val="TableHeading"/>
            </w:pPr>
            <w:r w:rsidRPr="00011752">
              <w:t>std. Error</w:t>
            </w:r>
          </w:p>
        </w:tc>
        <w:tc>
          <w:tcPr>
            <w:tcW w:w="1434" w:type="dxa"/>
            <w:tcBorders>
              <w:top w:val="single" w:sz="4" w:space="0" w:color="auto"/>
              <w:bottom w:val="single" w:sz="4" w:space="0" w:color="auto"/>
            </w:tcBorders>
          </w:tcPr>
          <w:p w14:paraId="3A755883" w14:textId="77777777" w:rsidR="00EA35F8" w:rsidRPr="00011752" w:rsidRDefault="00EA35F8" w:rsidP="008C15ED">
            <w:pPr>
              <w:pStyle w:val="TableHeading"/>
            </w:pPr>
            <w:r w:rsidRPr="00011752">
              <w:rPr>
                <w:i/>
                <w:iCs/>
              </w:rPr>
              <w:t>p</w:t>
            </w:r>
            <w:r>
              <w:t>-value</w:t>
            </w:r>
          </w:p>
        </w:tc>
      </w:tr>
      <w:tr w:rsidR="00EA35F8" w:rsidRPr="00011752" w14:paraId="2275A1BB" w14:textId="77777777" w:rsidTr="00432B07">
        <w:trPr>
          <w:jc w:val="center"/>
        </w:trPr>
        <w:tc>
          <w:tcPr>
            <w:tcW w:w="2916" w:type="dxa"/>
            <w:tcBorders>
              <w:top w:val="single" w:sz="4" w:space="0" w:color="auto"/>
            </w:tcBorders>
          </w:tcPr>
          <w:p w14:paraId="746F00DC" w14:textId="77777777" w:rsidR="00EA35F8" w:rsidRPr="00011752" w:rsidRDefault="00EA35F8" w:rsidP="008C15ED">
            <w:pPr>
              <w:pStyle w:val="TableHeading"/>
            </w:pPr>
            <w:r w:rsidRPr="00011752">
              <w:t>(Intercept)</w:t>
            </w:r>
          </w:p>
        </w:tc>
        <w:tc>
          <w:tcPr>
            <w:tcW w:w="1433" w:type="dxa"/>
            <w:tcBorders>
              <w:top w:val="single" w:sz="4" w:space="0" w:color="auto"/>
            </w:tcBorders>
          </w:tcPr>
          <w:p w14:paraId="6180EDA2" w14:textId="77777777" w:rsidR="00EA35F8" w:rsidRPr="00011752" w:rsidRDefault="00EA35F8" w:rsidP="008C15ED">
            <w:pPr>
              <w:pStyle w:val="TableText"/>
              <w:jc w:val="center"/>
            </w:pPr>
            <w:r w:rsidRPr="002413F5">
              <w:t>4.51</w:t>
            </w:r>
          </w:p>
        </w:tc>
        <w:tc>
          <w:tcPr>
            <w:tcW w:w="1434" w:type="dxa"/>
            <w:tcBorders>
              <w:top w:val="single" w:sz="4" w:space="0" w:color="auto"/>
            </w:tcBorders>
          </w:tcPr>
          <w:p w14:paraId="2A29477B" w14:textId="77777777" w:rsidR="00EA35F8" w:rsidRPr="00011752" w:rsidRDefault="00EA35F8" w:rsidP="008C15ED">
            <w:pPr>
              <w:pStyle w:val="TableText"/>
              <w:jc w:val="center"/>
            </w:pPr>
            <w:r w:rsidRPr="002413F5">
              <w:t>2.96</w:t>
            </w:r>
          </w:p>
        </w:tc>
        <w:tc>
          <w:tcPr>
            <w:tcW w:w="1434" w:type="dxa"/>
            <w:tcBorders>
              <w:top w:val="single" w:sz="4" w:space="0" w:color="auto"/>
            </w:tcBorders>
          </w:tcPr>
          <w:p w14:paraId="0CA7F52E" w14:textId="77777777" w:rsidR="00EA35F8" w:rsidRPr="00011752" w:rsidRDefault="00EA35F8" w:rsidP="008C15ED">
            <w:pPr>
              <w:pStyle w:val="TableText"/>
              <w:jc w:val="center"/>
            </w:pPr>
            <w:r w:rsidRPr="002413F5">
              <w:t>0.128</w:t>
            </w:r>
          </w:p>
        </w:tc>
      </w:tr>
      <w:tr w:rsidR="00EA35F8" w:rsidRPr="00011752" w14:paraId="2CE3D1C7" w14:textId="77777777" w:rsidTr="00432B07">
        <w:trPr>
          <w:jc w:val="center"/>
        </w:trPr>
        <w:tc>
          <w:tcPr>
            <w:tcW w:w="2916" w:type="dxa"/>
          </w:tcPr>
          <w:p w14:paraId="15CA495E" w14:textId="77777777" w:rsidR="00EA35F8" w:rsidRPr="00011752" w:rsidRDefault="00EA35F8" w:rsidP="008C15ED">
            <w:pPr>
              <w:pStyle w:val="TableHeading"/>
            </w:pPr>
            <w:r>
              <w:t>M</w:t>
            </w:r>
            <w:r w:rsidRPr="00011752">
              <w:t>onth [</w:t>
            </w:r>
            <w:r>
              <w:t>Oct</w:t>
            </w:r>
            <w:r w:rsidRPr="00011752">
              <w:t>]</w:t>
            </w:r>
          </w:p>
        </w:tc>
        <w:tc>
          <w:tcPr>
            <w:tcW w:w="1433" w:type="dxa"/>
          </w:tcPr>
          <w:p w14:paraId="0C6D6B1A" w14:textId="77777777" w:rsidR="00EA35F8" w:rsidRPr="00011752" w:rsidRDefault="00EA35F8" w:rsidP="008C15ED">
            <w:pPr>
              <w:pStyle w:val="TableText"/>
              <w:jc w:val="center"/>
            </w:pPr>
            <w:r w:rsidRPr="00A877C1">
              <w:t>0.75</w:t>
            </w:r>
          </w:p>
        </w:tc>
        <w:tc>
          <w:tcPr>
            <w:tcW w:w="1434" w:type="dxa"/>
          </w:tcPr>
          <w:p w14:paraId="5CB270A7" w14:textId="77777777" w:rsidR="00EA35F8" w:rsidRPr="00011752" w:rsidRDefault="00EA35F8" w:rsidP="008C15ED">
            <w:pPr>
              <w:pStyle w:val="TableText"/>
              <w:jc w:val="center"/>
            </w:pPr>
            <w:r w:rsidRPr="00A877C1">
              <w:t>0.33</w:t>
            </w:r>
          </w:p>
        </w:tc>
        <w:tc>
          <w:tcPr>
            <w:tcW w:w="1434" w:type="dxa"/>
          </w:tcPr>
          <w:p w14:paraId="449896F3" w14:textId="77777777" w:rsidR="00EA35F8" w:rsidRPr="00011752" w:rsidRDefault="00EA35F8" w:rsidP="008C15ED">
            <w:pPr>
              <w:pStyle w:val="TableText"/>
              <w:jc w:val="center"/>
            </w:pPr>
            <w:r w:rsidRPr="00A877C1">
              <w:t>0.022</w:t>
            </w:r>
          </w:p>
        </w:tc>
      </w:tr>
      <w:tr w:rsidR="00EA35F8" w:rsidRPr="00011752" w14:paraId="58A55239" w14:textId="77777777" w:rsidTr="00432B07">
        <w:trPr>
          <w:jc w:val="center"/>
        </w:trPr>
        <w:tc>
          <w:tcPr>
            <w:tcW w:w="2916" w:type="dxa"/>
          </w:tcPr>
          <w:p w14:paraId="3AF38F8B" w14:textId="77777777" w:rsidR="00EA35F8" w:rsidRPr="00011752" w:rsidRDefault="00EA35F8" w:rsidP="008C15ED">
            <w:pPr>
              <w:pStyle w:val="TableHeading"/>
            </w:pPr>
            <w:r>
              <w:t>M</w:t>
            </w:r>
            <w:r w:rsidRPr="00011752">
              <w:t>onth [</w:t>
            </w:r>
            <w:r>
              <w:t>Nov</w:t>
            </w:r>
            <w:r w:rsidRPr="00011752">
              <w:t>]</w:t>
            </w:r>
          </w:p>
        </w:tc>
        <w:tc>
          <w:tcPr>
            <w:tcW w:w="1433" w:type="dxa"/>
          </w:tcPr>
          <w:p w14:paraId="2CD68F94" w14:textId="77777777" w:rsidR="00EA35F8" w:rsidRPr="00011752" w:rsidRDefault="00EA35F8" w:rsidP="008C15ED">
            <w:pPr>
              <w:pStyle w:val="TableText"/>
              <w:jc w:val="center"/>
            </w:pPr>
            <w:r w:rsidRPr="00BD4144">
              <w:t>1.35</w:t>
            </w:r>
          </w:p>
        </w:tc>
        <w:tc>
          <w:tcPr>
            <w:tcW w:w="1434" w:type="dxa"/>
          </w:tcPr>
          <w:p w14:paraId="3E4EF091" w14:textId="77777777" w:rsidR="00EA35F8" w:rsidRPr="00011752" w:rsidRDefault="00EA35F8" w:rsidP="008C15ED">
            <w:pPr>
              <w:pStyle w:val="TableText"/>
              <w:jc w:val="center"/>
            </w:pPr>
            <w:r w:rsidRPr="00BD4144">
              <w:t>0.39</w:t>
            </w:r>
          </w:p>
        </w:tc>
        <w:tc>
          <w:tcPr>
            <w:tcW w:w="1434" w:type="dxa"/>
          </w:tcPr>
          <w:p w14:paraId="756FAF4F" w14:textId="77777777" w:rsidR="00EA35F8" w:rsidRPr="00011752" w:rsidRDefault="00EA35F8" w:rsidP="008C15ED">
            <w:pPr>
              <w:pStyle w:val="TableText"/>
              <w:jc w:val="center"/>
            </w:pPr>
            <w:r w:rsidRPr="00BD4144">
              <w:t>0.001</w:t>
            </w:r>
          </w:p>
        </w:tc>
      </w:tr>
      <w:tr w:rsidR="00EA35F8" w:rsidRPr="00011752" w14:paraId="32AFC4AA" w14:textId="77777777" w:rsidTr="00432B07">
        <w:trPr>
          <w:jc w:val="center"/>
        </w:trPr>
        <w:tc>
          <w:tcPr>
            <w:tcW w:w="2916" w:type="dxa"/>
          </w:tcPr>
          <w:p w14:paraId="59503D88" w14:textId="77777777" w:rsidR="00EA35F8" w:rsidRPr="00011752" w:rsidRDefault="00EA35F8" w:rsidP="008C15ED">
            <w:pPr>
              <w:pStyle w:val="TableHeading"/>
            </w:pPr>
            <w:r>
              <w:t>M</w:t>
            </w:r>
            <w:r w:rsidRPr="00011752">
              <w:t>onth [</w:t>
            </w:r>
            <w:r>
              <w:t>Dec</w:t>
            </w:r>
            <w:r w:rsidRPr="00011752">
              <w:t>]</w:t>
            </w:r>
          </w:p>
        </w:tc>
        <w:tc>
          <w:tcPr>
            <w:tcW w:w="1433" w:type="dxa"/>
          </w:tcPr>
          <w:p w14:paraId="765568AA" w14:textId="77777777" w:rsidR="00EA35F8" w:rsidRPr="00011752" w:rsidRDefault="00EA35F8" w:rsidP="008C15ED">
            <w:pPr>
              <w:pStyle w:val="TableText"/>
              <w:jc w:val="center"/>
            </w:pPr>
            <w:r w:rsidRPr="00B1412A">
              <w:t>1.31</w:t>
            </w:r>
          </w:p>
        </w:tc>
        <w:tc>
          <w:tcPr>
            <w:tcW w:w="1434" w:type="dxa"/>
          </w:tcPr>
          <w:p w14:paraId="459D2EEE" w14:textId="77777777" w:rsidR="00EA35F8" w:rsidRPr="00011752" w:rsidRDefault="00EA35F8" w:rsidP="008C15ED">
            <w:pPr>
              <w:pStyle w:val="TableText"/>
              <w:jc w:val="center"/>
            </w:pPr>
            <w:r w:rsidRPr="00B1412A">
              <w:t>0.44</w:t>
            </w:r>
          </w:p>
        </w:tc>
        <w:tc>
          <w:tcPr>
            <w:tcW w:w="1434" w:type="dxa"/>
          </w:tcPr>
          <w:p w14:paraId="3A1E2CF7" w14:textId="77777777" w:rsidR="00EA35F8" w:rsidRPr="00011752" w:rsidRDefault="00EA35F8" w:rsidP="008C15ED">
            <w:pPr>
              <w:pStyle w:val="TableText"/>
              <w:jc w:val="center"/>
            </w:pPr>
            <w:r w:rsidRPr="00B1412A">
              <w:t>0.003</w:t>
            </w:r>
          </w:p>
        </w:tc>
      </w:tr>
      <w:tr w:rsidR="00EA35F8" w:rsidRPr="00011752" w14:paraId="79BB8E24" w14:textId="77777777" w:rsidTr="00432B07">
        <w:trPr>
          <w:jc w:val="center"/>
        </w:trPr>
        <w:tc>
          <w:tcPr>
            <w:tcW w:w="2916" w:type="dxa"/>
          </w:tcPr>
          <w:p w14:paraId="1C188BCC" w14:textId="77777777" w:rsidR="00EA35F8" w:rsidRPr="00011752" w:rsidRDefault="00EA35F8" w:rsidP="008C15ED">
            <w:pPr>
              <w:pStyle w:val="TableHeading"/>
            </w:pPr>
            <w:r>
              <w:t>M</w:t>
            </w:r>
            <w:r w:rsidRPr="00011752">
              <w:t>onth [</w:t>
            </w:r>
            <w:r>
              <w:t>Jan</w:t>
            </w:r>
            <w:r w:rsidRPr="00011752">
              <w:t>]</w:t>
            </w:r>
          </w:p>
        </w:tc>
        <w:tc>
          <w:tcPr>
            <w:tcW w:w="1433" w:type="dxa"/>
          </w:tcPr>
          <w:p w14:paraId="74B7C302" w14:textId="77777777" w:rsidR="00EA35F8" w:rsidRPr="00011752" w:rsidRDefault="00EA35F8" w:rsidP="008C15ED">
            <w:pPr>
              <w:pStyle w:val="TableText"/>
              <w:jc w:val="center"/>
            </w:pPr>
            <w:r w:rsidRPr="00242579">
              <w:t>1.78</w:t>
            </w:r>
          </w:p>
        </w:tc>
        <w:tc>
          <w:tcPr>
            <w:tcW w:w="1434" w:type="dxa"/>
          </w:tcPr>
          <w:p w14:paraId="48C122E1" w14:textId="77777777" w:rsidR="00EA35F8" w:rsidRPr="00011752" w:rsidRDefault="00EA35F8" w:rsidP="008C15ED">
            <w:pPr>
              <w:pStyle w:val="TableText"/>
              <w:jc w:val="center"/>
            </w:pPr>
            <w:r w:rsidRPr="00242579">
              <w:t>0.49</w:t>
            </w:r>
          </w:p>
        </w:tc>
        <w:tc>
          <w:tcPr>
            <w:tcW w:w="1434" w:type="dxa"/>
          </w:tcPr>
          <w:p w14:paraId="3463F505" w14:textId="77777777" w:rsidR="00EA35F8" w:rsidRPr="00011752" w:rsidRDefault="00EA35F8" w:rsidP="008C15ED">
            <w:pPr>
              <w:pStyle w:val="TableText"/>
              <w:jc w:val="center"/>
            </w:pPr>
            <w:r w:rsidRPr="00242579">
              <w:t>&lt;0.001</w:t>
            </w:r>
          </w:p>
        </w:tc>
      </w:tr>
      <w:tr w:rsidR="00EA35F8" w:rsidRPr="00011752" w14:paraId="64642D70" w14:textId="77777777" w:rsidTr="00432B07">
        <w:trPr>
          <w:jc w:val="center"/>
        </w:trPr>
        <w:tc>
          <w:tcPr>
            <w:tcW w:w="2916" w:type="dxa"/>
          </w:tcPr>
          <w:p w14:paraId="2B48E64D" w14:textId="77777777" w:rsidR="00EA35F8" w:rsidRPr="00011752" w:rsidRDefault="00EA35F8" w:rsidP="008C15ED">
            <w:pPr>
              <w:pStyle w:val="TableHeading"/>
            </w:pPr>
            <w:r>
              <w:t>mean daily flow (ML/d)</w:t>
            </w:r>
          </w:p>
        </w:tc>
        <w:tc>
          <w:tcPr>
            <w:tcW w:w="1433" w:type="dxa"/>
          </w:tcPr>
          <w:p w14:paraId="26B7EF1E" w14:textId="77777777" w:rsidR="00EA35F8" w:rsidRPr="00011752" w:rsidRDefault="00EA35F8" w:rsidP="008C15ED">
            <w:pPr>
              <w:pStyle w:val="TableText"/>
              <w:jc w:val="center"/>
            </w:pPr>
            <w:r w:rsidRPr="00CE46F5">
              <w:t>0.58</w:t>
            </w:r>
          </w:p>
        </w:tc>
        <w:tc>
          <w:tcPr>
            <w:tcW w:w="1434" w:type="dxa"/>
          </w:tcPr>
          <w:p w14:paraId="795D0EE3" w14:textId="77777777" w:rsidR="00EA35F8" w:rsidRPr="00011752" w:rsidRDefault="00EA35F8" w:rsidP="008C15ED">
            <w:pPr>
              <w:pStyle w:val="TableText"/>
              <w:jc w:val="center"/>
            </w:pPr>
            <w:r w:rsidRPr="00CE46F5">
              <w:t>0.13</w:t>
            </w:r>
          </w:p>
        </w:tc>
        <w:tc>
          <w:tcPr>
            <w:tcW w:w="1434" w:type="dxa"/>
          </w:tcPr>
          <w:p w14:paraId="02111520" w14:textId="77777777" w:rsidR="00EA35F8" w:rsidRPr="00011752" w:rsidRDefault="00EA35F8" w:rsidP="008C15ED">
            <w:pPr>
              <w:pStyle w:val="TableText"/>
              <w:jc w:val="center"/>
            </w:pPr>
            <w:r w:rsidRPr="00CE46F5">
              <w:t>&lt;0.001</w:t>
            </w:r>
          </w:p>
        </w:tc>
      </w:tr>
      <w:tr w:rsidR="007C2D10" w:rsidRPr="00011752" w14:paraId="69784C73" w14:textId="77777777" w:rsidTr="00432B07">
        <w:trPr>
          <w:jc w:val="center"/>
        </w:trPr>
        <w:tc>
          <w:tcPr>
            <w:tcW w:w="2916" w:type="dxa"/>
          </w:tcPr>
          <w:p w14:paraId="72300019" w14:textId="40D942DE" w:rsidR="007C2D10" w:rsidRDefault="007C2D10" w:rsidP="007C2D10">
            <w:pPr>
              <w:pStyle w:val="TableHeading"/>
            </w:pPr>
            <w:r>
              <w:t>mean long-term daily flow</w:t>
            </w:r>
          </w:p>
        </w:tc>
        <w:tc>
          <w:tcPr>
            <w:tcW w:w="1433" w:type="dxa"/>
          </w:tcPr>
          <w:p w14:paraId="3680AAD4" w14:textId="62723BC5" w:rsidR="007C2D10" w:rsidRPr="00AD165F" w:rsidRDefault="007C2D10" w:rsidP="007C2D10">
            <w:pPr>
              <w:pStyle w:val="TableText"/>
              <w:jc w:val="center"/>
            </w:pPr>
            <w:r w:rsidRPr="007E4FC6">
              <w:t>0.82</w:t>
            </w:r>
          </w:p>
        </w:tc>
        <w:tc>
          <w:tcPr>
            <w:tcW w:w="1434" w:type="dxa"/>
          </w:tcPr>
          <w:p w14:paraId="012668A7" w14:textId="6B4FECA3" w:rsidR="007C2D10" w:rsidRPr="00AD165F" w:rsidRDefault="007C2D10" w:rsidP="007C2D10">
            <w:pPr>
              <w:pStyle w:val="TableText"/>
              <w:jc w:val="center"/>
            </w:pPr>
            <w:r w:rsidRPr="007E4FC6">
              <w:t>0.31</w:t>
            </w:r>
          </w:p>
        </w:tc>
        <w:tc>
          <w:tcPr>
            <w:tcW w:w="1434" w:type="dxa"/>
          </w:tcPr>
          <w:p w14:paraId="398975C8" w14:textId="3A13E785" w:rsidR="007C2D10" w:rsidRPr="00AD165F" w:rsidRDefault="007C2D10" w:rsidP="007C2D10">
            <w:pPr>
              <w:pStyle w:val="TableText"/>
              <w:jc w:val="center"/>
            </w:pPr>
            <w:r w:rsidRPr="007E4FC6">
              <w:t>0.007</w:t>
            </w:r>
          </w:p>
        </w:tc>
      </w:tr>
      <w:tr w:rsidR="00EA35F8" w:rsidRPr="00011752" w14:paraId="3EF8ABD5" w14:textId="77777777" w:rsidTr="00432B07">
        <w:trPr>
          <w:jc w:val="center"/>
        </w:trPr>
        <w:tc>
          <w:tcPr>
            <w:tcW w:w="2916" w:type="dxa"/>
          </w:tcPr>
          <w:p w14:paraId="4719D86E" w14:textId="77777777" w:rsidR="00EA35F8" w:rsidRPr="00011752" w:rsidRDefault="00EA35F8" w:rsidP="008C15ED">
            <w:pPr>
              <w:pStyle w:val="TableHeading"/>
            </w:pPr>
            <w:r>
              <w:t>electrical conductivity (EC)</w:t>
            </w:r>
          </w:p>
        </w:tc>
        <w:tc>
          <w:tcPr>
            <w:tcW w:w="1433" w:type="dxa"/>
          </w:tcPr>
          <w:p w14:paraId="4590C914" w14:textId="77777777" w:rsidR="00EA35F8" w:rsidRPr="00011752" w:rsidRDefault="00EA35F8" w:rsidP="008C15ED">
            <w:pPr>
              <w:pStyle w:val="TableText"/>
              <w:jc w:val="center"/>
            </w:pPr>
            <w:r w:rsidRPr="009B062B">
              <w:t>3.3e-03</w:t>
            </w:r>
          </w:p>
        </w:tc>
        <w:tc>
          <w:tcPr>
            <w:tcW w:w="1434" w:type="dxa"/>
          </w:tcPr>
          <w:p w14:paraId="5E7EEB4A" w14:textId="77777777" w:rsidR="00EA35F8" w:rsidRPr="00011752" w:rsidRDefault="00EA35F8" w:rsidP="008C15ED">
            <w:pPr>
              <w:pStyle w:val="TableText"/>
              <w:jc w:val="center"/>
            </w:pPr>
            <w:r w:rsidRPr="009B062B">
              <w:t>2.8e-03</w:t>
            </w:r>
          </w:p>
        </w:tc>
        <w:tc>
          <w:tcPr>
            <w:tcW w:w="1434" w:type="dxa"/>
          </w:tcPr>
          <w:p w14:paraId="46156CB8" w14:textId="77777777" w:rsidR="00EA35F8" w:rsidRPr="00011752" w:rsidRDefault="00EA35F8" w:rsidP="008C15ED">
            <w:pPr>
              <w:pStyle w:val="TableText"/>
              <w:jc w:val="center"/>
            </w:pPr>
            <w:r w:rsidRPr="009B062B">
              <w:t>0.228</w:t>
            </w:r>
          </w:p>
        </w:tc>
      </w:tr>
      <w:tr w:rsidR="00EA35F8" w:rsidRPr="00011752" w14:paraId="3C299D16" w14:textId="77777777" w:rsidTr="00432B07">
        <w:trPr>
          <w:jc w:val="center"/>
        </w:trPr>
        <w:tc>
          <w:tcPr>
            <w:tcW w:w="2916" w:type="dxa"/>
          </w:tcPr>
          <w:p w14:paraId="64E4CDD0" w14:textId="77777777" w:rsidR="00EA35F8" w:rsidRPr="00011752" w:rsidRDefault="00EA35F8" w:rsidP="008C15ED">
            <w:pPr>
              <w:pStyle w:val="TableHeading"/>
            </w:pPr>
            <w:r>
              <w:t>water year</w:t>
            </w:r>
            <w:r w:rsidRPr="00011752">
              <w:t xml:space="preserve"> [</w:t>
            </w:r>
            <w:r>
              <w:t>2015</w:t>
            </w:r>
            <w:r w:rsidRPr="00011752">
              <w:t>]</w:t>
            </w:r>
          </w:p>
        </w:tc>
        <w:tc>
          <w:tcPr>
            <w:tcW w:w="1433" w:type="dxa"/>
          </w:tcPr>
          <w:p w14:paraId="38B890AF" w14:textId="77777777" w:rsidR="00EA35F8" w:rsidRPr="00011752" w:rsidRDefault="00EA35F8" w:rsidP="008C15ED">
            <w:pPr>
              <w:pStyle w:val="TableText"/>
              <w:jc w:val="center"/>
            </w:pPr>
            <w:r w:rsidRPr="00AA317D">
              <w:t>-0.09</w:t>
            </w:r>
          </w:p>
        </w:tc>
        <w:tc>
          <w:tcPr>
            <w:tcW w:w="1434" w:type="dxa"/>
          </w:tcPr>
          <w:p w14:paraId="1B936789" w14:textId="77777777" w:rsidR="00EA35F8" w:rsidRPr="00011752" w:rsidRDefault="00EA35F8" w:rsidP="008C15ED">
            <w:pPr>
              <w:pStyle w:val="TableText"/>
              <w:jc w:val="center"/>
            </w:pPr>
            <w:r w:rsidRPr="00AA317D">
              <w:t>0.15</w:t>
            </w:r>
          </w:p>
        </w:tc>
        <w:tc>
          <w:tcPr>
            <w:tcW w:w="1434" w:type="dxa"/>
          </w:tcPr>
          <w:p w14:paraId="00F7C412" w14:textId="77777777" w:rsidR="00EA35F8" w:rsidRPr="00011752" w:rsidRDefault="00EA35F8" w:rsidP="008C15ED">
            <w:pPr>
              <w:pStyle w:val="TableText"/>
              <w:jc w:val="center"/>
            </w:pPr>
            <w:r w:rsidRPr="00AA317D">
              <w:t>0.532</w:t>
            </w:r>
          </w:p>
        </w:tc>
      </w:tr>
      <w:tr w:rsidR="00EA35F8" w:rsidRPr="00011752" w14:paraId="60B4E0A3" w14:textId="77777777" w:rsidTr="00432B07">
        <w:trPr>
          <w:jc w:val="center"/>
        </w:trPr>
        <w:tc>
          <w:tcPr>
            <w:tcW w:w="2916" w:type="dxa"/>
          </w:tcPr>
          <w:p w14:paraId="237C37D3" w14:textId="77777777" w:rsidR="00EA35F8" w:rsidRPr="00011752" w:rsidRDefault="00EA35F8" w:rsidP="008C15ED">
            <w:pPr>
              <w:pStyle w:val="TableHeading"/>
            </w:pPr>
            <w:r>
              <w:t>water year</w:t>
            </w:r>
            <w:r w:rsidRPr="00011752">
              <w:t xml:space="preserve"> [</w:t>
            </w:r>
            <w:r>
              <w:t>2016</w:t>
            </w:r>
            <w:r w:rsidRPr="00011752">
              <w:t>]</w:t>
            </w:r>
          </w:p>
        </w:tc>
        <w:tc>
          <w:tcPr>
            <w:tcW w:w="1433" w:type="dxa"/>
          </w:tcPr>
          <w:p w14:paraId="6F766EFE" w14:textId="77777777" w:rsidR="00EA35F8" w:rsidRPr="00011752" w:rsidRDefault="00EA35F8" w:rsidP="008C15ED">
            <w:pPr>
              <w:pStyle w:val="TableText"/>
              <w:jc w:val="center"/>
            </w:pPr>
            <w:r w:rsidRPr="008A1233">
              <w:t>-0.84</w:t>
            </w:r>
          </w:p>
        </w:tc>
        <w:tc>
          <w:tcPr>
            <w:tcW w:w="1434" w:type="dxa"/>
          </w:tcPr>
          <w:p w14:paraId="2D8D0235" w14:textId="77777777" w:rsidR="00EA35F8" w:rsidRPr="00011752" w:rsidRDefault="00EA35F8" w:rsidP="008C15ED">
            <w:pPr>
              <w:pStyle w:val="TableText"/>
              <w:jc w:val="center"/>
            </w:pPr>
            <w:r w:rsidRPr="008A1233">
              <w:t>0.28</w:t>
            </w:r>
          </w:p>
        </w:tc>
        <w:tc>
          <w:tcPr>
            <w:tcW w:w="1434" w:type="dxa"/>
          </w:tcPr>
          <w:p w14:paraId="159A6F84" w14:textId="77777777" w:rsidR="00EA35F8" w:rsidRPr="00011752" w:rsidRDefault="00EA35F8" w:rsidP="008C15ED">
            <w:pPr>
              <w:pStyle w:val="TableText"/>
              <w:jc w:val="center"/>
            </w:pPr>
            <w:r w:rsidRPr="008A1233">
              <w:t>0.003</w:t>
            </w:r>
          </w:p>
        </w:tc>
      </w:tr>
      <w:tr w:rsidR="00EA35F8" w:rsidRPr="00011752" w14:paraId="222D5B1C" w14:textId="77777777" w:rsidTr="00432B07">
        <w:trPr>
          <w:jc w:val="center"/>
        </w:trPr>
        <w:tc>
          <w:tcPr>
            <w:tcW w:w="2916" w:type="dxa"/>
          </w:tcPr>
          <w:p w14:paraId="161AA436" w14:textId="77777777" w:rsidR="00EA35F8" w:rsidRPr="00011752" w:rsidRDefault="00EA35F8" w:rsidP="008C15ED">
            <w:pPr>
              <w:pStyle w:val="TableHeading"/>
            </w:pPr>
            <w:r>
              <w:t>water year</w:t>
            </w:r>
            <w:r w:rsidRPr="00011752">
              <w:t xml:space="preserve"> [</w:t>
            </w:r>
            <w:r>
              <w:t>2017</w:t>
            </w:r>
            <w:r w:rsidRPr="00011752">
              <w:t>]</w:t>
            </w:r>
          </w:p>
        </w:tc>
        <w:tc>
          <w:tcPr>
            <w:tcW w:w="1433" w:type="dxa"/>
          </w:tcPr>
          <w:p w14:paraId="171A5AAD" w14:textId="77777777" w:rsidR="00EA35F8" w:rsidRPr="00011752" w:rsidRDefault="00EA35F8" w:rsidP="008C15ED">
            <w:pPr>
              <w:pStyle w:val="TableText"/>
              <w:jc w:val="center"/>
            </w:pPr>
            <w:r w:rsidRPr="00E52844">
              <w:t>-0.36</w:t>
            </w:r>
          </w:p>
        </w:tc>
        <w:tc>
          <w:tcPr>
            <w:tcW w:w="1434" w:type="dxa"/>
          </w:tcPr>
          <w:p w14:paraId="69155505" w14:textId="77777777" w:rsidR="00EA35F8" w:rsidRPr="00011752" w:rsidRDefault="00EA35F8" w:rsidP="008C15ED">
            <w:pPr>
              <w:pStyle w:val="TableText"/>
              <w:jc w:val="center"/>
            </w:pPr>
            <w:r w:rsidRPr="00E52844">
              <w:t>0.17</w:t>
            </w:r>
          </w:p>
        </w:tc>
        <w:tc>
          <w:tcPr>
            <w:tcW w:w="1434" w:type="dxa"/>
          </w:tcPr>
          <w:p w14:paraId="726B872A" w14:textId="77777777" w:rsidR="00EA35F8" w:rsidRPr="00011752" w:rsidRDefault="00EA35F8" w:rsidP="008C15ED">
            <w:pPr>
              <w:pStyle w:val="TableText"/>
              <w:jc w:val="center"/>
            </w:pPr>
            <w:r w:rsidRPr="00E52844">
              <w:t>0.033</w:t>
            </w:r>
          </w:p>
        </w:tc>
      </w:tr>
      <w:tr w:rsidR="00EA35F8" w:rsidRPr="00011752" w14:paraId="166CB3F8" w14:textId="77777777" w:rsidTr="00432B07">
        <w:trPr>
          <w:jc w:val="center"/>
        </w:trPr>
        <w:tc>
          <w:tcPr>
            <w:tcW w:w="2916" w:type="dxa"/>
          </w:tcPr>
          <w:p w14:paraId="410CF699" w14:textId="77777777" w:rsidR="00EA35F8" w:rsidRPr="00011752" w:rsidRDefault="00EA35F8" w:rsidP="008C15ED">
            <w:pPr>
              <w:pStyle w:val="TableHeading"/>
            </w:pPr>
            <w:r>
              <w:t>water year</w:t>
            </w:r>
            <w:r w:rsidRPr="00011752">
              <w:t xml:space="preserve"> [</w:t>
            </w:r>
            <w:r>
              <w:t>2019</w:t>
            </w:r>
            <w:r w:rsidRPr="00011752">
              <w:t>]</w:t>
            </w:r>
          </w:p>
        </w:tc>
        <w:tc>
          <w:tcPr>
            <w:tcW w:w="1433" w:type="dxa"/>
          </w:tcPr>
          <w:p w14:paraId="295D129E" w14:textId="77777777" w:rsidR="00EA35F8" w:rsidRPr="00011752" w:rsidRDefault="00EA35F8" w:rsidP="008C15ED">
            <w:pPr>
              <w:pStyle w:val="TableText"/>
              <w:jc w:val="center"/>
            </w:pPr>
            <w:r w:rsidRPr="00447BDC">
              <w:t>0.19</w:t>
            </w:r>
          </w:p>
        </w:tc>
        <w:tc>
          <w:tcPr>
            <w:tcW w:w="1434" w:type="dxa"/>
          </w:tcPr>
          <w:p w14:paraId="729FF25D" w14:textId="77777777" w:rsidR="00EA35F8" w:rsidRPr="00011752" w:rsidRDefault="00EA35F8" w:rsidP="008C15ED">
            <w:pPr>
              <w:pStyle w:val="TableText"/>
              <w:jc w:val="center"/>
            </w:pPr>
            <w:r w:rsidRPr="00447BDC">
              <w:t>0.25</w:t>
            </w:r>
          </w:p>
        </w:tc>
        <w:tc>
          <w:tcPr>
            <w:tcW w:w="1434" w:type="dxa"/>
          </w:tcPr>
          <w:p w14:paraId="7D21D81C" w14:textId="77777777" w:rsidR="00EA35F8" w:rsidRPr="00011752" w:rsidRDefault="00EA35F8" w:rsidP="008C15ED">
            <w:pPr>
              <w:pStyle w:val="TableText"/>
              <w:jc w:val="center"/>
            </w:pPr>
            <w:r w:rsidRPr="00447BDC">
              <w:t>0.427</w:t>
            </w:r>
          </w:p>
        </w:tc>
      </w:tr>
      <w:tr w:rsidR="00EA35F8" w:rsidRPr="00011752" w14:paraId="54167B46" w14:textId="77777777" w:rsidTr="00432B07">
        <w:trPr>
          <w:jc w:val="center"/>
        </w:trPr>
        <w:tc>
          <w:tcPr>
            <w:tcW w:w="2916" w:type="dxa"/>
          </w:tcPr>
          <w:p w14:paraId="6340E611" w14:textId="77777777" w:rsidR="00EA35F8" w:rsidRDefault="00EA35F8" w:rsidP="008C15ED">
            <w:pPr>
              <w:pStyle w:val="TableHeading"/>
            </w:pPr>
            <w:r>
              <w:t>temperature</w:t>
            </w:r>
          </w:p>
        </w:tc>
        <w:tc>
          <w:tcPr>
            <w:tcW w:w="1433" w:type="dxa"/>
          </w:tcPr>
          <w:p w14:paraId="4BC70420" w14:textId="77777777" w:rsidR="00EA35F8" w:rsidRPr="006A390D" w:rsidRDefault="00EA35F8" w:rsidP="008C15ED">
            <w:pPr>
              <w:pStyle w:val="TableText"/>
              <w:jc w:val="center"/>
            </w:pPr>
            <w:r w:rsidRPr="00EE3EA1">
              <w:t>-0.20</w:t>
            </w:r>
          </w:p>
        </w:tc>
        <w:tc>
          <w:tcPr>
            <w:tcW w:w="1434" w:type="dxa"/>
          </w:tcPr>
          <w:p w14:paraId="2CF61352" w14:textId="77777777" w:rsidR="00EA35F8" w:rsidRPr="006A390D" w:rsidRDefault="00EA35F8" w:rsidP="008C15ED">
            <w:pPr>
              <w:pStyle w:val="TableText"/>
              <w:jc w:val="center"/>
            </w:pPr>
            <w:r w:rsidRPr="00EE3EA1">
              <w:t>0.13</w:t>
            </w:r>
          </w:p>
        </w:tc>
        <w:tc>
          <w:tcPr>
            <w:tcW w:w="1434" w:type="dxa"/>
          </w:tcPr>
          <w:p w14:paraId="77500681" w14:textId="77777777" w:rsidR="00EA35F8" w:rsidRPr="006A390D" w:rsidRDefault="00EA35F8" w:rsidP="008C15ED">
            <w:pPr>
              <w:pStyle w:val="TableText"/>
              <w:jc w:val="center"/>
            </w:pPr>
            <w:r w:rsidRPr="00EE3EA1">
              <w:t>0.109</w:t>
            </w:r>
          </w:p>
        </w:tc>
      </w:tr>
      <w:tr w:rsidR="00EA35F8" w:rsidRPr="00011752" w14:paraId="1EA444C7" w14:textId="77777777" w:rsidTr="00432B07">
        <w:trPr>
          <w:jc w:val="center"/>
        </w:trPr>
        <w:tc>
          <w:tcPr>
            <w:tcW w:w="2916" w:type="dxa"/>
          </w:tcPr>
          <w:p w14:paraId="7D84025E" w14:textId="77777777" w:rsidR="00EA35F8" w:rsidRDefault="00EA35F8" w:rsidP="008C15ED">
            <w:pPr>
              <w:pStyle w:val="TableHeading"/>
            </w:pPr>
            <w:r>
              <w:t>electrical conductivity</w:t>
            </w:r>
          </w:p>
        </w:tc>
        <w:tc>
          <w:tcPr>
            <w:tcW w:w="1433" w:type="dxa"/>
          </w:tcPr>
          <w:p w14:paraId="4C5BDD76" w14:textId="77777777" w:rsidR="00EA35F8" w:rsidRPr="00B833FB" w:rsidRDefault="00EA35F8" w:rsidP="008C15ED">
            <w:pPr>
              <w:pStyle w:val="TableText"/>
              <w:jc w:val="center"/>
            </w:pPr>
            <w:r w:rsidRPr="000D2BD8">
              <w:t>-0.04</w:t>
            </w:r>
          </w:p>
        </w:tc>
        <w:tc>
          <w:tcPr>
            <w:tcW w:w="1434" w:type="dxa"/>
          </w:tcPr>
          <w:p w14:paraId="7B4BE7E2" w14:textId="77777777" w:rsidR="00EA35F8" w:rsidRPr="00B833FB" w:rsidRDefault="00EA35F8" w:rsidP="008C15ED">
            <w:pPr>
              <w:pStyle w:val="TableText"/>
              <w:jc w:val="center"/>
            </w:pPr>
            <w:r w:rsidRPr="000D2BD8">
              <w:t>0.01</w:t>
            </w:r>
          </w:p>
        </w:tc>
        <w:tc>
          <w:tcPr>
            <w:tcW w:w="1434" w:type="dxa"/>
          </w:tcPr>
          <w:p w14:paraId="2A0BB826" w14:textId="77777777" w:rsidR="00EA35F8" w:rsidRPr="00B833FB" w:rsidRDefault="00EA35F8" w:rsidP="008C15ED">
            <w:pPr>
              <w:pStyle w:val="TableText"/>
              <w:jc w:val="center"/>
            </w:pPr>
            <w:r w:rsidRPr="000D2BD8">
              <w:t>0.003</w:t>
            </w:r>
          </w:p>
        </w:tc>
      </w:tr>
      <w:tr w:rsidR="00EA35F8" w:rsidRPr="00011752" w14:paraId="0F4BB362" w14:textId="77777777" w:rsidTr="00432B07">
        <w:trPr>
          <w:jc w:val="center"/>
        </w:trPr>
        <w:tc>
          <w:tcPr>
            <w:tcW w:w="2916" w:type="dxa"/>
          </w:tcPr>
          <w:p w14:paraId="1EEF37E6" w14:textId="77777777" w:rsidR="00EA35F8" w:rsidRPr="00011752" w:rsidRDefault="00EA35F8" w:rsidP="008C15ED">
            <w:pPr>
              <w:pStyle w:val="TableHeading"/>
            </w:pPr>
            <w:r>
              <w:t>10-day flow trend (dQ10)</w:t>
            </w:r>
          </w:p>
        </w:tc>
        <w:tc>
          <w:tcPr>
            <w:tcW w:w="1433" w:type="dxa"/>
          </w:tcPr>
          <w:p w14:paraId="5A402F78" w14:textId="77777777" w:rsidR="00EA35F8" w:rsidRPr="00011752" w:rsidRDefault="00EA35F8" w:rsidP="008C15ED">
            <w:pPr>
              <w:pStyle w:val="TableText"/>
              <w:jc w:val="center"/>
            </w:pPr>
            <w:r w:rsidRPr="00462484">
              <w:t>2.76</w:t>
            </w:r>
          </w:p>
        </w:tc>
        <w:tc>
          <w:tcPr>
            <w:tcW w:w="1434" w:type="dxa"/>
          </w:tcPr>
          <w:p w14:paraId="6B6A0248" w14:textId="77777777" w:rsidR="00EA35F8" w:rsidRPr="00011752" w:rsidRDefault="00EA35F8" w:rsidP="008C15ED">
            <w:pPr>
              <w:pStyle w:val="TableText"/>
              <w:jc w:val="center"/>
            </w:pPr>
            <w:r w:rsidRPr="00462484">
              <w:t>1.07</w:t>
            </w:r>
          </w:p>
        </w:tc>
        <w:tc>
          <w:tcPr>
            <w:tcW w:w="1434" w:type="dxa"/>
          </w:tcPr>
          <w:p w14:paraId="5CE66F61" w14:textId="77777777" w:rsidR="00EA35F8" w:rsidRPr="00011752" w:rsidRDefault="00EA35F8" w:rsidP="008C15ED">
            <w:pPr>
              <w:pStyle w:val="TableText"/>
              <w:jc w:val="center"/>
            </w:pPr>
            <w:r w:rsidRPr="00462484">
              <w:t>0.010</w:t>
            </w:r>
          </w:p>
        </w:tc>
      </w:tr>
      <w:tr w:rsidR="00EA35F8" w:rsidRPr="00011752" w14:paraId="4760CCE3" w14:textId="77777777" w:rsidTr="00432B07">
        <w:trPr>
          <w:jc w:val="center"/>
        </w:trPr>
        <w:tc>
          <w:tcPr>
            <w:tcW w:w="2916" w:type="dxa"/>
          </w:tcPr>
          <w:p w14:paraId="662D7397" w14:textId="77777777" w:rsidR="00EA35F8" w:rsidRPr="00011752" w:rsidRDefault="00EA35F8" w:rsidP="008C15ED">
            <w:pPr>
              <w:pStyle w:val="TableHeading"/>
            </w:pPr>
            <w:r w:rsidRPr="00EF6941">
              <w:t>FPA60</w:t>
            </w:r>
          </w:p>
        </w:tc>
        <w:tc>
          <w:tcPr>
            <w:tcW w:w="1433" w:type="dxa"/>
          </w:tcPr>
          <w:p w14:paraId="78B86283" w14:textId="77777777" w:rsidR="00EA35F8" w:rsidRPr="00011752" w:rsidRDefault="00EA35F8" w:rsidP="008C15ED">
            <w:pPr>
              <w:pStyle w:val="TableText"/>
              <w:jc w:val="center"/>
            </w:pPr>
            <w:r>
              <w:t>4</w:t>
            </w:r>
            <w:r w:rsidRPr="00F65A30">
              <w:t>.</w:t>
            </w:r>
            <w:r>
              <w:t>4e-04</w:t>
            </w:r>
          </w:p>
        </w:tc>
        <w:tc>
          <w:tcPr>
            <w:tcW w:w="1434" w:type="dxa"/>
          </w:tcPr>
          <w:p w14:paraId="54A822B1" w14:textId="77777777" w:rsidR="00EA35F8" w:rsidRPr="00011752" w:rsidRDefault="00EA35F8" w:rsidP="008C15ED">
            <w:pPr>
              <w:pStyle w:val="TableText"/>
              <w:jc w:val="center"/>
            </w:pPr>
            <w:r>
              <w:t>2.1e-04</w:t>
            </w:r>
          </w:p>
        </w:tc>
        <w:tc>
          <w:tcPr>
            <w:tcW w:w="1434" w:type="dxa"/>
          </w:tcPr>
          <w:p w14:paraId="5147B7BE" w14:textId="77777777" w:rsidR="00EA35F8" w:rsidRPr="00011752" w:rsidRDefault="00EA35F8" w:rsidP="008C15ED">
            <w:pPr>
              <w:pStyle w:val="TableText"/>
              <w:jc w:val="center"/>
            </w:pPr>
            <w:r w:rsidRPr="00EF6941">
              <w:t>0.0</w:t>
            </w:r>
            <w:r>
              <w:t>33</w:t>
            </w:r>
          </w:p>
        </w:tc>
      </w:tr>
      <w:tr w:rsidR="00EA35F8" w:rsidRPr="00011752" w14:paraId="652D70D1" w14:textId="77777777" w:rsidTr="00432B07">
        <w:trPr>
          <w:jc w:val="center"/>
        </w:trPr>
        <w:tc>
          <w:tcPr>
            <w:tcW w:w="2916" w:type="dxa"/>
          </w:tcPr>
          <w:p w14:paraId="67A10AA3" w14:textId="77777777" w:rsidR="00EA35F8" w:rsidRPr="00011752" w:rsidRDefault="00EA35F8" w:rsidP="008C15ED">
            <w:pPr>
              <w:pStyle w:val="TableHeading"/>
            </w:pPr>
            <w:proofErr w:type="spellStart"/>
            <w:r w:rsidRPr="00F65A30">
              <w:t>temp</w:t>
            </w:r>
            <w:r>
              <w:t>erature:EC</w:t>
            </w:r>
            <w:proofErr w:type="spellEnd"/>
          </w:p>
        </w:tc>
        <w:tc>
          <w:tcPr>
            <w:tcW w:w="1433" w:type="dxa"/>
          </w:tcPr>
          <w:p w14:paraId="2821F7D1" w14:textId="77777777" w:rsidR="00EA35F8" w:rsidRPr="00011752" w:rsidRDefault="00EA35F8" w:rsidP="008C15ED">
            <w:pPr>
              <w:pStyle w:val="TableText"/>
              <w:jc w:val="center"/>
            </w:pPr>
            <w:r>
              <w:t>-1.9</w:t>
            </w:r>
            <w:r w:rsidRPr="00C74FFF">
              <w:t>e-0</w:t>
            </w:r>
            <w:r>
              <w:t>3</w:t>
            </w:r>
          </w:p>
        </w:tc>
        <w:tc>
          <w:tcPr>
            <w:tcW w:w="1434" w:type="dxa"/>
          </w:tcPr>
          <w:p w14:paraId="3A2CD648" w14:textId="77777777" w:rsidR="00EA35F8" w:rsidRPr="00011752" w:rsidRDefault="00EA35F8" w:rsidP="008C15ED">
            <w:pPr>
              <w:pStyle w:val="TableText"/>
              <w:jc w:val="center"/>
            </w:pPr>
            <w:r>
              <w:t>6</w:t>
            </w:r>
            <w:r w:rsidRPr="00C74FFF">
              <w:t>.</w:t>
            </w:r>
            <w:r>
              <w:t>8</w:t>
            </w:r>
            <w:r w:rsidRPr="00C74FFF">
              <w:t>e-04</w:t>
            </w:r>
          </w:p>
        </w:tc>
        <w:tc>
          <w:tcPr>
            <w:tcW w:w="1434" w:type="dxa"/>
          </w:tcPr>
          <w:p w14:paraId="65255B53" w14:textId="77777777" w:rsidR="00EA35F8" w:rsidRPr="00011752" w:rsidRDefault="00EA35F8" w:rsidP="008C15ED">
            <w:pPr>
              <w:pStyle w:val="TableText"/>
              <w:jc w:val="center"/>
            </w:pPr>
            <w:r w:rsidRPr="00D37DD2">
              <w:t>0.003</w:t>
            </w:r>
          </w:p>
        </w:tc>
      </w:tr>
      <w:tr w:rsidR="00EA35F8" w:rsidRPr="00011752" w14:paraId="3F5CFC67" w14:textId="77777777" w:rsidTr="00432B07">
        <w:trPr>
          <w:jc w:val="center"/>
        </w:trPr>
        <w:tc>
          <w:tcPr>
            <w:tcW w:w="2916" w:type="dxa"/>
          </w:tcPr>
          <w:p w14:paraId="1B4DF0D2" w14:textId="77777777" w:rsidR="00EA35F8" w:rsidRPr="00011752" w:rsidRDefault="00EA35F8" w:rsidP="008C15ED">
            <w:pPr>
              <w:pStyle w:val="TableHeading"/>
            </w:pPr>
            <w:proofErr w:type="gramStart"/>
            <w:r>
              <w:t>temperature:dQ</w:t>
            </w:r>
            <w:proofErr w:type="gramEnd"/>
            <w:r>
              <w:t>10</w:t>
            </w:r>
          </w:p>
        </w:tc>
        <w:tc>
          <w:tcPr>
            <w:tcW w:w="1433" w:type="dxa"/>
          </w:tcPr>
          <w:p w14:paraId="181C7B8A" w14:textId="77777777" w:rsidR="00EA35F8" w:rsidRPr="00011752" w:rsidRDefault="00EA35F8" w:rsidP="008C15ED">
            <w:pPr>
              <w:pStyle w:val="TableText"/>
              <w:jc w:val="center"/>
            </w:pPr>
            <w:r w:rsidRPr="00161841">
              <w:t>-</w:t>
            </w:r>
            <w:r>
              <w:t>1</w:t>
            </w:r>
            <w:r w:rsidRPr="00161841">
              <w:t>.</w:t>
            </w:r>
            <w:r>
              <w:t>1</w:t>
            </w:r>
            <w:r w:rsidRPr="00161841">
              <w:t>e-0</w:t>
            </w:r>
            <w:r>
              <w:t>1</w:t>
            </w:r>
          </w:p>
        </w:tc>
        <w:tc>
          <w:tcPr>
            <w:tcW w:w="1434" w:type="dxa"/>
          </w:tcPr>
          <w:p w14:paraId="17BC090B" w14:textId="77777777" w:rsidR="00EA35F8" w:rsidRPr="00011752" w:rsidRDefault="00EA35F8" w:rsidP="008C15ED">
            <w:pPr>
              <w:pStyle w:val="TableText"/>
              <w:jc w:val="center"/>
            </w:pPr>
            <w:r>
              <w:t>5</w:t>
            </w:r>
            <w:r w:rsidRPr="00161841">
              <w:t>.</w:t>
            </w:r>
            <w:r>
              <w:t>1</w:t>
            </w:r>
            <w:r w:rsidRPr="00161841">
              <w:t>e-0</w:t>
            </w:r>
            <w:r>
              <w:t>2</w:t>
            </w:r>
          </w:p>
        </w:tc>
        <w:tc>
          <w:tcPr>
            <w:tcW w:w="1434" w:type="dxa"/>
          </w:tcPr>
          <w:p w14:paraId="23B3AF68" w14:textId="77777777" w:rsidR="00EA35F8" w:rsidRPr="00011752" w:rsidRDefault="00EA35F8" w:rsidP="008C15ED">
            <w:pPr>
              <w:pStyle w:val="TableText"/>
              <w:jc w:val="center"/>
            </w:pPr>
            <w:r w:rsidRPr="00F65A30">
              <w:t>0.0</w:t>
            </w:r>
            <w:r>
              <w:t>27</w:t>
            </w:r>
          </w:p>
        </w:tc>
      </w:tr>
      <w:tr w:rsidR="00EA35F8" w:rsidRPr="00011752" w14:paraId="5EDB48C0" w14:textId="77777777" w:rsidTr="00432B07">
        <w:trPr>
          <w:jc w:val="center"/>
        </w:trPr>
        <w:tc>
          <w:tcPr>
            <w:tcW w:w="2916" w:type="dxa"/>
            <w:tcBorders>
              <w:bottom w:val="single" w:sz="4" w:space="0" w:color="auto"/>
            </w:tcBorders>
          </w:tcPr>
          <w:p w14:paraId="6D4BCA2A" w14:textId="77777777" w:rsidR="00EA35F8" w:rsidRPr="00011752" w:rsidRDefault="00EA35F8" w:rsidP="008C15ED">
            <w:pPr>
              <w:pStyle w:val="TableHeading"/>
            </w:pPr>
            <w:proofErr w:type="gramStart"/>
            <w:r>
              <w:t>EC:FPA</w:t>
            </w:r>
            <w:proofErr w:type="gramEnd"/>
            <w:r>
              <w:t>60</w:t>
            </w:r>
          </w:p>
        </w:tc>
        <w:tc>
          <w:tcPr>
            <w:tcW w:w="1433" w:type="dxa"/>
            <w:tcBorders>
              <w:bottom w:val="single" w:sz="4" w:space="0" w:color="auto"/>
            </w:tcBorders>
          </w:tcPr>
          <w:p w14:paraId="0F97A9CB" w14:textId="77777777" w:rsidR="00EA35F8" w:rsidRPr="00011752" w:rsidRDefault="00EA35F8" w:rsidP="008C15ED">
            <w:pPr>
              <w:pStyle w:val="TableText"/>
              <w:jc w:val="center"/>
            </w:pPr>
            <w:r w:rsidRPr="00F65A30">
              <w:t>-</w:t>
            </w:r>
            <w:r>
              <w:t>3</w:t>
            </w:r>
            <w:r w:rsidRPr="00F65A30">
              <w:t>.</w:t>
            </w:r>
            <w:r>
              <w:t>6e-</w:t>
            </w:r>
            <w:r w:rsidRPr="00F65A30">
              <w:t>0</w:t>
            </w:r>
            <w:r>
              <w:t>6</w:t>
            </w:r>
          </w:p>
        </w:tc>
        <w:tc>
          <w:tcPr>
            <w:tcW w:w="1434" w:type="dxa"/>
            <w:tcBorders>
              <w:bottom w:val="single" w:sz="4" w:space="0" w:color="auto"/>
            </w:tcBorders>
          </w:tcPr>
          <w:p w14:paraId="48598007" w14:textId="77777777" w:rsidR="00EA35F8" w:rsidRPr="00011752" w:rsidRDefault="00EA35F8" w:rsidP="008C15ED">
            <w:pPr>
              <w:pStyle w:val="TableText"/>
              <w:jc w:val="center"/>
            </w:pPr>
            <w:r>
              <w:t>1</w:t>
            </w:r>
            <w:r w:rsidRPr="00F65A30">
              <w:t>.</w:t>
            </w:r>
            <w:r>
              <w:t>1e-</w:t>
            </w:r>
            <w:r w:rsidRPr="00F65A30">
              <w:t>0</w:t>
            </w:r>
            <w:r>
              <w:t>6</w:t>
            </w:r>
          </w:p>
        </w:tc>
        <w:tc>
          <w:tcPr>
            <w:tcW w:w="1434" w:type="dxa"/>
            <w:tcBorders>
              <w:bottom w:val="single" w:sz="4" w:space="0" w:color="auto"/>
            </w:tcBorders>
          </w:tcPr>
          <w:p w14:paraId="2C91579F" w14:textId="77777777" w:rsidR="00EA35F8" w:rsidRPr="00011752" w:rsidRDefault="00EA35F8" w:rsidP="008C15ED">
            <w:pPr>
              <w:pStyle w:val="TableText"/>
              <w:jc w:val="center"/>
            </w:pPr>
            <w:r w:rsidRPr="00F65A30">
              <w:t>0.</w:t>
            </w:r>
            <w:r>
              <w:t>00</w:t>
            </w:r>
            <w:r w:rsidRPr="00F65A30">
              <w:t>1</w:t>
            </w:r>
          </w:p>
        </w:tc>
      </w:tr>
    </w:tbl>
    <w:p w14:paraId="1D82CD5C" w14:textId="77777777" w:rsidR="00EA35F8" w:rsidRDefault="00EA35F8" w:rsidP="00EA35F8">
      <w:pPr>
        <w:spacing w:before="0" w:after="160" w:line="259" w:lineRule="auto"/>
        <w:jc w:val="left"/>
        <w:rPr>
          <w:b/>
          <w:bCs/>
          <w:color w:val="auto"/>
          <w:sz w:val="20"/>
          <w:szCs w:val="18"/>
        </w:rPr>
      </w:pPr>
      <w:r>
        <w:br w:type="page"/>
      </w:r>
    </w:p>
    <w:p w14:paraId="5F3F948A" w14:textId="77777777" w:rsidR="00385C6A" w:rsidRPr="009E2AA1" w:rsidRDefault="00385C6A" w:rsidP="00385C6A">
      <w:pPr>
        <w:rPr>
          <w:i/>
          <w:iCs/>
          <w:color w:val="2F5496" w:themeColor="accent5" w:themeShade="BF"/>
          <w:sz w:val="18"/>
          <w:szCs w:val="16"/>
        </w:rPr>
      </w:pPr>
      <w:r w:rsidRPr="009E2AA1">
        <w:rPr>
          <w:i/>
          <w:iCs/>
          <w:color w:val="2F5496" w:themeColor="accent5" w:themeShade="BF"/>
          <w:sz w:val="18"/>
          <w:szCs w:val="16"/>
        </w:rPr>
        <w:t>H</w:t>
      </w:r>
      <w:r>
        <w:rPr>
          <w:i/>
          <w:iCs/>
          <w:color w:val="2F5496" w:themeColor="accent5" w:themeShade="BF"/>
          <w:sz w:val="18"/>
          <w:szCs w:val="16"/>
        </w:rPr>
        <w:t>3</w:t>
      </w:r>
      <w:r w:rsidRPr="009E2AA1">
        <w:rPr>
          <w:i/>
          <w:iCs/>
          <w:color w:val="2F5496" w:themeColor="accent5" w:themeShade="BF"/>
          <w:sz w:val="18"/>
          <w:szCs w:val="16"/>
        </w:rPr>
        <w:t xml:space="preserve">: </w:t>
      </w:r>
      <w:r>
        <w:rPr>
          <w:i/>
          <w:iCs/>
          <w:color w:val="2F5496" w:themeColor="accent5" w:themeShade="BF"/>
          <w:sz w:val="18"/>
          <w:szCs w:val="16"/>
        </w:rPr>
        <w:t xml:space="preserve">Spring </w:t>
      </w:r>
      <w:proofErr w:type="spellStart"/>
      <w:r>
        <w:rPr>
          <w:i/>
          <w:iCs/>
          <w:color w:val="2F5496" w:themeColor="accent5" w:themeShade="BF"/>
          <w:sz w:val="18"/>
          <w:szCs w:val="16"/>
        </w:rPr>
        <w:t>microinvertebrate</w:t>
      </w:r>
      <w:proofErr w:type="spellEnd"/>
      <w:r>
        <w:rPr>
          <w:i/>
          <w:iCs/>
          <w:color w:val="2F5496" w:themeColor="accent5" w:themeShade="BF"/>
          <w:sz w:val="18"/>
          <w:szCs w:val="16"/>
        </w:rPr>
        <w:t xml:space="preserve"> prey species density</w:t>
      </w:r>
    </w:p>
    <w:p w14:paraId="16B49704" w14:textId="540B0366" w:rsidR="00EA35F8" w:rsidRDefault="00EA35F8" w:rsidP="00EA35F8">
      <w:r>
        <w:t xml:space="preserve">Across all years, observed </w:t>
      </w:r>
      <w:proofErr w:type="spellStart"/>
      <w:r>
        <w:t>microinvertebrate</w:t>
      </w:r>
      <w:proofErr w:type="spellEnd"/>
      <w:r>
        <w:t xml:space="preserve"> fish prey species density (i.e., the total density of all taxa in </w:t>
      </w:r>
      <w:r w:rsidR="006045CA">
        <w:fldChar w:fldCharType="begin"/>
      </w:r>
      <w:r w:rsidR="006045CA">
        <w:instrText xml:space="preserve"> REF _Ref69310760 \h </w:instrText>
      </w:r>
      <w:r w:rsidR="006045CA">
        <w:fldChar w:fldCharType="separate"/>
      </w:r>
      <w:r w:rsidR="006045CA">
        <w:t xml:space="preserve">Table </w:t>
      </w:r>
      <w:r w:rsidR="006045CA">
        <w:rPr>
          <w:noProof/>
        </w:rPr>
        <w:t>17</w:t>
      </w:r>
      <w:r w:rsidR="006045CA">
        <w:fldChar w:fldCharType="end"/>
      </w:r>
      <w:r w:rsidR="006045CA">
        <w:t xml:space="preserve">) </w:t>
      </w:r>
      <w:r w:rsidR="00FB5EF1">
        <w:t xml:space="preserve">during spring (October and November) was </w:t>
      </w:r>
      <w:r>
        <w:t xml:space="preserve">lowest in 2019-20 (mean [95% CI] = 73.9 </w:t>
      </w:r>
      <w:proofErr w:type="spellStart"/>
      <w:r>
        <w:t>ind</w:t>
      </w:r>
      <w:proofErr w:type="spellEnd"/>
      <w:r>
        <w:t xml:space="preserve">/L, [48.3, 99.8] and highest in 2016-17 (202 </w:t>
      </w:r>
      <w:proofErr w:type="spellStart"/>
      <w:r>
        <w:t>ind</w:t>
      </w:r>
      <w:proofErr w:type="spellEnd"/>
      <w:r>
        <w:t xml:space="preserve">/L, [93.1, 312.6]). However, differences in density between years were not statistically significant (Kruskal Wallis </w:t>
      </w:r>
      <w:r w:rsidRPr="00912CCE">
        <w:rPr>
          <w:i/>
          <w:iCs/>
        </w:rPr>
        <w:t>Χ</w:t>
      </w:r>
      <w:r w:rsidRPr="00912CCE">
        <w:rPr>
          <w:vertAlign w:val="superscript"/>
        </w:rPr>
        <w:t>2</w:t>
      </w:r>
      <w:r>
        <w:t xml:space="preserve"> = 5.84, df = 4, p = 0.21), due to the high variability within sites in all sampling years, particularly 2016-17 (</w:t>
      </w:r>
      <w:r w:rsidR="004A35E2">
        <w:fldChar w:fldCharType="begin"/>
      </w:r>
      <w:r w:rsidR="004A35E2">
        <w:instrText xml:space="preserve"> REF _Ref63781787 \h </w:instrText>
      </w:r>
      <w:r w:rsidR="004A35E2">
        <w:fldChar w:fldCharType="separate"/>
      </w:r>
      <w:r w:rsidR="006045CA">
        <w:t xml:space="preserve">Figure </w:t>
      </w:r>
      <w:r w:rsidR="006045CA">
        <w:rPr>
          <w:noProof/>
        </w:rPr>
        <w:t>46</w:t>
      </w:r>
      <w:r w:rsidR="004A35E2">
        <w:fldChar w:fldCharType="end"/>
      </w:r>
      <w:r>
        <w:t xml:space="preserve">). </w:t>
      </w:r>
    </w:p>
    <w:p w14:paraId="5A7401E2" w14:textId="1F1DEEAD" w:rsidR="00EA35F8" w:rsidRDefault="00EA35F8" w:rsidP="004A35E2">
      <w:r>
        <w:t xml:space="preserve">Modelled spring </w:t>
      </w:r>
      <w:proofErr w:type="spellStart"/>
      <w:r>
        <w:t>microinvertebrate</w:t>
      </w:r>
      <w:proofErr w:type="spellEnd"/>
      <w:r>
        <w:t xml:space="preserve"> prey species density in the absence of any environmental water was estimated at ~37% lower (</w:t>
      </w:r>
      <w:r w:rsidRPr="00EC3D26">
        <w:t>mean difference ±[ 95% CI] between observed and modelled</w:t>
      </w:r>
      <w:r>
        <w:t xml:space="preserve"> </w:t>
      </w:r>
      <w:r w:rsidRPr="00EC3D26">
        <w:t xml:space="preserve">no environmental water  </w:t>
      </w:r>
      <w:r>
        <w:t xml:space="preserve">scenarios </w:t>
      </w:r>
      <w:r w:rsidRPr="00EC3D26">
        <w:t xml:space="preserve">= </w:t>
      </w:r>
      <w:r>
        <w:t xml:space="preserve">44.0 </w:t>
      </w:r>
      <w:r w:rsidRPr="00EC3D26">
        <w:t>[</w:t>
      </w:r>
      <w:r>
        <w:t>36.2</w:t>
      </w:r>
      <w:r w:rsidRPr="00EC3D26">
        <w:t xml:space="preserve">, </w:t>
      </w:r>
      <w:r>
        <w:t>51.9</w:t>
      </w:r>
      <w:r w:rsidRPr="00EC3D26">
        <w:t>]</w:t>
      </w:r>
      <w:r>
        <w:t xml:space="preserve"> </w:t>
      </w:r>
      <w:proofErr w:type="spellStart"/>
      <w:r>
        <w:t>ind</w:t>
      </w:r>
      <w:proofErr w:type="spellEnd"/>
      <w:r>
        <w:t>/L</w:t>
      </w:r>
      <w:r w:rsidRPr="00EC3D26">
        <w:t xml:space="preserve">; t = </w:t>
      </w:r>
      <w:r>
        <w:t>11.16</w:t>
      </w:r>
      <w:r w:rsidRPr="00EC3D26">
        <w:t xml:space="preserve">, df = </w:t>
      </w:r>
      <w:r>
        <w:t>101</w:t>
      </w:r>
      <w:r w:rsidRPr="00EC3D26">
        <w:t xml:space="preserve">, p </w:t>
      </w:r>
      <w:r>
        <w:t>=</w:t>
      </w:r>
      <w:r w:rsidRPr="00EC3D26">
        <w:t xml:space="preserve"> </w:t>
      </w:r>
      <w:r>
        <w:t>&lt;</w:t>
      </w:r>
      <w:r w:rsidRPr="00EC3D26">
        <w:t>0.00</w:t>
      </w:r>
      <w:r>
        <w:t xml:space="preserve">1). Commonwealth environmental water alone was estimated to account for ~86% of the density increase (37.7 </w:t>
      </w:r>
      <w:r w:rsidRPr="00EC3D26">
        <w:t>[</w:t>
      </w:r>
      <w:r>
        <w:t>30.4</w:t>
      </w:r>
      <w:r w:rsidRPr="00EC3D26">
        <w:t>,</w:t>
      </w:r>
      <w:r>
        <w:t xml:space="preserve"> 45.1</w:t>
      </w:r>
      <w:r w:rsidRPr="00EC3D26">
        <w:t xml:space="preserve">] </w:t>
      </w:r>
      <w:proofErr w:type="spellStart"/>
      <w:r>
        <w:t>ind</w:t>
      </w:r>
      <w:proofErr w:type="spellEnd"/>
      <w:r>
        <w:t xml:space="preserve">/L </w:t>
      </w:r>
      <w:r w:rsidRPr="00EC3D26">
        <w:t xml:space="preserve">per </w:t>
      </w:r>
      <w:r>
        <w:t>sampling event</w:t>
      </w:r>
      <w:r w:rsidRPr="00EC3D26">
        <w:t xml:space="preserve">; </w:t>
      </w:r>
      <w:r w:rsidRPr="00EC3D26">
        <w:rPr>
          <w:i/>
          <w:iCs/>
        </w:rPr>
        <w:t>t</w:t>
      </w:r>
      <w:r w:rsidRPr="00EC3D26">
        <w:t xml:space="preserve"> =</w:t>
      </w:r>
      <w:r>
        <w:t xml:space="preserve"> 4</w:t>
      </w:r>
      <w:r w:rsidRPr="00EC3D26">
        <w:t>.</w:t>
      </w:r>
      <w:r>
        <w:t>12</w:t>
      </w:r>
      <w:r w:rsidRPr="00EC3D26">
        <w:t xml:space="preserve">, </w:t>
      </w:r>
      <w:r w:rsidRPr="00EC3D26">
        <w:rPr>
          <w:i/>
          <w:iCs/>
        </w:rPr>
        <w:t xml:space="preserve">df </w:t>
      </w:r>
      <w:r w:rsidRPr="00EC3D26">
        <w:t xml:space="preserve">= </w:t>
      </w:r>
      <w:r>
        <w:t>101</w:t>
      </w:r>
      <w:r w:rsidRPr="00EC3D26">
        <w:t xml:space="preserve">, </w:t>
      </w:r>
      <w:r w:rsidRPr="00EC3D26">
        <w:rPr>
          <w:i/>
          <w:iCs/>
        </w:rPr>
        <w:t>p</w:t>
      </w:r>
      <w:r w:rsidRPr="00EC3D26">
        <w:t xml:space="preserve"> &lt; 0.001</w:t>
      </w:r>
      <w:r>
        <w:t>).</w:t>
      </w:r>
    </w:p>
    <w:p w14:paraId="2F7928E0" w14:textId="4BC5CC88" w:rsidR="00EA35F8" w:rsidRDefault="00EA35F8" w:rsidP="00EA35F8">
      <w:r>
        <w:t>A clear uncertainty in the building of the spring fish prey species model lies in the selection of suitable taxa. In this analysis, a broad interpretation of prey species was adopted, but future work should seek to identify the most important taxa, allowing a more sophisticated modelling approach. The spring fish prey species density model also had additional statistical uncertainties, with a low squared correlation between predicted and observed data (0.31). However, the amount of explained deviance was comparable to the other models (0.46) and the most influential predictors (Table D</w:t>
      </w:r>
      <w:r w:rsidR="0012436A">
        <w:t>1</w:t>
      </w:r>
      <w:r w:rsidR="00065DAD">
        <w:t>0</w:t>
      </w:r>
      <w:r>
        <w:t>) were largely in accord with the other density models (e.g. Table D</w:t>
      </w:r>
      <w:r w:rsidR="00065DAD">
        <w:t>6</w:t>
      </w:r>
      <w:r>
        <w:t xml:space="preserve">). </w:t>
      </w:r>
    </w:p>
    <w:p w14:paraId="5621DF35" w14:textId="77777777" w:rsidR="00EA35F8" w:rsidRDefault="00EA35F8" w:rsidP="00EA35F8">
      <w:pPr>
        <w:pStyle w:val="Caption"/>
      </w:pPr>
    </w:p>
    <w:p w14:paraId="6C7CD92E" w14:textId="77777777" w:rsidR="00EA35F8" w:rsidRDefault="00EA35F8" w:rsidP="00EA35F8">
      <w:pPr>
        <w:spacing w:before="0" w:after="160" w:line="259" w:lineRule="auto"/>
        <w:jc w:val="left"/>
        <w:rPr>
          <w:b/>
          <w:bCs/>
          <w:color w:val="auto"/>
          <w:sz w:val="20"/>
          <w:szCs w:val="18"/>
        </w:rPr>
      </w:pPr>
      <w:r>
        <w:br w:type="page"/>
      </w:r>
    </w:p>
    <w:p w14:paraId="0CA4AD41" w14:textId="1E63C29B" w:rsidR="00EA35F8" w:rsidRPr="00DB1140" w:rsidRDefault="00EA35F8" w:rsidP="00EA35F8">
      <w:pPr>
        <w:pStyle w:val="Caption"/>
      </w:pPr>
      <w:r>
        <w:t>Table D</w:t>
      </w:r>
      <w:r w:rsidR="0012436A">
        <w:t>1</w:t>
      </w:r>
      <w:r w:rsidR="00065DAD">
        <w:t>0</w:t>
      </w:r>
      <w:r>
        <w:t xml:space="preserve">. Results of negative binomial generalised linear model for spring </w:t>
      </w:r>
      <w:proofErr w:type="spellStart"/>
      <w:r>
        <w:t>microinvertebrate</w:t>
      </w:r>
      <w:proofErr w:type="spellEnd"/>
      <w:r>
        <w:t xml:space="preserve"> prey-species density (individuals per litre) showing selected predictors, estimated coefficients (Estimate), standard errors in estimation (</w:t>
      </w:r>
      <w:proofErr w:type="spellStart"/>
      <w:proofErr w:type="gramStart"/>
      <w:r>
        <w:t>std.Error</w:t>
      </w:r>
      <w:proofErr w:type="spellEnd"/>
      <w:proofErr w:type="gramEnd"/>
      <w:r>
        <w:t>) and Type I Error probability (</w:t>
      </w:r>
      <w:r w:rsidRPr="00011752">
        <w:rPr>
          <w:i/>
          <w:iCs/>
        </w:rPr>
        <w:t>p</w:t>
      </w:r>
      <w:r>
        <w:t>-value). Flow data were log transformed prior to modelling. FPA28 quantifies the area of floodplain inundated over the last 28 days (see Methods for full description of predictor calculation). Negative binomial distribution dispersion parameter (theta) = 3.07, standard error = 0.30.</w:t>
      </w:r>
    </w:p>
    <w:tbl>
      <w:tblPr>
        <w:tblStyle w:val="TableGrid"/>
        <w:tblW w:w="721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16"/>
        <w:gridCol w:w="1433"/>
        <w:gridCol w:w="1434"/>
        <w:gridCol w:w="1434"/>
      </w:tblGrid>
      <w:tr w:rsidR="00EA35F8" w:rsidRPr="00011752" w14:paraId="132F6E31" w14:textId="77777777" w:rsidTr="00432B07">
        <w:trPr>
          <w:jc w:val="center"/>
        </w:trPr>
        <w:tc>
          <w:tcPr>
            <w:tcW w:w="2916" w:type="dxa"/>
            <w:tcBorders>
              <w:top w:val="single" w:sz="4" w:space="0" w:color="auto"/>
              <w:bottom w:val="single" w:sz="4" w:space="0" w:color="auto"/>
            </w:tcBorders>
          </w:tcPr>
          <w:p w14:paraId="24974DB0" w14:textId="77777777" w:rsidR="00EA35F8" w:rsidRPr="00011752" w:rsidRDefault="00EA35F8" w:rsidP="008C15ED">
            <w:pPr>
              <w:pStyle w:val="TableHeading"/>
            </w:pPr>
            <w:r w:rsidRPr="00011752">
              <w:t>Predictor</w:t>
            </w:r>
          </w:p>
        </w:tc>
        <w:tc>
          <w:tcPr>
            <w:tcW w:w="1433" w:type="dxa"/>
            <w:tcBorders>
              <w:top w:val="single" w:sz="4" w:space="0" w:color="auto"/>
              <w:bottom w:val="single" w:sz="4" w:space="0" w:color="auto"/>
            </w:tcBorders>
          </w:tcPr>
          <w:p w14:paraId="5B8C1FD1" w14:textId="77777777" w:rsidR="00EA35F8" w:rsidRPr="00011752" w:rsidRDefault="00EA35F8" w:rsidP="008C15ED">
            <w:pPr>
              <w:pStyle w:val="TableHeading"/>
            </w:pPr>
            <w:r w:rsidRPr="00011752">
              <w:t>Estimate</w:t>
            </w:r>
          </w:p>
        </w:tc>
        <w:tc>
          <w:tcPr>
            <w:tcW w:w="1434" w:type="dxa"/>
            <w:tcBorders>
              <w:top w:val="single" w:sz="4" w:space="0" w:color="auto"/>
              <w:bottom w:val="single" w:sz="4" w:space="0" w:color="auto"/>
            </w:tcBorders>
          </w:tcPr>
          <w:p w14:paraId="29AD8EB0" w14:textId="77777777" w:rsidR="00EA35F8" w:rsidRPr="00011752" w:rsidRDefault="00EA35F8" w:rsidP="008C15ED">
            <w:pPr>
              <w:pStyle w:val="TableHeading"/>
            </w:pPr>
            <w:r w:rsidRPr="00011752">
              <w:t>std. Error</w:t>
            </w:r>
          </w:p>
        </w:tc>
        <w:tc>
          <w:tcPr>
            <w:tcW w:w="1434" w:type="dxa"/>
            <w:tcBorders>
              <w:top w:val="single" w:sz="4" w:space="0" w:color="auto"/>
              <w:bottom w:val="single" w:sz="4" w:space="0" w:color="auto"/>
            </w:tcBorders>
          </w:tcPr>
          <w:p w14:paraId="0247AFC9" w14:textId="77777777" w:rsidR="00EA35F8" w:rsidRPr="00011752" w:rsidRDefault="00EA35F8" w:rsidP="008C15ED">
            <w:pPr>
              <w:pStyle w:val="TableHeading"/>
            </w:pPr>
            <w:r w:rsidRPr="00011752">
              <w:rPr>
                <w:i/>
                <w:iCs/>
              </w:rPr>
              <w:t>p</w:t>
            </w:r>
            <w:r>
              <w:t>-value</w:t>
            </w:r>
          </w:p>
        </w:tc>
      </w:tr>
      <w:tr w:rsidR="00EA35F8" w:rsidRPr="00011752" w14:paraId="6CF2AEF9" w14:textId="77777777" w:rsidTr="00432B07">
        <w:trPr>
          <w:jc w:val="center"/>
        </w:trPr>
        <w:tc>
          <w:tcPr>
            <w:tcW w:w="2916" w:type="dxa"/>
            <w:tcBorders>
              <w:top w:val="single" w:sz="4" w:space="0" w:color="auto"/>
            </w:tcBorders>
          </w:tcPr>
          <w:p w14:paraId="1DA2FBD0" w14:textId="77777777" w:rsidR="00EA35F8" w:rsidRPr="00011752" w:rsidRDefault="00EA35F8" w:rsidP="008C15ED">
            <w:pPr>
              <w:pStyle w:val="TableHeading"/>
            </w:pPr>
            <w:r w:rsidRPr="00011752">
              <w:t>(Intercept)</w:t>
            </w:r>
          </w:p>
        </w:tc>
        <w:tc>
          <w:tcPr>
            <w:tcW w:w="1433" w:type="dxa"/>
            <w:tcBorders>
              <w:top w:val="single" w:sz="4" w:space="0" w:color="auto"/>
            </w:tcBorders>
          </w:tcPr>
          <w:p w14:paraId="10A312E9" w14:textId="77777777" w:rsidR="00EA35F8" w:rsidRPr="00011752" w:rsidRDefault="00EA35F8" w:rsidP="008C15ED">
            <w:pPr>
              <w:pStyle w:val="TableText"/>
              <w:jc w:val="center"/>
            </w:pPr>
            <w:r w:rsidRPr="0029284C">
              <w:t>19.18</w:t>
            </w:r>
          </w:p>
        </w:tc>
        <w:tc>
          <w:tcPr>
            <w:tcW w:w="1434" w:type="dxa"/>
            <w:tcBorders>
              <w:top w:val="single" w:sz="4" w:space="0" w:color="auto"/>
            </w:tcBorders>
          </w:tcPr>
          <w:p w14:paraId="5B193EE6" w14:textId="77777777" w:rsidR="00EA35F8" w:rsidRPr="00011752" w:rsidRDefault="00EA35F8" w:rsidP="008C15ED">
            <w:pPr>
              <w:pStyle w:val="TableText"/>
              <w:jc w:val="center"/>
            </w:pPr>
            <w:r w:rsidRPr="0029284C">
              <w:t>3.19</w:t>
            </w:r>
          </w:p>
        </w:tc>
        <w:tc>
          <w:tcPr>
            <w:tcW w:w="1434" w:type="dxa"/>
            <w:tcBorders>
              <w:top w:val="single" w:sz="4" w:space="0" w:color="auto"/>
            </w:tcBorders>
          </w:tcPr>
          <w:p w14:paraId="728ED79E" w14:textId="77777777" w:rsidR="00EA35F8" w:rsidRPr="00011752" w:rsidRDefault="00EA35F8" w:rsidP="008C15ED">
            <w:pPr>
              <w:pStyle w:val="TableText"/>
              <w:jc w:val="center"/>
            </w:pPr>
            <w:r w:rsidRPr="0029284C">
              <w:t>&lt;0.001</w:t>
            </w:r>
          </w:p>
        </w:tc>
      </w:tr>
      <w:tr w:rsidR="00EA35F8" w:rsidRPr="00011752" w14:paraId="496C8925" w14:textId="77777777" w:rsidTr="00432B07">
        <w:trPr>
          <w:jc w:val="center"/>
        </w:trPr>
        <w:tc>
          <w:tcPr>
            <w:tcW w:w="2916" w:type="dxa"/>
          </w:tcPr>
          <w:p w14:paraId="352F79EC" w14:textId="77777777" w:rsidR="00EA35F8" w:rsidRPr="00011752" w:rsidRDefault="00EA35F8" w:rsidP="008C15ED">
            <w:pPr>
              <w:pStyle w:val="TableHeading"/>
            </w:pPr>
            <w:r>
              <w:t>M</w:t>
            </w:r>
            <w:r w:rsidRPr="00011752">
              <w:t>onth [</w:t>
            </w:r>
            <w:r>
              <w:t>Oct</w:t>
            </w:r>
            <w:r w:rsidRPr="00011752">
              <w:t>]</w:t>
            </w:r>
          </w:p>
        </w:tc>
        <w:tc>
          <w:tcPr>
            <w:tcW w:w="1433" w:type="dxa"/>
          </w:tcPr>
          <w:p w14:paraId="79652920" w14:textId="77777777" w:rsidR="00EA35F8" w:rsidRPr="00011752" w:rsidRDefault="00EA35F8" w:rsidP="008C15ED">
            <w:pPr>
              <w:pStyle w:val="TableText"/>
              <w:jc w:val="center"/>
            </w:pPr>
            <w:r w:rsidRPr="005C0ECD">
              <w:t>-0.30</w:t>
            </w:r>
          </w:p>
        </w:tc>
        <w:tc>
          <w:tcPr>
            <w:tcW w:w="1434" w:type="dxa"/>
          </w:tcPr>
          <w:p w14:paraId="38E79B06" w14:textId="77777777" w:rsidR="00EA35F8" w:rsidRPr="00011752" w:rsidRDefault="00EA35F8" w:rsidP="008C15ED">
            <w:pPr>
              <w:pStyle w:val="TableText"/>
              <w:jc w:val="center"/>
            </w:pPr>
            <w:r w:rsidRPr="005C0ECD">
              <w:t>0.33</w:t>
            </w:r>
          </w:p>
        </w:tc>
        <w:tc>
          <w:tcPr>
            <w:tcW w:w="1434" w:type="dxa"/>
          </w:tcPr>
          <w:p w14:paraId="28330C53" w14:textId="77777777" w:rsidR="00EA35F8" w:rsidRPr="00011752" w:rsidRDefault="00EA35F8" w:rsidP="008C15ED">
            <w:pPr>
              <w:pStyle w:val="TableText"/>
              <w:jc w:val="center"/>
            </w:pPr>
            <w:r w:rsidRPr="005C0ECD">
              <w:t>0.363</w:t>
            </w:r>
          </w:p>
        </w:tc>
      </w:tr>
      <w:tr w:rsidR="00EA35F8" w:rsidRPr="00011752" w14:paraId="0FB18A2D" w14:textId="77777777" w:rsidTr="00432B07">
        <w:trPr>
          <w:jc w:val="center"/>
        </w:trPr>
        <w:tc>
          <w:tcPr>
            <w:tcW w:w="2916" w:type="dxa"/>
          </w:tcPr>
          <w:p w14:paraId="63D624BC" w14:textId="77777777" w:rsidR="00EA35F8" w:rsidRPr="00011752" w:rsidRDefault="00EA35F8" w:rsidP="008C15ED">
            <w:pPr>
              <w:pStyle w:val="TableHeading"/>
            </w:pPr>
            <w:r>
              <w:t>M</w:t>
            </w:r>
            <w:r w:rsidRPr="00011752">
              <w:t>onth [</w:t>
            </w:r>
            <w:r>
              <w:t>Nov</w:t>
            </w:r>
            <w:r w:rsidRPr="00011752">
              <w:t>]</w:t>
            </w:r>
          </w:p>
        </w:tc>
        <w:tc>
          <w:tcPr>
            <w:tcW w:w="1433" w:type="dxa"/>
          </w:tcPr>
          <w:p w14:paraId="294C2766" w14:textId="77777777" w:rsidR="00EA35F8" w:rsidRPr="00011752" w:rsidRDefault="00EA35F8" w:rsidP="008C15ED">
            <w:pPr>
              <w:pStyle w:val="TableText"/>
              <w:jc w:val="center"/>
            </w:pPr>
            <w:r w:rsidRPr="00DD1934">
              <w:t>-0.82</w:t>
            </w:r>
          </w:p>
        </w:tc>
        <w:tc>
          <w:tcPr>
            <w:tcW w:w="1434" w:type="dxa"/>
          </w:tcPr>
          <w:p w14:paraId="69904B7E" w14:textId="77777777" w:rsidR="00EA35F8" w:rsidRPr="00011752" w:rsidRDefault="00EA35F8" w:rsidP="008C15ED">
            <w:pPr>
              <w:pStyle w:val="TableText"/>
              <w:jc w:val="center"/>
            </w:pPr>
            <w:r w:rsidRPr="00DD1934">
              <w:t>0.39</w:t>
            </w:r>
          </w:p>
        </w:tc>
        <w:tc>
          <w:tcPr>
            <w:tcW w:w="1434" w:type="dxa"/>
          </w:tcPr>
          <w:p w14:paraId="5FAD2000" w14:textId="77777777" w:rsidR="00EA35F8" w:rsidRPr="00011752" w:rsidRDefault="00EA35F8" w:rsidP="008C15ED">
            <w:pPr>
              <w:pStyle w:val="TableText"/>
              <w:jc w:val="center"/>
            </w:pPr>
            <w:r w:rsidRPr="00DD1934">
              <w:t>0.036</w:t>
            </w:r>
          </w:p>
        </w:tc>
      </w:tr>
      <w:tr w:rsidR="00EA35F8" w:rsidRPr="00011752" w14:paraId="485A9EA7" w14:textId="77777777" w:rsidTr="00432B07">
        <w:trPr>
          <w:jc w:val="center"/>
        </w:trPr>
        <w:tc>
          <w:tcPr>
            <w:tcW w:w="2916" w:type="dxa"/>
          </w:tcPr>
          <w:p w14:paraId="290EA296" w14:textId="77777777" w:rsidR="00EA35F8" w:rsidRPr="00011752" w:rsidRDefault="00EA35F8" w:rsidP="008C15ED">
            <w:pPr>
              <w:pStyle w:val="TableHeading"/>
            </w:pPr>
            <w:r>
              <w:t>M</w:t>
            </w:r>
            <w:r w:rsidRPr="00011752">
              <w:t>onth [</w:t>
            </w:r>
            <w:r>
              <w:t>Dec</w:t>
            </w:r>
            <w:r w:rsidRPr="00011752">
              <w:t>]</w:t>
            </w:r>
          </w:p>
        </w:tc>
        <w:tc>
          <w:tcPr>
            <w:tcW w:w="1433" w:type="dxa"/>
          </w:tcPr>
          <w:p w14:paraId="31801DD9" w14:textId="77777777" w:rsidR="00EA35F8" w:rsidRPr="00011752" w:rsidRDefault="00EA35F8" w:rsidP="008C15ED">
            <w:pPr>
              <w:pStyle w:val="TableText"/>
              <w:jc w:val="center"/>
            </w:pPr>
            <w:r w:rsidRPr="00ED3808">
              <w:t>-0.65</w:t>
            </w:r>
          </w:p>
        </w:tc>
        <w:tc>
          <w:tcPr>
            <w:tcW w:w="1434" w:type="dxa"/>
          </w:tcPr>
          <w:p w14:paraId="1B05E101" w14:textId="77777777" w:rsidR="00EA35F8" w:rsidRPr="00011752" w:rsidRDefault="00EA35F8" w:rsidP="008C15ED">
            <w:pPr>
              <w:pStyle w:val="TableText"/>
              <w:jc w:val="center"/>
            </w:pPr>
            <w:r w:rsidRPr="00ED3808">
              <w:t>0.44</w:t>
            </w:r>
          </w:p>
        </w:tc>
        <w:tc>
          <w:tcPr>
            <w:tcW w:w="1434" w:type="dxa"/>
          </w:tcPr>
          <w:p w14:paraId="4B95AEAA" w14:textId="77777777" w:rsidR="00EA35F8" w:rsidRPr="00011752" w:rsidRDefault="00EA35F8" w:rsidP="008C15ED">
            <w:pPr>
              <w:pStyle w:val="TableText"/>
              <w:jc w:val="center"/>
            </w:pPr>
            <w:r w:rsidRPr="00ED3808">
              <w:t>0.137</w:t>
            </w:r>
          </w:p>
        </w:tc>
      </w:tr>
      <w:tr w:rsidR="00EA35F8" w:rsidRPr="00011752" w14:paraId="2D77245C" w14:textId="77777777" w:rsidTr="00432B07">
        <w:trPr>
          <w:jc w:val="center"/>
        </w:trPr>
        <w:tc>
          <w:tcPr>
            <w:tcW w:w="2916" w:type="dxa"/>
          </w:tcPr>
          <w:p w14:paraId="57853FEA" w14:textId="77777777" w:rsidR="00EA35F8" w:rsidRPr="00011752" w:rsidRDefault="00EA35F8" w:rsidP="008C15ED">
            <w:pPr>
              <w:pStyle w:val="TableHeading"/>
            </w:pPr>
            <w:r>
              <w:t>M</w:t>
            </w:r>
            <w:r w:rsidRPr="00011752">
              <w:t>onth [</w:t>
            </w:r>
            <w:r>
              <w:t>Jan</w:t>
            </w:r>
            <w:r w:rsidRPr="00011752">
              <w:t>]</w:t>
            </w:r>
          </w:p>
        </w:tc>
        <w:tc>
          <w:tcPr>
            <w:tcW w:w="1433" w:type="dxa"/>
          </w:tcPr>
          <w:p w14:paraId="2DF1C648" w14:textId="77777777" w:rsidR="00EA35F8" w:rsidRPr="00011752" w:rsidRDefault="00EA35F8" w:rsidP="008C15ED">
            <w:pPr>
              <w:pStyle w:val="TableText"/>
              <w:jc w:val="center"/>
            </w:pPr>
            <w:r w:rsidRPr="00873FCC">
              <w:t>-0.51</w:t>
            </w:r>
          </w:p>
        </w:tc>
        <w:tc>
          <w:tcPr>
            <w:tcW w:w="1434" w:type="dxa"/>
          </w:tcPr>
          <w:p w14:paraId="2F507C91" w14:textId="77777777" w:rsidR="00EA35F8" w:rsidRPr="00011752" w:rsidRDefault="00EA35F8" w:rsidP="008C15ED">
            <w:pPr>
              <w:pStyle w:val="TableText"/>
              <w:jc w:val="center"/>
            </w:pPr>
            <w:r w:rsidRPr="00873FCC">
              <w:t>0.48</w:t>
            </w:r>
          </w:p>
        </w:tc>
        <w:tc>
          <w:tcPr>
            <w:tcW w:w="1434" w:type="dxa"/>
          </w:tcPr>
          <w:p w14:paraId="3DC79A4C" w14:textId="77777777" w:rsidR="00EA35F8" w:rsidRPr="00011752" w:rsidRDefault="00EA35F8" w:rsidP="008C15ED">
            <w:pPr>
              <w:pStyle w:val="TableText"/>
              <w:jc w:val="center"/>
            </w:pPr>
            <w:r w:rsidRPr="00873FCC">
              <w:t>0.283</w:t>
            </w:r>
          </w:p>
        </w:tc>
      </w:tr>
      <w:tr w:rsidR="00EA35F8" w:rsidRPr="00011752" w14:paraId="1396A865" w14:textId="77777777" w:rsidTr="00432B07">
        <w:trPr>
          <w:jc w:val="center"/>
        </w:trPr>
        <w:tc>
          <w:tcPr>
            <w:tcW w:w="2916" w:type="dxa"/>
          </w:tcPr>
          <w:p w14:paraId="4EBAB397" w14:textId="77777777" w:rsidR="00EA35F8" w:rsidRPr="00011752" w:rsidRDefault="00EA35F8" w:rsidP="008C15ED">
            <w:pPr>
              <w:pStyle w:val="TableHeading"/>
            </w:pPr>
            <w:r>
              <w:t>mean long term flow</w:t>
            </w:r>
          </w:p>
        </w:tc>
        <w:tc>
          <w:tcPr>
            <w:tcW w:w="1433" w:type="dxa"/>
          </w:tcPr>
          <w:p w14:paraId="6B887D59" w14:textId="77777777" w:rsidR="00EA35F8" w:rsidRPr="00011752" w:rsidRDefault="00EA35F8" w:rsidP="008C15ED">
            <w:pPr>
              <w:pStyle w:val="TableText"/>
              <w:jc w:val="center"/>
            </w:pPr>
            <w:r w:rsidRPr="00B442FC">
              <w:t>1.19</w:t>
            </w:r>
          </w:p>
        </w:tc>
        <w:tc>
          <w:tcPr>
            <w:tcW w:w="1434" w:type="dxa"/>
          </w:tcPr>
          <w:p w14:paraId="6E3DA2D6" w14:textId="77777777" w:rsidR="00EA35F8" w:rsidRPr="00011752" w:rsidRDefault="00EA35F8" w:rsidP="008C15ED">
            <w:pPr>
              <w:pStyle w:val="TableText"/>
              <w:jc w:val="center"/>
            </w:pPr>
            <w:r w:rsidRPr="00B442FC">
              <w:t>0.26</w:t>
            </w:r>
          </w:p>
        </w:tc>
        <w:tc>
          <w:tcPr>
            <w:tcW w:w="1434" w:type="dxa"/>
          </w:tcPr>
          <w:p w14:paraId="4D9CCDF9" w14:textId="77777777" w:rsidR="00EA35F8" w:rsidRPr="00011752" w:rsidRDefault="00EA35F8" w:rsidP="008C15ED">
            <w:pPr>
              <w:pStyle w:val="TableText"/>
              <w:jc w:val="center"/>
            </w:pPr>
            <w:r w:rsidRPr="00B442FC">
              <w:t>&lt;0.001</w:t>
            </w:r>
          </w:p>
        </w:tc>
      </w:tr>
      <w:tr w:rsidR="00EA35F8" w:rsidRPr="00011752" w14:paraId="248EB814" w14:textId="77777777" w:rsidTr="00432B07">
        <w:trPr>
          <w:jc w:val="center"/>
        </w:trPr>
        <w:tc>
          <w:tcPr>
            <w:tcW w:w="2916" w:type="dxa"/>
          </w:tcPr>
          <w:p w14:paraId="15C6E37D" w14:textId="77777777" w:rsidR="00EA35F8" w:rsidRPr="00011752" w:rsidRDefault="00EA35F8" w:rsidP="008C15ED">
            <w:pPr>
              <w:pStyle w:val="TableHeading"/>
            </w:pPr>
            <w:r>
              <w:t>electrical conductivity (EC)</w:t>
            </w:r>
          </w:p>
        </w:tc>
        <w:tc>
          <w:tcPr>
            <w:tcW w:w="1433" w:type="dxa"/>
          </w:tcPr>
          <w:p w14:paraId="0A12001D" w14:textId="77777777" w:rsidR="00EA35F8" w:rsidRPr="00011752" w:rsidRDefault="00EA35F8" w:rsidP="008C15ED">
            <w:pPr>
              <w:pStyle w:val="TableText"/>
              <w:jc w:val="center"/>
            </w:pPr>
            <w:r w:rsidRPr="00356317">
              <w:t>0.06</w:t>
            </w:r>
          </w:p>
        </w:tc>
        <w:tc>
          <w:tcPr>
            <w:tcW w:w="1434" w:type="dxa"/>
          </w:tcPr>
          <w:p w14:paraId="6F9B19DF" w14:textId="77777777" w:rsidR="00EA35F8" w:rsidRPr="00011752" w:rsidRDefault="00EA35F8" w:rsidP="008C15ED">
            <w:pPr>
              <w:pStyle w:val="TableText"/>
              <w:jc w:val="center"/>
            </w:pPr>
            <w:r w:rsidRPr="00356317">
              <w:t>0.01</w:t>
            </w:r>
          </w:p>
        </w:tc>
        <w:tc>
          <w:tcPr>
            <w:tcW w:w="1434" w:type="dxa"/>
          </w:tcPr>
          <w:p w14:paraId="2C3C68D7" w14:textId="77777777" w:rsidR="00EA35F8" w:rsidRPr="00011752" w:rsidRDefault="00EA35F8" w:rsidP="008C15ED">
            <w:pPr>
              <w:pStyle w:val="TableText"/>
              <w:jc w:val="center"/>
            </w:pPr>
            <w:r w:rsidRPr="00356317">
              <w:t>&lt;0.001</w:t>
            </w:r>
          </w:p>
        </w:tc>
      </w:tr>
      <w:tr w:rsidR="00EA35F8" w:rsidRPr="00011752" w14:paraId="5D975055" w14:textId="77777777" w:rsidTr="00432B07">
        <w:trPr>
          <w:jc w:val="center"/>
        </w:trPr>
        <w:tc>
          <w:tcPr>
            <w:tcW w:w="2916" w:type="dxa"/>
          </w:tcPr>
          <w:p w14:paraId="1238A50B" w14:textId="77777777" w:rsidR="00EA35F8" w:rsidRDefault="00EA35F8" w:rsidP="008C15ED">
            <w:pPr>
              <w:pStyle w:val="TableHeading"/>
            </w:pPr>
            <w:r>
              <w:t>temperature</w:t>
            </w:r>
          </w:p>
        </w:tc>
        <w:tc>
          <w:tcPr>
            <w:tcW w:w="1433" w:type="dxa"/>
          </w:tcPr>
          <w:p w14:paraId="22205F4E" w14:textId="77777777" w:rsidR="00EA35F8" w:rsidRPr="009B062B" w:rsidRDefault="00EA35F8" w:rsidP="008C15ED">
            <w:pPr>
              <w:pStyle w:val="TableText"/>
              <w:jc w:val="center"/>
            </w:pPr>
            <w:r w:rsidRPr="00C52973">
              <w:t>0.62</w:t>
            </w:r>
          </w:p>
        </w:tc>
        <w:tc>
          <w:tcPr>
            <w:tcW w:w="1434" w:type="dxa"/>
          </w:tcPr>
          <w:p w14:paraId="4EF4F1AD" w14:textId="77777777" w:rsidR="00EA35F8" w:rsidRPr="009B062B" w:rsidRDefault="00EA35F8" w:rsidP="008C15ED">
            <w:pPr>
              <w:pStyle w:val="TableText"/>
              <w:jc w:val="center"/>
            </w:pPr>
            <w:r w:rsidRPr="00C52973">
              <w:t>0.12</w:t>
            </w:r>
          </w:p>
        </w:tc>
        <w:tc>
          <w:tcPr>
            <w:tcW w:w="1434" w:type="dxa"/>
          </w:tcPr>
          <w:p w14:paraId="25E8587C" w14:textId="77777777" w:rsidR="00EA35F8" w:rsidRPr="009B062B" w:rsidRDefault="00EA35F8" w:rsidP="008C15ED">
            <w:pPr>
              <w:pStyle w:val="TableText"/>
              <w:jc w:val="center"/>
            </w:pPr>
            <w:r w:rsidRPr="00C52973">
              <w:t>&lt;0.001</w:t>
            </w:r>
          </w:p>
        </w:tc>
      </w:tr>
      <w:tr w:rsidR="00EA35F8" w:rsidRPr="00011752" w14:paraId="23223E53" w14:textId="77777777" w:rsidTr="00432B07">
        <w:trPr>
          <w:jc w:val="center"/>
        </w:trPr>
        <w:tc>
          <w:tcPr>
            <w:tcW w:w="2916" w:type="dxa"/>
          </w:tcPr>
          <w:p w14:paraId="10F1AB11" w14:textId="77777777" w:rsidR="00EA35F8" w:rsidRPr="00011752" w:rsidRDefault="00EA35F8" w:rsidP="008C15ED">
            <w:pPr>
              <w:pStyle w:val="TableHeading"/>
            </w:pPr>
            <w:r>
              <w:t>water year</w:t>
            </w:r>
            <w:r w:rsidRPr="00011752">
              <w:t xml:space="preserve"> [</w:t>
            </w:r>
            <w:r>
              <w:t>2015</w:t>
            </w:r>
            <w:r w:rsidRPr="00011752">
              <w:t>]</w:t>
            </w:r>
          </w:p>
        </w:tc>
        <w:tc>
          <w:tcPr>
            <w:tcW w:w="1433" w:type="dxa"/>
          </w:tcPr>
          <w:p w14:paraId="223C6B04" w14:textId="77777777" w:rsidR="00EA35F8" w:rsidRPr="00011752" w:rsidRDefault="00EA35F8" w:rsidP="008C15ED">
            <w:pPr>
              <w:pStyle w:val="TableText"/>
              <w:jc w:val="center"/>
            </w:pPr>
            <w:r w:rsidRPr="004A6F2D">
              <w:t>-0.01</w:t>
            </w:r>
          </w:p>
        </w:tc>
        <w:tc>
          <w:tcPr>
            <w:tcW w:w="1434" w:type="dxa"/>
          </w:tcPr>
          <w:p w14:paraId="02E24901" w14:textId="77777777" w:rsidR="00EA35F8" w:rsidRPr="00011752" w:rsidRDefault="00EA35F8" w:rsidP="008C15ED">
            <w:pPr>
              <w:pStyle w:val="TableText"/>
              <w:jc w:val="center"/>
            </w:pPr>
            <w:r w:rsidRPr="004A6F2D">
              <w:t>0.16</w:t>
            </w:r>
          </w:p>
        </w:tc>
        <w:tc>
          <w:tcPr>
            <w:tcW w:w="1434" w:type="dxa"/>
          </w:tcPr>
          <w:p w14:paraId="3E1768F4" w14:textId="77777777" w:rsidR="00EA35F8" w:rsidRPr="00011752" w:rsidRDefault="00EA35F8" w:rsidP="008C15ED">
            <w:pPr>
              <w:pStyle w:val="TableText"/>
              <w:jc w:val="center"/>
            </w:pPr>
            <w:r w:rsidRPr="004A6F2D">
              <w:t>0.955</w:t>
            </w:r>
          </w:p>
        </w:tc>
      </w:tr>
      <w:tr w:rsidR="00EA35F8" w:rsidRPr="00011752" w14:paraId="0A3D6A29" w14:textId="77777777" w:rsidTr="00432B07">
        <w:trPr>
          <w:jc w:val="center"/>
        </w:trPr>
        <w:tc>
          <w:tcPr>
            <w:tcW w:w="2916" w:type="dxa"/>
          </w:tcPr>
          <w:p w14:paraId="73BDACEC" w14:textId="77777777" w:rsidR="00EA35F8" w:rsidRPr="00011752" w:rsidRDefault="00EA35F8" w:rsidP="008C15ED">
            <w:pPr>
              <w:pStyle w:val="TableHeading"/>
            </w:pPr>
            <w:r>
              <w:t>water year</w:t>
            </w:r>
            <w:r w:rsidRPr="00011752">
              <w:t xml:space="preserve"> [</w:t>
            </w:r>
            <w:r>
              <w:t>2016</w:t>
            </w:r>
            <w:r w:rsidRPr="00011752">
              <w:t>]</w:t>
            </w:r>
          </w:p>
        </w:tc>
        <w:tc>
          <w:tcPr>
            <w:tcW w:w="1433" w:type="dxa"/>
          </w:tcPr>
          <w:p w14:paraId="4E9FD178" w14:textId="77777777" w:rsidR="00EA35F8" w:rsidRPr="00011752" w:rsidRDefault="00EA35F8" w:rsidP="008C15ED">
            <w:pPr>
              <w:pStyle w:val="TableText"/>
              <w:jc w:val="center"/>
            </w:pPr>
            <w:r w:rsidRPr="002F7A53">
              <w:t>-1.24</w:t>
            </w:r>
          </w:p>
        </w:tc>
        <w:tc>
          <w:tcPr>
            <w:tcW w:w="1434" w:type="dxa"/>
          </w:tcPr>
          <w:p w14:paraId="6433CC9F" w14:textId="77777777" w:rsidR="00EA35F8" w:rsidRPr="00011752" w:rsidRDefault="00EA35F8" w:rsidP="008C15ED">
            <w:pPr>
              <w:pStyle w:val="TableText"/>
              <w:jc w:val="center"/>
            </w:pPr>
            <w:r w:rsidRPr="002F7A53">
              <w:t>0.50</w:t>
            </w:r>
          </w:p>
        </w:tc>
        <w:tc>
          <w:tcPr>
            <w:tcW w:w="1434" w:type="dxa"/>
          </w:tcPr>
          <w:p w14:paraId="323DDC69" w14:textId="77777777" w:rsidR="00EA35F8" w:rsidRPr="00011752" w:rsidRDefault="00EA35F8" w:rsidP="008C15ED">
            <w:pPr>
              <w:pStyle w:val="TableText"/>
              <w:jc w:val="center"/>
            </w:pPr>
            <w:r w:rsidRPr="002F7A53">
              <w:t>0.014</w:t>
            </w:r>
          </w:p>
        </w:tc>
      </w:tr>
      <w:tr w:rsidR="00EA35F8" w:rsidRPr="00011752" w14:paraId="5849A918" w14:textId="77777777" w:rsidTr="00432B07">
        <w:trPr>
          <w:jc w:val="center"/>
        </w:trPr>
        <w:tc>
          <w:tcPr>
            <w:tcW w:w="2916" w:type="dxa"/>
          </w:tcPr>
          <w:p w14:paraId="711E5B57" w14:textId="77777777" w:rsidR="00EA35F8" w:rsidRPr="00011752" w:rsidRDefault="00EA35F8" w:rsidP="008C15ED">
            <w:pPr>
              <w:pStyle w:val="TableHeading"/>
            </w:pPr>
            <w:r>
              <w:t>water year</w:t>
            </w:r>
            <w:r w:rsidRPr="00011752">
              <w:t xml:space="preserve"> [</w:t>
            </w:r>
            <w:r>
              <w:t>2017</w:t>
            </w:r>
            <w:r w:rsidRPr="00011752">
              <w:t>]</w:t>
            </w:r>
          </w:p>
        </w:tc>
        <w:tc>
          <w:tcPr>
            <w:tcW w:w="1433" w:type="dxa"/>
          </w:tcPr>
          <w:p w14:paraId="34A31E81" w14:textId="77777777" w:rsidR="00EA35F8" w:rsidRPr="00011752" w:rsidRDefault="00EA35F8" w:rsidP="008C15ED">
            <w:pPr>
              <w:pStyle w:val="TableText"/>
              <w:jc w:val="center"/>
            </w:pPr>
            <w:r w:rsidRPr="00EE3C9F">
              <w:t>0.01</w:t>
            </w:r>
          </w:p>
        </w:tc>
        <w:tc>
          <w:tcPr>
            <w:tcW w:w="1434" w:type="dxa"/>
          </w:tcPr>
          <w:p w14:paraId="70D6051D" w14:textId="77777777" w:rsidR="00EA35F8" w:rsidRPr="00011752" w:rsidRDefault="00EA35F8" w:rsidP="008C15ED">
            <w:pPr>
              <w:pStyle w:val="TableText"/>
              <w:jc w:val="center"/>
            </w:pPr>
            <w:r w:rsidRPr="00EE3C9F">
              <w:t>0.16</w:t>
            </w:r>
          </w:p>
        </w:tc>
        <w:tc>
          <w:tcPr>
            <w:tcW w:w="1434" w:type="dxa"/>
          </w:tcPr>
          <w:p w14:paraId="5D8F29F6" w14:textId="77777777" w:rsidR="00EA35F8" w:rsidRPr="00011752" w:rsidRDefault="00EA35F8" w:rsidP="008C15ED">
            <w:pPr>
              <w:pStyle w:val="TableText"/>
              <w:jc w:val="center"/>
            </w:pPr>
            <w:r w:rsidRPr="00EE3C9F">
              <w:t>0.951</w:t>
            </w:r>
          </w:p>
        </w:tc>
      </w:tr>
      <w:tr w:rsidR="00EA35F8" w:rsidRPr="00011752" w14:paraId="6DF371FA" w14:textId="77777777" w:rsidTr="00432B07">
        <w:trPr>
          <w:jc w:val="center"/>
        </w:trPr>
        <w:tc>
          <w:tcPr>
            <w:tcW w:w="2916" w:type="dxa"/>
          </w:tcPr>
          <w:p w14:paraId="1CE8D8AF" w14:textId="77777777" w:rsidR="00EA35F8" w:rsidRPr="00011752" w:rsidRDefault="00EA35F8" w:rsidP="008C15ED">
            <w:pPr>
              <w:pStyle w:val="TableHeading"/>
            </w:pPr>
            <w:r>
              <w:t>water year</w:t>
            </w:r>
            <w:r w:rsidRPr="00011752">
              <w:t xml:space="preserve"> [</w:t>
            </w:r>
            <w:r>
              <w:t>2019</w:t>
            </w:r>
            <w:r w:rsidRPr="00011752">
              <w:t>]</w:t>
            </w:r>
          </w:p>
        </w:tc>
        <w:tc>
          <w:tcPr>
            <w:tcW w:w="1433" w:type="dxa"/>
          </w:tcPr>
          <w:p w14:paraId="2BCD78AF" w14:textId="77777777" w:rsidR="00EA35F8" w:rsidRPr="00011752" w:rsidRDefault="00EA35F8" w:rsidP="008C15ED">
            <w:pPr>
              <w:pStyle w:val="TableText"/>
              <w:jc w:val="center"/>
            </w:pPr>
            <w:r w:rsidRPr="009E3DF9">
              <w:t>-0.03</w:t>
            </w:r>
          </w:p>
        </w:tc>
        <w:tc>
          <w:tcPr>
            <w:tcW w:w="1434" w:type="dxa"/>
          </w:tcPr>
          <w:p w14:paraId="049B9384" w14:textId="77777777" w:rsidR="00EA35F8" w:rsidRPr="00011752" w:rsidRDefault="00EA35F8" w:rsidP="008C15ED">
            <w:pPr>
              <w:pStyle w:val="TableText"/>
              <w:jc w:val="center"/>
            </w:pPr>
            <w:r w:rsidRPr="009E3DF9">
              <w:t>0.24</w:t>
            </w:r>
          </w:p>
        </w:tc>
        <w:tc>
          <w:tcPr>
            <w:tcW w:w="1434" w:type="dxa"/>
          </w:tcPr>
          <w:p w14:paraId="5F76DC6F" w14:textId="77777777" w:rsidR="00EA35F8" w:rsidRPr="00011752" w:rsidRDefault="00EA35F8" w:rsidP="008C15ED">
            <w:pPr>
              <w:pStyle w:val="TableText"/>
              <w:jc w:val="center"/>
            </w:pPr>
            <w:r w:rsidRPr="009E3DF9">
              <w:t>0.889</w:t>
            </w:r>
          </w:p>
        </w:tc>
      </w:tr>
      <w:tr w:rsidR="00EA35F8" w:rsidRPr="00011752" w14:paraId="6E5EC8D5" w14:textId="77777777" w:rsidTr="00432B07">
        <w:trPr>
          <w:jc w:val="center"/>
        </w:trPr>
        <w:tc>
          <w:tcPr>
            <w:tcW w:w="2916" w:type="dxa"/>
          </w:tcPr>
          <w:p w14:paraId="2F6873FD" w14:textId="77777777" w:rsidR="00EA35F8" w:rsidRPr="00011752" w:rsidRDefault="00EA35F8" w:rsidP="008C15ED">
            <w:pPr>
              <w:pStyle w:val="TableHeading"/>
            </w:pPr>
            <w:r>
              <w:t>10-day flow trend (dQ10)</w:t>
            </w:r>
          </w:p>
        </w:tc>
        <w:tc>
          <w:tcPr>
            <w:tcW w:w="1433" w:type="dxa"/>
          </w:tcPr>
          <w:p w14:paraId="5536879A" w14:textId="77777777" w:rsidR="00EA35F8" w:rsidRPr="00011752" w:rsidRDefault="00EA35F8" w:rsidP="008C15ED">
            <w:pPr>
              <w:pStyle w:val="TableText"/>
              <w:jc w:val="center"/>
            </w:pPr>
            <w:r w:rsidRPr="00E075E6">
              <w:t>1.71</w:t>
            </w:r>
          </w:p>
        </w:tc>
        <w:tc>
          <w:tcPr>
            <w:tcW w:w="1434" w:type="dxa"/>
          </w:tcPr>
          <w:p w14:paraId="27FCFEDB" w14:textId="77777777" w:rsidR="00EA35F8" w:rsidRPr="00011752" w:rsidRDefault="00EA35F8" w:rsidP="008C15ED">
            <w:pPr>
              <w:pStyle w:val="TableText"/>
              <w:jc w:val="center"/>
            </w:pPr>
            <w:r w:rsidRPr="00E075E6">
              <w:t>0.75</w:t>
            </w:r>
          </w:p>
        </w:tc>
        <w:tc>
          <w:tcPr>
            <w:tcW w:w="1434" w:type="dxa"/>
          </w:tcPr>
          <w:p w14:paraId="2FC9DE38" w14:textId="77777777" w:rsidR="00EA35F8" w:rsidRPr="00011752" w:rsidRDefault="00EA35F8" w:rsidP="008C15ED">
            <w:pPr>
              <w:pStyle w:val="TableText"/>
              <w:jc w:val="center"/>
            </w:pPr>
            <w:r w:rsidRPr="00E075E6">
              <w:t>0.023</w:t>
            </w:r>
          </w:p>
        </w:tc>
      </w:tr>
      <w:tr w:rsidR="00EA35F8" w:rsidRPr="00011752" w14:paraId="0B38A3DF" w14:textId="77777777" w:rsidTr="00432B07">
        <w:trPr>
          <w:jc w:val="center"/>
        </w:trPr>
        <w:tc>
          <w:tcPr>
            <w:tcW w:w="2916" w:type="dxa"/>
          </w:tcPr>
          <w:p w14:paraId="454B7FF3" w14:textId="77777777" w:rsidR="00EA35F8" w:rsidRPr="00011752" w:rsidRDefault="00EA35F8" w:rsidP="008C15ED">
            <w:pPr>
              <w:pStyle w:val="TableHeading"/>
            </w:pPr>
            <w:r>
              <w:t>FPA28</w:t>
            </w:r>
          </w:p>
        </w:tc>
        <w:tc>
          <w:tcPr>
            <w:tcW w:w="1433" w:type="dxa"/>
          </w:tcPr>
          <w:p w14:paraId="7C786EC1" w14:textId="77777777" w:rsidR="00EA35F8" w:rsidRPr="00011752" w:rsidRDefault="00EA35F8" w:rsidP="008C15ED">
            <w:pPr>
              <w:pStyle w:val="TableText"/>
              <w:jc w:val="center"/>
            </w:pPr>
            <w:r>
              <w:t>1</w:t>
            </w:r>
            <w:r w:rsidRPr="00F65A30">
              <w:t>.</w:t>
            </w:r>
            <w:r>
              <w:t>5e-03</w:t>
            </w:r>
          </w:p>
        </w:tc>
        <w:tc>
          <w:tcPr>
            <w:tcW w:w="1434" w:type="dxa"/>
          </w:tcPr>
          <w:p w14:paraId="333DEE61" w14:textId="77777777" w:rsidR="00EA35F8" w:rsidRPr="00011752" w:rsidRDefault="00EA35F8" w:rsidP="008C15ED">
            <w:pPr>
              <w:pStyle w:val="TableText"/>
              <w:jc w:val="center"/>
            </w:pPr>
            <w:r>
              <w:t>4.0e-04</w:t>
            </w:r>
          </w:p>
        </w:tc>
        <w:tc>
          <w:tcPr>
            <w:tcW w:w="1434" w:type="dxa"/>
          </w:tcPr>
          <w:p w14:paraId="69EEDA46" w14:textId="77777777" w:rsidR="00EA35F8" w:rsidRPr="00011752" w:rsidRDefault="00EA35F8" w:rsidP="008C15ED">
            <w:pPr>
              <w:pStyle w:val="TableText"/>
              <w:jc w:val="center"/>
            </w:pPr>
            <w:r>
              <w:t>&lt;</w:t>
            </w:r>
            <w:r w:rsidRPr="00F65A30">
              <w:t>0.001</w:t>
            </w:r>
          </w:p>
        </w:tc>
      </w:tr>
      <w:tr w:rsidR="00EA35F8" w:rsidRPr="00011752" w14:paraId="7D367DAB" w14:textId="77777777" w:rsidTr="00432B07">
        <w:trPr>
          <w:jc w:val="center"/>
        </w:trPr>
        <w:tc>
          <w:tcPr>
            <w:tcW w:w="2916" w:type="dxa"/>
          </w:tcPr>
          <w:p w14:paraId="16F35FD5" w14:textId="77777777" w:rsidR="00EA35F8" w:rsidRPr="00011752" w:rsidRDefault="00EA35F8" w:rsidP="008C15ED">
            <w:pPr>
              <w:pStyle w:val="TableHeading"/>
            </w:pPr>
            <w:proofErr w:type="spellStart"/>
            <w:r w:rsidRPr="00F65A30">
              <w:t>temp</w:t>
            </w:r>
            <w:r>
              <w:t>erature:EC</w:t>
            </w:r>
            <w:proofErr w:type="spellEnd"/>
          </w:p>
        </w:tc>
        <w:tc>
          <w:tcPr>
            <w:tcW w:w="1433" w:type="dxa"/>
          </w:tcPr>
          <w:p w14:paraId="11B01C3D" w14:textId="77777777" w:rsidR="00EA35F8" w:rsidRPr="00011752" w:rsidRDefault="00EA35F8" w:rsidP="008C15ED">
            <w:pPr>
              <w:pStyle w:val="TableText"/>
              <w:jc w:val="center"/>
            </w:pPr>
            <w:r>
              <w:t>-2</w:t>
            </w:r>
            <w:r w:rsidRPr="00F65A30">
              <w:t>.</w:t>
            </w:r>
            <w:r>
              <w:t>4e-03</w:t>
            </w:r>
          </w:p>
        </w:tc>
        <w:tc>
          <w:tcPr>
            <w:tcW w:w="1434" w:type="dxa"/>
          </w:tcPr>
          <w:p w14:paraId="2C3809EE" w14:textId="77777777" w:rsidR="00EA35F8" w:rsidRPr="00011752" w:rsidRDefault="00EA35F8" w:rsidP="008C15ED">
            <w:pPr>
              <w:pStyle w:val="TableText"/>
              <w:jc w:val="center"/>
            </w:pPr>
            <w:r>
              <w:t>6.0e-04</w:t>
            </w:r>
          </w:p>
        </w:tc>
        <w:tc>
          <w:tcPr>
            <w:tcW w:w="1434" w:type="dxa"/>
          </w:tcPr>
          <w:p w14:paraId="7CE1CB05" w14:textId="77777777" w:rsidR="00EA35F8" w:rsidRPr="00011752" w:rsidRDefault="00EA35F8" w:rsidP="008C15ED">
            <w:pPr>
              <w:pStyle w:val="TableText"/>
              <w:jc w:val="center"/>
            </w:pPr>
            <w:r>
              <w:t>&lt;</w:t>
            </w:r>
            <w:r w:rsidRPr="00F65A30">
              <w:t>0.0</w:t>
            </w:r>
            <w:r>
              <w:t>0</w:t>
            </w:r>
            <w:r w:rsidRPr="00F65A30">
              <w:t>1</w:t>
            </w:r>
          </w:p>
        </w:tc>
      </w:tr>
      <w:tr w:rsidR="00EA35F8" w:rsidRPr="00011752" w14:paraId="5B39ABF7" w14:textId="77777777" w:rsidTr="00432B07">
        <w:trPr>
          <w:jc w:val="center"/>
        </w:trPr>
        <w:tc>
          <w:tcPr>
            <w:tcW w:w="2916" w:type="dxa"/>
          </w:tcPr>
          <w:p w14:paraId="2E7FF6E4" w14:textId="77777777" w:rsidR="00EA35F8" w:rsidRPr="00011752" w:rsidRDefault="00EA35F8" w:rsidP="008C15ED">
            <w:pPr>
              <w:pStyle w:val="TableHeading"/>
            </w:pPr>
            <w:proofErr w:type="gramStart"/>
            <w:r>
              <w:t>EC:dQ</w:t>
            </w:r>
            <w:proofErr w:type="gramEnd"/>
            <w:r>
              <w:t>10</w:t>
            </w:r>
          </w:p>
        </w:tc>
        <w:tc>
          <w:tcPr>
            <w:tcW w:w="1433" w:type="dxa"/>
          </w:tcPr>
          <w:p w14:paraId="7E2F66B6" w14:textId="77777777" w:rsidR="00EA35F8" w:rsidRPr="00011752" w:rsidRDefault="00EA35F8" w:rsidP="008C15ED">
            <w:pPr>
              <w:pStyle w:val="TableText"/>
              <w:jc w:val="center"/>
            </w:pPr>
            <w:r>
              <w:t>-7</w:t>
            </w:r>
            <w:r w:rsidRPr="00F65A30">
              <w:t>.</w:t>
            </w:r>
            <w:r>
              <w:t>1e-03</w:t>
            </w:r>
          </w:p>
        </w:tc>
        <w:tc>
          <w:tcPr>
            <w:tcW w:w="1434" w:type="dxa"/>
          </w:tcPr>
          <w:p w14:paraId="7B8444CE" w14:textId="77777777" w:rsidR="00EA35F8" w:rsidRPr="00011752" w:rsidRDefault="00EA35F8" w:rsidP="008C15ED">
            <w:pPr>
              <w:pStyle w:val="TableText"/>
              <w:jc w:val="center"/>
            </w:pPr>
            <w:r>
              <w:t>3.3e-03</w:t>
            </w:r>
          </w:p>
        </w:tc>
        <w:tc>
          <w:tcPr>
            <w:tcW w:w="1434" w:type="dxa"/>
          </w:tcPr>
          <w:p w14:paraId="1C509A3C" w14:textId="77777777" w:rsidR="00EA35F8" w:rsidRPr="00011752" w:rsidRDefault="00EA35F8" w:rsidP="008C15ED">
            <w:pPr>
              <w:pStyle w:val="TableText"/>
              <w:jc w:val="center"/>
            </w:pPr>
            <w:r w:rsidRPr="00F65A30">
              <w:t>0.0</w:t>
            </w:r>
            <w:r>
              <w:t>3</w:t>
            </w:r>
            <w:r w:rsidRPr="00F65A30">
              <w:t>0</w:t>
            </w:r>
          </w:p>
        </w:tc>
      </w:tr>
      <w:tr w:rsidR="00EA35F8" w:rsidRPr="00011752" w14:paraId="3389D608" w14:textId="77777777" w:rsidTr="00432B07">
        <w:trPr>
          <w:jc w:val="center"/>
        </w:trPr>
        <w:tc>
          <w:tcPr>
            <w:tcW w:w="2916" w:type="dxa"/>
          </w:tcPr>
          <w:p w14:paraId="4E86F719" w14:textId="77777777" w:rsidR="00EA35F8" w:rsidRPr="00011752" w:rsidRDefault="00EA35F8" w:rsidP="008C15ED">
            <w:pPr>
              <w:pStyle w:val="TableHeading"/>
            </w:pPr>
            <w:proofErr w:type="gramStart"/>
            <w:r>
              <w:t>EC:FPA</w:t>
            </w:r>
            <w:proofErr w:type="gramEnd"/>
            <w:r>
              <w:t>28</w:t>
            </w:r>
          </w:p>
        </w:tc>
        <w:tc>
          <w:tcPr>
            <w:tcW w:w="1433" w:type="dxa"/>
          </w:tcPr>
          <w:p w14:paraId="2AC26827" w14:textId="77777777" w:rsidR="00EA35F8" w:rsidRPr="00011752" w:rsidRDefault="00EA35F8" w:rsidP="008C15ED">
            <w:pPr>
              <w:pStyle w:val="TableText"/>
              <w:jc w:val="center"/>
            </w:pPr>
            <w:r w:rsidRPr="00F65A30">
              <w:t>-</w:t>
            </w:r>
            <w:r>
              <w:t>1</w:t>
            </w:r>
            <w:r w:rsidRPr="00F65A30">
              <w:t>.</w:t>
            </w:r>
            <w:r>
              <w:t>1e-</w:t>
            </w:r>
            <w:r w:rsidRPr="00F65A30">
              <w:t>0</w:t>
            </w:r>
            <w:r>
              <w:t>5</w:t>
            </w:r>
          </w:p>
        </w:tc>
        <w:tc>
          <w:tcPr>
            <w:tcW w:w="1434" w:type="dxa"/>
          </w:tcPr>
          <w:p w14:paraId="7F22737C" w14:textId="77777777" w:rsidR="00EA35F8" w:rsidRPr="00011752" w:rsidRDefault="00EA35F8" w:rsidP="008C15ED">
            <w:pPr>
              <w:pStyle w:val="TableText"/>
              <w:jc w:val="center"/>
            </w:pPr>
            <w:r>
              <w:t>2</w:t>
            </w:r>
            <w:r w:rsidRPr="00F65A30">
              <w:t>.</w:t>
            </w:r>
            <w:r>
              <w:t>1e-</w:t>
            </w:r>
            <w:r w:rsidRPr="00F65A30">
              <w:t>0</w:t>
            </w:r>
            <w:r>
              <w:t>6</w:t>
            </w:r>
          </w:p>
        </w:tc>
        <w:tc>
          <w:tcPr>
            <w:tcW w:w="1434" w:type="dxa"/>
          </w:tcPr>
          <w:p w14:paraId="67B55BA6" w14:textId="77777777" w:rsidR="00EA35F8" w:rsidRPr="00011752" w:rsidRDefault="00EA35F8" w:rsidP="008C15ED">
            <w:pPr>
              <w:pStyle w:val="TableText"/>
              <w:jc w:val="center"/>
            </w:pPr>
            <w:r w:rsidRPr="00F65A30">
              <w:t>&lt;0.001</w:t>
            </w:r>
          </w:p>
        </w:tc>
      </w:tr>
      <w:tr w:rsidR="00EA35F8" w:rsidRPr="00011752" w14:paraId="047D4C2C" w14:textId="77777777" w:rsidTr="00432B07">
        <w:trPr>
          <w:jc w:val="center"/>
        </w:trPr>
        <w:tc>
          <w:tcPr>
            <w:tcW w:w="2916" w:type="dxa"/>
            <w:tcBorders>
              <w:bottom w:val="single" w:sz="4" w:space="0" w:color="auto"/>
            </w:tcBorders>
          </w:tcPr>
          <w:p w14:paraId="49E4CBDE" w14:textId="77777777" w:rsidR="00EA35F8" w:rsidRDefault="00EA35F8" w:rsidP="008C15ED">
            <w:pPr>
              <w:pStyle w:val="TableHeading"/>
            </w:pPr>
            <w:r>
              <w:t>dQ10:FPA28</w:t>
            </w:r>
          </w:p>
        </w:tc>
        <w:tc>
          <w:tcPr>
            <w:tcW w:w="1433" w:type="dxa"/>
            <w:tcBorders>
              <w:bottom w:val="single" w:sz="4" w:space="0" w:color="auto"/>
            </w:tcBorders>
          </w:tcPr>
          <w:p w14:paraId="696DF11E" w14:textId="77777777" w:rsidR="00EA35F8" w:rsidRPr="00F65A30" w:rsidRDefault="00EA35F8" w:rsidP="008C15ED">
            <w:pPr>
              <w:pStyle w:val="TableText"/>
              <w:jc w:val="center"/>
            </w:pPr>
            <w:r>
              <w:t>6</w:t>
            </w:r>
            <w:r w:rsidRPr="00F65A30">
              <w:t>.</w:t>
            </w:r>
            <w:r>
              <w:t>4e-</w:t>
            </w:r>
            <w:r w:rsidRPr="00F65A30">
              <w:t>0</w:t>
            </w:r>
            <w:r>
              <w:t>4</w:t>
            </w:r>
          </w:p>
        </w:tc>
        <w:tc>
          <w:tcPr>
            <w:tcW w:w="1434" w:type="dxa"/>
            <w:tcBorders>
              <w:bottom w:val="single" w:sz="4" w:space="0" w:color="auto"/>
            </w:tcBorders>
          </w:tcPr>
          <w:p w14:paraId="39C7F433" w14:textId="77777777" w:rsidR="00EA35F8" w:rsidRPr="00F65A30" w:rsidRDefault="00EA35F8" w:rsidP="008C15ED">
            <w:pPr>
              <w:pStyle w:val="TableText"/>
              <w:jc w:val="center"/>
            </w:pPr>
            <w:r>
              <w:t>2</w:t>
            </w:r>
            <w:r w:rsidRPr="00F65A30">
              <w:t>.</w:t>
            </w:r>
            <w:r>
              <w:t>7e-</w:t>
            </w:r>
            <w:r w:rsidRPr="00F65A30">
              <w:t>0</w:t>
            </w:r>
            <w:r>
              <w:t>4</w:t>
            </w:r>
          </w:p>
        </w:tc>
        <w:tc>
          <w:tcPr>
            <w:tcW w:w="1434" w:type="dxa"/>
            <w:tcBorders>
              <w:bottom w:val="single" w:sz="4" w:space="0" w:color="auto"/>
            </w:tcBorders>
          </w:tcPr>
          <w:p w14:paraId="46F01C5F" w14:textId="77777777" w:rsidR="00EA35F8" w:rsidRPr="00F65A30" w:rsidRDefault="00EA35F8" w:rsidP="008C15ED">
            <w:pPr>
              <w:pStyle w:val="TableText"/>
              <w:jc w:val="center"/>
            </w:pPr>
            <w:r w:rsidRPr="00F65A30">
              <w:t>0.01</w:t>
            </w:r>
            <w:r>
              <w:t>8</w:t>
            </w:r>
          </w:p>
        </w:tc>
      </w:tr>
      <w:bookmarkEnd w:id="381"/>
    </w:tbl>
    <w:p w14:paraId="61B13FCB" w14:textId="77777777" w:rsidR="005647FE" w:rsidRDefault="005647FE" w:rsidP="00D632F9"/>
    <w:p w14:paraId="57EA2E64" w14:textId="77777777" w:rsidR="000022B1" w:rsidRDefault="000022B1" w:rsidP="00D632F9"/>
    <w:p w14:paraId="223AF6ED" w14:textId="63CFC945" w:rsidR="000022B1" w:rsidRDefault="000022B1" w:rsidP="00D632F9"/>
    <w:p w14:paraId="35694C76" w14:textId="77777777" w:rsidR="000022B1" w:rsidRDefault="000022B1">
      <w:pPr>
        <w:spacing w:before="0" w:after="160" w:line="259" w:lineRule="auto"/>
        <w:jc w:val="left"/>
      </w:pPr>
      <w:r>
        <w:br w:type="page"/>
      </w:r>
    </w:p>
    <w:p w14:paraId="4C06E32C" w14:textId="059FF88D" w:rsidR="000022B1" w:rsidRDefault="000022B1" w:rsidP="000022B1">
      <w:pPr>
        <w:rPr>
          <w:b/>
          <w:bCs/>
          <w:i/>
          <w:iCs/>
          <w:color w:val="44546A" w:themeColor="text2"/>
          <w:sz w:val="24"/>
          <w:szCs w:val="24"/>
          <w:lang w:val="en-US" w:eastAsia="en-AU"/>
        </w:rPr>
      </w:pPr>
      <w:r>
        <w:rPr>
          <w:b/>
          <w:bCs/>
          <w:i/>
          <w:iCs/>
          <w:color w:val="44546A" w:themeColor="text2"/>
          <w:sz w:val="24"/>
          <w:szCs w:val="24"/>
          <w:lang w:val="en-US" w:eastAsia="en-AU"/>
        </w:rPr>
        <w:t>Discussion</w:t>
      </w:r>
    </w:p>
    <w:p w14:paraId="3D975E5E" w14:textId="77777777" w:rsidR="000022B1" w:rsidRPr="00AA4EB2" w:rsidRDefault="000022B1" w:rsidP="000022B1">
      <w:pPr>
        <w:rPr>
          <w:bCs/>
          <w:i/>
          <w:iCs/>
          <w:u w:val="single"/>
        </w:rPr>
      </w:pPr>
      <w:r w:rsidRPr="00822D4C">
        <w:rPr>
          <w:bCs/>
          <w:i/>
          <w:iCs/>
          <w:u w:val="single"/>
        </w:rPr>
        <w:t>Functional group density</w:t>
      </w:r>
    </w:p>
    <w:p w14:paraId="3038EDA8" w14:textId="7AA82833" w:rsidR="000022B1" w:rsidRPr="000022B1" w:rsidRDefault="000022B1" w:rsidP="000022B1">
      <w:r>
        <w:t xml:space="preserve">Group 1 (high density of pelagic </w:t>
      </w:r>
      <w:proofErr w:type="spellStart"/>
      <w:r>
        <w:t>cladocerans</w:t>
      </w:r>
      <w:proofErr w:type="spellEnd"/>
      <w:r>
        <w:t xml:space="preserve"> and pelagic calanoid copepods) and Group 3 (pelagic rotifers) were most dominant in low flow years (2014-15 and 2015-16, respectively), however were favoured under different conditions. Group 1 is dominated by pelagic </w:t>
      </w:r>
      <w:proofErr w:type="spellStart"/>
      <w:r>
        <w:t>cladocerans</w:t>
      </w:r>
      <w:proofErr w:type="spellEnd"/>
      <w:r>
        <w:t xml:space="preserve"> and pelagic calanoid copepods, important food resources for fish such as juvenile golden and silver perch and Murray cod larvae </w:t>
      </w:r>
      <w:r>
        <w:rPr>
          <w:noProof/>
        </w:rPr>
        <w:t xml:space="preserve">(e.g. Humphries 2005; Kaminskas and Humphries 2009; King </w:t>
      </w:r>
      <w:r w:rsidRPr="00BE1769">
        <w:rPr>
          <w:i/>
          <w:iCs/>
          <w:noProof/>
        </w:rPr>
        <w:t>et al.</w:t>
      </w:r>
      <w:r>
        <w:rPr>
          <w:noProof/>
        </w:rPr>
        <w:t xml:space="preserve"> 2009; Puckridge and Walker 1990; Rowland 1998; Shiel </w:t>
      </w:r>
      <w:r w:rsidRPr="00BE1769">
        <w:rPr>
          <w:i/>
          <w:iCs/>
          <w:noProof/>
        </w:rPr>
        <w:t>et al.</w:t>
      </w:r>
      <w:r>
        <w:rPr>
          <w:noProof/>
        </w:rPr>
        <w:t xml:space="preserve"> 1982; Zampatti and Leigh 2013b)</w:t>
      </w:r>
      <w:r>
        <w:t>. This group of organisms generally require still open water for reproduction and long water residence times to develop into dense populations (e.g. months</w:t>
      </w:r>
      <w:r w:rsidRPr="001E11D2">
        <w:t>) (</w:t>
      </w:r>
      <w:proofErr w:type="spellStart"/>
      <w:r w:rsidRPr="001E11D2">
        <w:t>Obertegger</w:t>
      </w:r>
      <w:proofErr w:type="spellEnd"/>
      <w:r w:rsidRPr="001E11D2">
        <w:t xml:space="preserve"> </w:t>
      </w:r>
      <w:r w:rsidRPr="00BE1769">
        <w:rPr>
          <w:i/>
          <w:iCs/>
        </w:rPr>
        <w:t>et al.</w:t>
      </w:r>
      <w:r w:rsidRPr="001E11D2">
        <w:t xml:space="preserve"> 2007). Consequently</w:t>
      </w:r>
      <w:r>
        <w:t>, the</w:t>
      </w:r>
      <w:r w:rsidR="007C2D10">
        <w:t>se groups</w:t>
      </w:r>
      <w:r>
        <w:t xml:space="preserve"> are commonly generated </w:t>
      </w:r>
      <w:r w:rsidRPr="00BF7F55">
        <w:t xml:space="preserve">within </w:t>
      </w:r>
      <w:r>
        <w:t xml:space="preserve">habitats such as permanent/semi-permanent backwaters, </w:t>
      </w:r>
      <w:proofErr w:type="gramStart"/>
      <w:r>
        <w:t>wetlands</w:t>
      </w:r>
      <w:proofErr w:type="gramEnd"/>
      <w:r>
        <w:t xml:space="preserve"> and lakes and at times transferred to the main river </w:t>
      </w:r>
      <w:r w:rsidRPr="001E11D2">
        <w:t xml:space="preserve">channel (Furst </w:t>
      </w:r>
      <w:r w:rsidRPr="00BE1769">
        <w:rPr>
          <w:i/>
          <w:iCs/>
        </w:rPr>
        <w:t>et al.</w:t>
      </w:r>
      <w:r w:rsidRPr="001E11D2">
        <w:t xml:space="preserve"> 2020; </w:t>
      </w:r>
      <w:proofErr w:type="spellStart"/>
      <w:r w:rsidRPr="001E11D2">
        <w:t>Gigney</w:t>
      </w:r>
      <w:proofErr w:type="spellEnd"/>
      <w:r w:rsidRPr="001E11D2">
        <w:t xml:space="preserve"> </w:t>
      </w:r>
      <w:r w:rsidRPr="00BE1769">
        <w:rPr>
          <w:i/>
          <w:iCs/>
        </w:rPr>
        <w:t>et al.</w:t>
      </w:r>
      <w:r w:rsidRPr="001E11D2">
        <w:t xml:space="preserve"> 2006). Group </w:t>
      </w:r>
      <w:r>
        <w:t>1 was found to be strongly favoured when the 10-day flow trends were increasing rapidly and likely due to already established communities being flushed from permanent backwater habitats, low-lying wetlands and from within weir pools. This group was also favoured under extended periods of less variable mean daily flow below approximately 5.4 GL/d. Under these circumstances, it is likely that lake</w:t>
      </w:r>
      <w:r w:rsidR="007C2D10">
        <w:t>-</w:t>
      </w:r>
      <w:r>
        <w:t xml:space="preserve">like conditions, often created above weirs in the main river channel during periods of extended low flow, were facilitating production of large populations of pelagic copepods (e.g. </w:t>
      </w:r>
      <w:proofErr w:type="spellStart"/>
      <w:r>
        <w:rPr>
          <w:i/>
        </w:rPr>
        <w:t>Boeckella</w:t>
      </w:r>
      <w:proofErr w:type="spellEnd"/>
      <w:r>
        <w:rPr>
          <w:i/>
        </w:rPr>
        <w:t xml:space="preserve"> </w:t>
      </w:r>
      <w:proofErr w:type="spellStart"/>
      <w:r>
        <w:rPr>
          <w:i/>
        </w:rPr>
        <w:t>triarticulata</w:t>
      </w:r>
      <w:proofErr w:type="spellEnd"/>
      <w:r>
        <w:t xml:space="preserve">) </w:t>
      </w:r>
      <w:bookmarkStart w:id="393" w:name="_Hlk58419939"/>
      <w:r w:rsidRPr="001E11D2">
        <w:t xml:space="preserve">(Hynes and Hynes 1970). The other conditions </w:t>
      </w:r>
      <w:r>
        <w:t xml:space="preserve">where Group 1 samples were favoured were when flows were declining with limited areas of floodplain inundation. This pattern is consistent with </w:t>
      </w:r>
      <w:bookmarkEnd w:id="393"/>
      <w:r>
        <w:t xml:space="preserve">flow pulses that flush backwater and low-lying wetland habitats, providing the most likely source of Group 1 taxa, while increasing the probability of observing these taxa from the entrainment of </w:t>
      </w:r>
      <w:proofErr w:type="spellStart"/>
      <w:r>
        <w:t>microinvertebrates</w:t>
      </w:r>
      <w:proofErr w:type="spellEnd"/>
      <w:r>
        <w:t xml:space="preserve"> when flows recede. In comparison, Group 3 samples (pelagic rotifers) were favoured at higher (constant or decreasing) daily flows and with higher floodplain connectivity. Pelagic rotifers are the most abundant group of zooplankton throughout the river. Despite still needing slow or still water to reproduce, they have high reproduction rates and thus do not require water residence times as long as </w:t>
      </w:r>
      <w:proofErr w:type="spellStart"/>
      <w:r>
        <w:t>cladocerans</w:t>
      </w:r>
      <w:proofErr w:type="spellEnd"/>
      <w:r>
        <w:t xml:space="preserve"> </w:t>
      </w:r>
      <w:r w:rsidRPr="001E11D2">
        <w:t>and copepods (e.g. Nandini and Rao 1997). Furthermore</w:t>
      </w:r>
      <w:r>
        <w:t xml:space="preserve">, they are generally weaker swimmers and consequently are more prone to entrainment than larger zooplankton. Therefore, floodplain inundation creates expansive areas of slow/non-flowing water for rapid reproduction and population growth while the higher flows/connectivity transfer them to the main channel. A better understanding of what drives surges in populations and communities of pelagic rotifers may provide useful in is the future  as they are food resources for other rotifers, copepods, </w:t>
      </w:r>
      <w:proofErr w:type="spellStart"/>
      <w:r>
        <w:t>cladocerans</w:t>
      </w:r>
      <w:proofErr w:type="spellEnd"/>
      <w:r>
        <w:t xml:space="preserve"> and small fish such as Australian smelt and rainbowfish larvae </w:t>
      </w:r>
      <w:r>
        <w:rPr>
          <w:noProof/>
        </w:rPr>
        <w:t>(Conde-Porcuna and Sarma 1995; Gilbert and Williamson 1978; King 2005; Stemberger 1985)</w:t>
      </w:r>
      <w:r>
        <w:t>.</w:t>
      </w:r>
    </w:p>
    <w:p w14:paraId="1302001B" w14:textId="77777777" w:rsidR="000022B1" w:rsidRPr="00AA4EB2" w:rsidRDefault="000022B1" w:rsidP="000022B1">
      <w:pPr>
        <w:rPr>
          <w:bCs/>
          <w:i/>
          <w:iCs/>
          <w:u w:val="single"/>
        </w:rPr>
      </w:pPr>
      <w:r w:rsidRPr="00822D4C">
        <w:rPr>
          <w:bCs/>
          <w:i/>
          <w:iCs/>
          <w:u w:val="single"/>
        </w:rPr>
        <w:t>Diversity (taxonomic richness and evenness) patterns</w:t>
      </w:r>
    </w:p>
    <w:p w14:paraId="51C8D452" w14:textId="68EF5D64" w:rsidR="000022B1" w:rsidRDefault="000022B1" w:rsidP="000022B1">
      <w:r>
        <w:t xml:space="preserve">Both richness and evenness can indicate changes in resistance and resilience, the two components of community </w:t>
      </w:r>
      <w:r w:rsidRPr="001E11D2">
        <w:t xml:space="preserve">stability (Hillebrand </w:t>
      </w:r>
      <w:r w:rsidRPr="00BE1769">
        <w:rPr>
          <w:i/>
          <w:iCs/>
        </w:rPr>
        <w:t>et al</w:t>
      </w:r>
      <w:r w:rsidRPr="001E11D2">
        <w:t xml:space="preserve">. 2008). </w:t>
      </w:r>
      <w:r>
        <w:t xml:space="preserve">Increasing richness tends to result in increased resilience, as it increases the probability that those taxa which possess life history traits that allow them to rapidly recover from disturbance are present in the community. Community resistance is thought to depend more on evenness (or its opposite, dominance), with the likely outcome dependent on the traits of the dominant taxa; if the dominant taxa are resistant to disturbance, increasing evenness decreases </w:t>
      </w:r>
      <w:r w:rsidRPr="001E11D2">
        <w:t xml:space="preserve">resistance (Hillebrand </w:t>
      </w:r>
      <w:r w:rsidRPr="00BE1769">
        <w:rPr>
          <w:i/>
          <w:iCs/>
        </w:rPr>
        <w:t>et al</w:t>
      </w:r>
      <w:r w:rsidRPr="001E11D2">
        <w:t xml:space="preserve">. 2008). </w:t>
      </w:r>
      <w:r>
        <w:t xml:space="preserve">If dominant taxa possess traits enabling them to resist disturbance, for example flooding, the two sampling years with the lowest evenness and highest richness could represent the most stable </w:t>
      </w:r>
      <w:proofErr w:type="spellStart"/>
      <w:r>
        <w:t>microinvertebrate</w:t>
      </w:r>
      <w:proofErr w:type="spellEnd"/>
      <w:r>
        <w:t xml:space="preserve"> communities across the sampling record, although this would require knowledge of the trait distribution to confirm.</w:t>
      </w:r>
    </w:p>
    <w:p w14:paraId="20863CFC" w14:textId="77777777" w:rsidR="000022B1" w:rsidRPr="00822D4C" w:rsidRDefault="000022B1" w:rsidP="000022B1">
      <w:pPr>
        <w:rPr>
          <w:bCs/>
          <w:i/>
          <w:iCs/>
          <w:u w:val="single"/>
        </w:rPr>
      </w:pPr>
      <w:r w:rsidRPr="00822D4C">
        <w:rPr>
          <w:bCs/>
          <w:i/>
          <w:iCs/>
          <w:u w:val="single"/>
        </w:rPr>
        <w:t xml:space="preserve">Modelled effects of environmental flows for </w:t>
      </w:r>
      <w:proofErr w:type="spellStart"/>
      <w:r w:rsidRPr="00822D4C">
        <w:rPr>
          <w:bCs/>
          <w:i/>
          <w:iCs/>
          <w:u w:val="single"/>
        </w:rPr>
        <w:t>microinvertebrates</w:t>
      </w:r>
      <w:proofErr w:type="spellEnd"/>
    </w:p>
    <w:p w14:paraId="58DE584D" w14:textId="77777777" w:rsidR="000022B1" w:rsidRDefault="000022B1" w:rsidP="000022B1">
      <w:r>
        <w:t>Overall, m</w:t>
      </w:r>
      <w:r w:rsidRPr="007E5DB6">
        <w:t xml:space="preserve">odelling demonstrated that environmental water delivery has consistently provided benefits for the </w:t>
      </w:r>
      <w:proofErr w:type="spellStart"/>
      <w:r w:rsidRPr="007E5DB6">
        <w:t>microinvertebrate</w:t>
      </w:r>
      <w:proofErr w:type="spellEnd"/>
      <w:r w:rsidRPr="007E5DB6">
        <w:t xml:space="preserve"> community</w:t>
      </w:r>
      <w:r>
        <w:t xml:space="preserve"> in the LMR. While varying</w:t>
      </w:r>
      <w:r w:rsidRPr="007E5DB6">
        <w:t xml:space="preserve"> across years</w:t>
      </w:r>
      <w:r>
        <w:t xml:space="preserve">, on average, </w:t>
      </w:r>
      <w:proofErr w:type="spellStart"/>
      <w:r>
        <w:t>microinvertebrate</w:t>
      </w:r>
      <w:proofErr w:type="spellEnd"/>
      <w:r>
        <w:t xml:space="preserve"> density would have been 17−37% lower than observed in the absence of any environmental water, with Commonwealth environmental water accounting for 64−86% of the increase due to environmental water. Importantly, most of these benefits were delivered during low flow years, helping to maintain higher productivity and ecosystem function. Environmental water appeared to proportionally benefit taxa dependant on lateral connectivity more so than longitudinal connectivity/transport. The influence of environmental water was clearly greatest on </w:t>
      </w:r>
      <w:proofErr w:type="spellStart"/>
      <w:r>
        <w:t>microinvertebrate</w:t>
      </w:r>
      <w:proofErr w:type="spellEnd"/>
      <w:r>
        <w:t xml:space="preserve"> prey species density in spring, with environmental water accounting for an average of 37% of observed values and Commonwealth environmental water contributing 40−100% of this.</w:t>
      </w:r>
    </w:p>
    <w:p w14:paraId="650EFEAE" w14:textId="57284F5C" w:rsidR="000022B1" w:rsidRPr="001F65B5" w:rsidRDefault="000022B1" w:rsidP="000022B1">
      <w:pPr>
        <w:rPr>
          <w:lang w:val="en-US" w:eastAsia="en-AU"/>
        </w:rPr>
      </w:pPr>
      <w:r>
        <w:t xml:space="preserve">Each of the predictors identified provide a valuable starting point for conceptualising and modelling to inform more effective </w:t>
      </w:r>
      <w:r w:rsidRPr="00CA432A">
        <w:t>environmental water delivery</w:t>
      </w:r>
      <w:r>
        <w:t xml:space="preserve"> to benefit </w:t>
      </w:r>
      <w:r w:rsidR="007C2D10">
        <w:t xml:space="preserve">the </w:t>
      </w:r>
      <w:proofErr w:type="spellStart"/>
      <w:r>
        <w:t>microinvertebrate</w:t>
      </w:r>
      <w:proofErr w:type="spellEnd"/>
      <w:r>
        <w:t xml:space="preserve"> community in the LMR. Research to refine these relationships and test </w:t>
      </w:r>
      <w:r w:rsidR="007C2D10">
        <w:t xml:space="preserve">a range of </w:t>
      </w:r>
      <w:r>
        <w:t xml:space="preserve">predictors will be highly beneficial. For example, the main uncertainty in the calculation of predictors is determining the area of floodplain inundated that contributes to local scale richness at a given sampling point in the channel. In future, it might be possible to calculate two predictors for each site, one giving the area of floodplain that has been inundated in the local environment, the other accounting for upstream contributions. Conceptually the two predictors would represent local and regional floodplain contributions and including one or the other in models might afford an alternative way to quantify the importance of lateral (local) and longitudinal transport of </w:t>
      </w:r>
      <w:proofErr w:type="spellStart"/>
      <w:r>
        <w:t>microinvertebrates</w:t>
      </w:r>
      <w:proofErr w:type="spellEnd"/>
      <w:r>
        <w:t>. Another possible predictor to calculate could be the area of connected wetland habitat (as opposed to floodplain area). There are also uncertainties in selecting suitable response predictors to test hypotheses. A major contributor is the lack of a robust definition of the taxa that are dependent on longitudinal vs lateral connectivity and of those that provide high quality food resources. To provide more detailed guidance to fine tune environmental water delivery for specific outcomes, it is important to continually improve these definitions and refine model predictors.</w:t>
      </w:r>
    </w:p>
    <w:p w14:paraId="22B54D51" w14:textId="77777777" w:rsidR="000022B1" w:rsidRDefault="000022B1" w:rsidP="00D632F9"/>
    <w:p w14:paraId="561AF903" w14:textId="4DA68761" w:rsidR="007F69C2" w:rsidRDefault="007F69C2" w:rsidP="00D632F9"/>
    <w:p w14:paraId="08A478A5" w14:textId="77777777" w:rsidR="007F69C2" w:rsidRDefault="007F69C2">
      <w:pPr>
        <w:spacing w:before="0" w:after="160" w:line="259" w:lineRule="auto"/>
        <w:jc w:val="left"/>
      </w:pPr>
      <w:r>
        <w:br w:type="page"/>
      </w:r>
    </w:p>
    <w:p w14:paraId="29F2D80E" w14:textId="2EF993AE" w:rsidR="007F69C2" w:rsidRPr="00E35BD5" w:rsidRDefault="007F69C2" w:rsidP="007F69C2">
      <w:pPr>
        <w:pStyle w:val="Caption"/>
        <w:rPr>
          <w:color w:val="44546A" w:themeColor="text2"/>
          <w:sz w:val="26"/>
          <w:szCs w:val="26"/>
        </w:rPr>
      </w:pPr>
      <w:r>
        <w:rPr>
          <w:color w:val="44546A" w:themeColor="text2"/>
          <w:sz w:val="26"/>
          <w:szCs w:val="26"/>
        </w:rPr>
        <w:t xml:space="preserve">Fish indicators – statistical outputs </w:t>
      </w:r>
    </w:p>
    <w:p w14:paraId="5A6BC5D2" w14:textId="25753AE8" w:rsidR="007F69C2" w:rsidRDefault="007F69C2" w:rsidP="007F69C2">
      <w:pPr>
        <w:pStyle w:val="Caption"/>
      </w:pPr>
      <w:bookmarkStart w:id="394" w:name="_Ref25065691"/>
      <w:r w:rsidRPr="0002107D">
        <w:t>Table</w:t>
      </w:r>
      <w:bookmarkEnd w:id="394"/>
      <w:r>
        <w:rPr>
          <w:noProof/>
        </w:rPr>
        <w:t xml:space="preserve"> D11</w:t>
      </w:r>
      <w:r w:rsidRPr="0002107D">
        <w:t>. PERMANOVA pairwise comparison test results for golden perch electrofishing abundance (</w:t>
      </w:r>
      <w:r w:rsidRPr="00607412">
        <w:t>individuals per 90 second shot</w:t>
      </w:r>
      <w:r w:rsidRPr="0002107D">
        <w:t xml:space="preserve">) </w:t>
      </w:r>
      <w:r w:rsidRPr="00607412">
        <w:t>in the gorge geomorphic zone (10 sites) of the L</w:t>
      </w:r>
      <w:r>
        <w:t xml:space="preserve">ower </w:t>
      </w:r>
      <w:r w:rsidRPr="00607412">
        <w:t>M</w:t>
      </w:r>
      <w:r>
        <w:t xml:space="preserve">urray </w:t>
      </w:r>
      <w:r w:rsidRPr="00607412">
        <w:t>R</w:t>
      </w:r>
      <w:r>
        <w:t>iver</w:t>
      </w:r>
      <w:r w:rsidRPr="00607412">
        <w:t xml:space="preserve"> in </w:t>
      </w:r>
      <w:r>
        <w:t>a</w:t>
      </w:r>
      <w:r w:rsidRPr="00607412">
        <w:t>utumn from 2015–20</w:t>
      </w:r>
      <w:r>
        <w:t>20</w:t>
      </w:r>
      <w:r w:rsidRPr="0002107D">
        <w:t>.</w:t>
      </w:r>
      <w:r w:rsidRPr="00F77752">
        <w:t xml:space="preserve"> </w:t>
      </w:r>
      <w:r w:rsidRPr="00F77752">
        <w:rPr>
          <w:i/>
        </w:rPr>
        <w:t>P</w:t>
      </w:r>
      <w:r w:rsidRPr="00F77752">
        <w:t xml:space="preserve">-values presented in bold are significant comparisons, using Bonferroni corrected </w:t>
      </w:r>
      <w:r w:rsidRPr="001D60DC">
        <w:t>α = 0.00</w:t>
      </w:r>
      <w:r w:rsidRPr="00DC4246">
        <w:t>33</w:t>
      </w:r>
      <w:r w:rsidRPr="00F77752">
        <w:t xml:space="preserve"> (</w:t>
      </w:r>
      <w:proofErr w:type="spellStart"/>
      <w:r w:rsidRPr="00F77752">
        <w:t>Narum</w:t>
      </w:r>
      <w:proofErr w:type="spellEnd"/>
      <w:r w:rsidRPr="00F77752">
        <w:t xml:space="preserve"> 2006) for comparisons between years (</w:t>
      </w:r>
      <w:r>
        <w:t>fifteen</w:t>
      </w:r>
      <w:r w:rsidRPr="00F77752">
        <w:t xml:space="preserve"> comparisons).  </w:t>
      </w:r>
    </w:p>
    <w:tbl>
      <w:tblPr>
        <w:tblW w:w="0" w:type="auto"/>
        <w:jc w:val="center"/>
        <w:tblLook w:val="04A0" w:firstRow="1" w:lastRow="0" w:firstColumn="1" w:lastColumn="0" w:noHBand="0" w:noVBand="1"/>
      </w:tblPr>
      <w:tblGrid>
        <w:gridCol w:w="2252"/>
        <w:gridCol w:w="887"/>
        <w:gridCol w:w="1073"/>
      </w:tblGrid>
      <w:tr w:rsidR="007F69C2" w:rsidRPr="00C01B82" w14:paraId="3CB0D88E" w14:textId="77777777" w:rsidTr="009F3C4C">
        <w:trPr>
          <w:trHeight w:val="113"/>
          <w:jc w:val="center"/>
        </w:trPr>
        <w:tc>
          <w:tcPr>
            <w:tcW w:w="2252" w:type="dxa"/>
            <w:vMerge w:val="restart"/>
            <w:tcBorders>
              <w:top w:val="single" w:sz="4" w:space="0" w:color="auto"/>
              <w:bottom w:val="single" w:sz="4" w:space="0" w:color="auto"/>
            </w:tcBorders>
            <w:vAlign w:val="center"/>
          </w:tcPr>
          <w:p w14:paraId="7390DC88" w14:textId="77777777" w:rsidR="007F69C2" w:rsidRPr="00C01B82" w:rsidRDefault="007F69C2" w:rsidP="009F3C4C">
            <w:pPr>
              <w:spacing w:before="0" w:after="0"/>
              <w:jc w:val="left"/>
              <w:rPr>
                <w:b/>
                <w:sz w:val="20"/>
              </w:rPr>
            </w:pPr>
            <w:r w:rsidRPr="00C01B82">
              <w:rPr>
                <w:b/>
                <w:sz w:val="20"/>
              </w:rPr>
              <w:t>Comparison</w:t>
            </w:r>
          </w:p>
        </w:tc>
        <w:tc>
          <w:tcPr>
            <w:tcW w:w="1960" w:type="dxa"/>
            <w:gridSpan w:val="2"/>
            <w:tcBorders>
              <w:top w:val="single" w:sz="4" w:space="0" w:color="auto"/>
            </w:tcBorders>
          </w:tcPr>
          <w:p w14:paraId="1769460B" w14:textId="77777777" w:rsidR="007F69C2" w:rsidRPr="00C01B82" w:rsidRDefault="007F69C2" w:rsidP="009F3C4C">
            <w:pPr>
              <w:spacing w:before="0" w:after="0"/>
              <w:jc w:val="center"/>
              <w:rPr>
                <w:b/>
                <w:sz w:val="20"/>
              </w:rPr>
            </w:pPr>
            <w:r w:rsidRPr="00C01B82">
              <w:rPr>
                <w:b/>
                <w:sz w:val="20"/>
              </w:rPr>
              <w:t>Large-bodied</w:t>
            </w:r>
          </w:p>
        </w:tc>
      </w:tr>
      <w:tr w:rsidR="007F69C2" w:rsidRPr="00C01B82" w14:paraId="37C8A79D" w14:textId="77777777" w:rsidTr="009F3C4C">
        <w:trPr>
          <w:trHeight w:val="113"/>
          <w:jc w:val="center"/>
        </w:trPr>
        <w:tc>
          <w:tcPr>
            <w:tcW w:w="2252" w:type="dxa"/>
            <w:vMerge/>
            <w:tcBorders>
              <w:bottom w:val="single" w:sz="4" w:space="0" w:color="auto"/>
            </w:tcBorders>
          </w:tcPr>
          <w:p w14:paraId="6770A124" w14:textId="77777777" w:rsidR="007F69C2" w:rsidRPr="00C01B82" w:rsidRDefault="007F69C2" w:rsidP="009F3C4C">
            <w:pPr>
              <w:spacing w:before="0" w:after="0"/>
              <w:rPr>
                <w:b/>
                <w:sz w:val="20"/>
              </w:rPr>
            </w:pPr>
          </w:p>
        </w:tc>
        <w:tc>
          <w:tcPr>
            <w:tcW w:w="887" w:type="dxa"/>
            <w:tcBorders>
              <w:bottom w:val="single" w:sz="4" w:space="0" w:color="auto"/>
            </w:tcBorders>
          </w:tcPr>
          <w:p w14:paraId="66E2CEF2" w14:textId="77777777" w:rsidR="007F69C2" w:rsidRPr="00C01B82" w:rsidRDefault="007F69C2" w:rsidP="009F3C4C">
            <w:pPr>
              <w:spacing w:before="0" w:after="0"/>
              <w:rPr>
                <w:i/>
                <w:sz w:val="20"/>
              </w:rPr>
            </w:pPr>
            <w:r w:rsidRPr="00C01B82">
              <w:rPr>
                <w:i/>
                <w:sz w:val="20"/>
              </w:rPr>
              <w:t>t</w:t>
            </w:r>
          </w:p>
        </w:tc>
        <w:tc>
          <w:tcPr>
            <w:tcW w:w="1073" w:type="dxa"/>
            <w:tcBorders>
              <w:bottom w:val="single" w:sz="4" w:space="0" w:color="auto"/>
            </w:tcBorders>
          </w:tcPr>
          <w:p w14:paraId="262A1732" w14:textId="77777777" w:rsidR="007F69C2" w:rsidRPr="00C01B82" w:rsidRDefault="007F69C2" w:rsidP="009F3C4C">
            <w:pPr>
              <w:spacing w:before="0" w:after="0"/>
              <w:rPr>
                <w:i/>
                <w:sz w:val="20"/>
              </w:rPr>
            </w:pPr>
            <w:r w:rsidRPr="00C01B82">
              <w:rPr>
                <w:i/>
                <w:sz w:val="20"/>
              </w:rPr>
              <w:t>P (perm)</w:t>
            </w:r>
          </w:p>
        </w:tc>
      </w:tr>
      <w:tr w:rsidR="007F69C2" w:rsidRPr="00C01B82" w14:paraId="7453F96D" w14:textId="77777777" w:rsidTr="009F3C4C">
        <w:trPr>
          <w:trHeight w:val="113"/>
          <w:jc w:val="center"/>
        </w:trPr>
        <w:tc>
          <w:tcPr>
            <w:tcW w:w="2252" w:type="dxa"/>
            <w:tcBorders>
              <w:top w:val="single" w:sz="4" w:space="0" w:color="auto"/>
            </w:tcBorders>
          </w:tcPr>
          <w:p w14:paraId="27D312B2" w14:textId="77777777" w:rsidR="007F69C2" w:rsidRPr="00C01B82" w:rsidRDefault="007F69C2" w:rsidP="009F3C4C">
            <w:pPr>
              <w:spacing w:before="0" w:after="0"/>
              <w:rPr>
                <w:sz w:val="20"/>
              </w:rPr>
            </w:pPr>
            <w:r w:rsidRPr="00C01B82">
              <w:rPr>
                <w:sz w:val="20"/>
              </w:rPr>
              <w:t>2015 vs. 2016</w:t>
            </w:r>
          </w:p>
        </w:tc>
        <w:tc>
          <w:tcPr>
            <w:tcW w:w="887" w:type="dxa"/>
            <w:tcBorders>
              <w:top w:val="single" w:sz="4" w:space="0" w:color="auto"/>
            </w:tcBorders>
          </w:tcPr>
          <w:p w14:paraId="6780F647" w14:textId="77777777" w:rsidR="007F69C2" w:rsidRPr="00C01B82" w:rsidRDefault="007F69C2" w:rsidP="009F3C4C">
            <w:pPr>
              <w:spacing w:before="0" w:after="0"/>
              <w:rPr>
                <w:sz w:val="20"/>
              </w:rPr>
            </w:pPr>
            <w:r w:rsidRPr="00C01B82">
              <w:rPr>
                <w:sz w:val="20"/>
              </w:rPr>
              <w:t>0.2726</w:t>
            </w:r>
          </w:p>
        </w:tc>
        <w:tc>
          <w:tcPr>
            <w:tcW w:w="1073" w:type="dxa"/>
            <w:tcBorders>
              <w:top w:val="single" w:sz="4" w:space="0" w:color="auto"/>
            </w:tcBorders>
          </w:tcPr>
          <w:p w14:paraId="5974E3CC" w14:textId="77777777" w:rsidR="007F69C2" w:rsidRPr="00C01B82" w:rsidRDefault="007F69C2" w:rsidP="009F3C4C">
            <w:pPr>
              <w:spacing w:before="0" w:after="0"/>
              <w:rPr>
                <w:sz w:val="20"/>
              </w:rPr>
            </w:pPr>
            <w:r w:rsidRPr="00C01B82">
              <w:rPr>
                <w:sz w:val="20"/>
              </w:rPr>
              <w:t>0.8134</w:t>
            </w:r>
          </w:p>
        </w:tc>
      </w:tr>
      <w:tr w:rsidR="007F69C2" w:rsidRPr="00C01B82" w14:paraId="1A099291" w14:textId="77777777" w:rsidTr="009F3C4C">
        <w:trPr>
          <w:trHeight w:val="113"/>
          <w:jc w:val="center"/>
        </w:trPr>
        <w:tc>
          <w:tcPr>
            <w:tcW w:w="2252" w:type="dxa"/>
          </w:tcPr>
          <w:p w14:paraId="5494AF27" w14:textId="77777777" w:rsidR="007F69C2" w:rsidRPr="00C01B82" w:rsidRDefault="007F69C2" w:rsidP="009F3C4C">
            <w:pPr>
              <w:spacing w:before="0" w:after="0"/>
              <w:rPr>
                <w:sz w:val="20"/>
              </w:rPr>
            </w:pPr>
            <w:r w:rsidRPr="00C01B82">
              <w:rPr>
                <w:sz w:val="20"/>
              </w:rPr>
              <w:t>2015 vs. 2017</w:t>
            </w:r>
          </w:p>
        </w:tc>
        <w:tc>
          <w:tcPr>
            <w:tcW w:w="887" w:type="dxa"/>
          </w:tcPr>
          <w:p w14:paraId="67103C03" w14:textId="77777777" w:rsidR="007F69C2" w:rsidRPr="00C01B82" w:rsidRDefault="007F69C2" w:rsidP="009F3C4C">
            <w:pPr>
              <w:spacing w:before="0" w:after="0"/>
              <w:rPr>
                <w:sz w:val="20"/>
              </w:rPr>
            </w:pPr>
            <w:r w:rsidRPr="00C01B82">
              <w:rPr>
                <w:sz w:val="20"/>
              </w:rPr>
              <w:t>1.4563</w:t>
            </w:r>
          </w:p>
        </w:tc>
        <w:tc>
          <w:tcPr>
            <w:tcW w:w="1073" w:type="dxa"/>
          </w:tcPr>
          <w:p w14:paraId="74DB3EEA" w14:textId="77777777" w:rsidR="007F69C2" w:rsidRPr="00C01B82" w:rsidRDefault="007F69C2" w:rsidP="009F3C4C">
            <w:pPr>
              <w:spacing w:before="0" w:after="0"/>
              <w:rPr>
                <w:sz w:val="20"/>
              </w:rPr>
            </w:pPr>
            <w:r w:rsidRPr="00C01B82">
              <w:rPr>
                <w:sz w:val="20"/>
              </w:rPr>
              <w:t>0.1831</w:t>
            </w:r>
          </w:p>
        </w:tc>
      </w:tr>
      <w:tr w:rsidR="007F69C2" w:rsidRPr="00C01B82" w14:paraId="3817A31C" w14:textId="77777777" w:rsidTr="009F3C4C">
        <w:trPr>
          <w:trHeight w:val="113"/>
          <w:jc w:val="center"/>
        </w:trPr>
        <w:tc>
          <w:tcPr>
            <w:tcW w:w="2252" w:type="dxa"/>
          </w:tcPr>
          <w:p w14:paraId="7C488C61" w14:textId="77777777" w:rsidR="007F69C2" w:rsidRPr="00C01B82" w:rsidRDefault="007F69C2" w:rsidP="009F3C4C">
            <w:pPr>
              <w:spacing w:before="0" w:after="0"/>
              <w:rPr>
                <w:sz w:val="20"/>
              </w:rPr>
            </w:pPr>
            <w:r w:rsidRPr="00C01B82">
              <w:rPr>
                <w:sz w:val="20"/>
              </w:rPr>
              <w:t>2015 vs. 2018</w:t>
            </w:r>
          </w:p>
        </w:tc>
        <w:tc>
          <w:tcPr>
            <w:tcW w:w="887" w:type="dxa"/>
          </w:tcPr>
          <w:p w14:paraId="063E5EED" w14:textId="77777777" w:rsidR="007F69C2" w:rsidRPr="00C01B82" w:rsidRDefault="007F69C2" w:rsidP="009F3C4C">
            <w:pPr>
              <w:spacing w:before="0" w:after="0"/>
              <w:rPr>
                <w:sz w:val="20"/>
              </w:rPr>
            </w:pPr>
            <w:r w:rsidRPr="00C01B82">
              <w:rPr>
                <w:sz w:val="20"/>
              </w:rPr>
              <w:t>0.8253</w:t>
            </w:r>
          </w:p>
        </w:tc>
        <w:tc>
          <w:tcPr>
            <w:tcW w:w="1073" w:type="dxa"/>
          </w:tcPr>
          <w:p w14:paraId="21CC5CFA" w14:textId="77777777" w:rsidR="007F69C2" w:rsidRPr="00C01B82" w:rsidRDefault="007F69C2" w:rsidP="009F3C4C">
            <w:pPr>
              <w:spacing w:before="0" w:after="0"/>
              <w:rPr>
                <w:sz w:val="20"/>
              </w:rPr>
            </w:pPr>
            <w:r w:rsidRPr="00C01B82">
              <w:rPr>
                <w:sz w:val="20"/>
              </w:rPr>
              <w:t>0.4354</w:t>
            </w:r>
          </w:p>
        </w:tc>
      </w:tr>
      <w:tr w:rsidR="007F69C2" w:rsidRPr="00C01B82" w14:paraId="65FE72D7" w14:textId="77777777" w:rsidTr="009F3C4C">
        <w:trPr>
          <w:trHeight w:val="113"/>
          <w:jc w:val="center"/>
        </w:trPr>
        <w:tc>
          <w:tcPr>
            <w:tcW w:w="2252" w:type="dxa"/>
          </w:tcPr>
          <w:p w14:paraId="7DD93D2A" w14:textId="77777777" w:rsidR="007F69C2" w:rsidRPr="00C01B82" w:rsidRDefault="007F69C2" w:rsidP="009F3C4C">
            <w:pPr>
              <w:spacing w:before="0" w:after="0"/>
              <w:rPr>
                <w:sz w:val="20"/>
              </w:rPr>
            </w:pPr>
            <w:r w:rsidRPr="00C01B82">
              <w:rPr>
                <w:sz w:val="20"/>
              </w:rPr>
              <w:t>2015 vs. 2019</w:t>
            </w:r>
          </w:p>
        </w:tc>
        <w:tc>
          <w:tcPr>
            <w:tcW w:w="887" w:type="dxa"/>
          </w:tcPr>
          <w:p w14:paraId="120C65DA" w14:textId="77777777" w:rsidR="007F69C2" w:rsidRPr="00C01B82" w:rsidRDefault="007F69C2" w:rsidP="009F3C4C">
            <w:pPr>
              <w:spacing w:before="0" w:after="0"/>
              <w:rPr>
                <w:sz w:val="20"/>
              </w:rPr>
            </w:pPr>
            <w:r w:rsidRPr="00C01B82">
              <w:rPr>
                <w:sz w:val="20"/>
              </w:rPr>
              <w:t>3.6323</w:t>
            </w:r>
          </w:p>
        </w:tc>
        <w:tc>
          <w:tcPr>
            <w:tcW w:w="1073" w:type="dxa"/>
          </w:tcPr>
          <w:p w14:paraId="00AC1DC3" w14:textId="77777777" w:rsidR="007F69C2" w:rsidRPr="00C01B82" w:rsidRDefault="007F69C2" w:rsidP="009F3C4C">
            <w:pPr>
              <w:spacing w:before="0" w:after="0"/>
              <w:rPr>
                <w:b/>
                <w:sz w:val="20"/>
              </w:rPr>
            </w:pPr>
            <w:r w:rsidRPr="00C01B82">
              <w:rPr>
                <w:b/>
                <w:sz w:val="20"/>
              </w:rPr>
              <w:t>0.0015</w:t>
            </w:r>
          </w:p>
        </w:tc>
      </w:tr>
      <w:tr w:rsidR="007F69C2" w:rsidRPr="00C01B82" w14:paraId="3E4212CB" w14:textId="77777777" w:rsidTr="009F3C4C">
        <w:trPr>
          <w:trHeight w:val="113"/>
          <w:jc w:val="center"/>
        </w:trPr>
        <w:tc>
          <w:tcPr>
            <w:tcW w:w="2252" w:type="dxa"/>
            <w:shd w:val="clear" w:color="auto" w:fill="auto"/>
          </w:tcPr>
          <w:p w14:paraId="6D889A5D" w14:textId="77777777" w:rsidR="007F69C2" w:rsidRPr="00C01B82" w:rsidRDefault="007F69C2" w:rsidP="009F3C4C">
            <w:pPr>
              <w:spacing w:before="0" w:after="0"/>
              <w:rPr>
                <w:sz w:val="20"/>
              </w:rPr>
            </w:pPr>
            <w:r w:rsidRPr="00C01B82">
              <w:rPr>
                <w:sz w:val="20"/>
              </w:rPr>
              <w:t>2015 vs. 2020</w:t>
            </w:r>
          </w:p>
        </w:tc>
        <w:tc>
          <w:tcPr>
            <w:tcW w:w="887" w:type="dxa"/>
            <w:shd w:val="clear" w:color="auto" w:fill="auto"/>
          </w:tcPr>
          <w:p w14:paraId="2C96DB8C" w14:textId="77777777" w:rsidR="007F69C2" w:rsidRPr="00C01B82" w:rsidRDefault="007F69C2" w:rsidP="009F3C4C">
            <w:pPr>
              <w:spacing w:before="0" w:after="0"/>
              <w:rPr>
                <w:sz w:val="20"/>
              </w:rPr>
            </w:pPr>
            <w:r w:rsidRPr="00C01B82">
              <w:rPr>
                <w:sz w:val="20"/>
              </w:rPr>
              <w:t>3.5222</w:t>
            </w:r>
          </w:p>
        </w:tc>
        <w:tc>
          <w:tcPr>
            <w:tcW w:w="1073" w:type="dxa"/>
            <w:shd w:val="clear" w:color="auto" w:fill="auto"/>
          </w:tcPr>
          <w:p w14:paraId="327143C8" w14:textId="77777777" w:rsidR="007F69C2" w:rsidRPr="00C01B82" w:rsidRDefault="007F69C2" w:rsidP="009F3C4C">
            <w:pPr>
              <w:spacing w:before="0" w:after="0"/>
              <w:rPr>
                <w:b/>
                <w:sz w:val="20"/>
              </w:rPr>
            </w:pPr>
            <w:r w:rsidRPr="00C01B82">
              <w:rPr>
                <w:b/>
                <w:sz w:val="20"/>
              </w:rPr>
              <w:t>0.0018</w:t>
            </w:r>
          </w:p>
        </w:tc>
      </w:tr>
      <w:tr w:rsidR="007F69C2" w:rsidRPr="00C01B82" w14:paraId="120B5FA7" w14:textId="77777777" w:rsidTr="009F3C4C">
        <w:trPr>
          <w:trHeight w:val="113"/>
          <w:jc w:val="center"/>
        </w:trPr>
        <w:tc>
          <w:tcPr>
            <w:tcW w:w="2252" w:type="dxa"/>
            <w:shd w:val="clear" w:color="auto" w:fill="auto"/>
          </w:tcPr>
          <w:p w14:paraId="07D7C600" w14:textId="77777777" w:rsidR="007F69C2" w:rsidRPr="00C01B82" w:rsidRDefault="007F69C2" w:rsidP="009F3C4C">
            <w:pPr>
              <w:spacing w:before="0" w:after="0"/>
              <w:rPr>
                <w:sz w:val="20"/>
              </w:rPr>
            </w:pPr>
            <w:r w:rsidRPr="00C01B82">
              <w:rPr>
                <w:sz w:val="20"/>
              </w:rPr>
              <w:t>2016 vs. 2017</w:t>
            </w:r>
          </w:p>
        </w:tc>
        <w:tc>
          <w:tcPr>
            <w:tcW w:w="887" w:type="dxa"/>
            <w:shd w:val="clear" w:color="auto" w:fill="auto"/>
          </w:tcPr>
          <w:p w14:paraId="7BD38FB7" w14:textId="77777777" w:rsidR="007F69C2" w:rsidRPr="00C01B82" w:rsidRDefault="007F69C2" w:rsidP="009F3C4C">
            <w:pPr>
              <w:spacing w:before="0" w:after="0"/>
              <w:rPr>
                <w:sz w:val="20"/>
              </w:rPr>
            </w:pPr>
            <w:r w:rsidRPr="00C01B82">
              <w:rPr>
                <w:sz w:val="20"/>
              </w:rPr>
              <w:t>1.6998</w:t>
            </w:r>
          </w:p>
        </w:tc>
        <w:tc>
          <w:tcPr>
            <w:tcW w:w="1073" w:type="dxa"/>
            <w:shd w:val="clear" w:color="auto" w:fill="auto"/>
          </w:tcPr>
          <w:p w14:paraId="7E3D55A4" w14:textId="77777777" w:rsidR="007F69C2" w:rsidRPr="00C01B82" w:rsidRDefault="007F69C2" w:rsidP="009F3C4C">
            <w:pPr>
              <w:spacing w:before="0" w:after="0"/>
              <w:rPr>
                <w:sz w:val="20"/>
              </w:rPr>
            </w:pPr>
            <w:r w:rsidRPr="00C01B82">
              <w:rPr>
                <w:sz w:val="20"/>
              </w:rPr>
              <w:t>0.1248</w:t>
            </w:r>
          </w:p>
        </w:tc>
      </w:tr>
      <w:tr w:rsidR="007F69C2" w:rsidRPr="00C01B82" w14:paraId="6ACA301F" w14:textId="77777777" w:rsidTr="009F3C4C">
        <w:trPr>
          <w:trHeight w:val="113"/>
          <w:jc w:val="center"/>
        </w:trPr>
        <w:tc>
          <w:tcPr>
            <w:tcW w:w="2252" w:type="dxa"/>
            <w:shd w:val="clear" w:color="auto" w:fill="auto"/>
          </w:tcPr>
          <w:p w14:paraId="596152DF" w14:textId="77777777" w:rsidR="007F69C2" w:rsidRPr="00C01B82" w:rsidRDefault="007F69C2" w:rsidP="009F3C4C">
            <w:pPr>
              <w:spacing w:before="0" w:after="0"/>
              <w:rPr>
                <w:sz w:val="20"/>
              </w:rPr>
            </w:pPr>
            <w:r w:rsidRPr="00C01B82">
              <w:rPr>
                <w:sz w:val="20"/>
              </w:rPr>
              <w:t>2016 vs. 2018</w:t>
            </w:r>
          </w:p>
        </w:tc>
        <w:tc>
          <w:tcPr>
            <w:tcW w:w="887" w:type="dxa"/>
            <w:shd w:val="clear" w:color="auto" w:fill="auto"/>
          </w:tcPr>
          <w:p w14:paraId="05B5209D" w14:textId="77777777" w:rsidR="007F69C2" w:rsidRPr="00C01B82" w:rsidRDefault="007F69C2" w:rsidP="009F3C4C">
            <w:pPr>
              <w:spacing w:before="0" w:after="0"/>
              <w:rPr>
                <w:sz w:val="20"/>
              </w:rPr>
            </w:pPr>
            <w:r w:rsidRPr="00C01B82">
              <w:rPr>
                <w:sz w:val="20"/>
              </w:rPr>
              <w:t>0.6930</w:t>
            </w:r>
          </w:p>
        </w:tc>
        <w:tc>
          <w:tcPr>
            <w:tcW w:w="1073" w:type="dxa"/>
            <w:shd w:val="clear" w:color="auto" w:fill="auto"/>
          </w:tcPr>
          <w:p w14:paraId="10B0D438" w14:textId="77777777" w:rsidR="007F69C2" w:rsidRPr="00C01B82" w:rsidRDefault="007F69C2" w:rsidP="009F3C4C">
            <w:pPr>
              <w:spacing w:before="0" w:after="0"/>
              <w:rPr>
                <w:sz w:val="20"/>
              </w:rPr>
            </w:pPr>
            <w:r w:rsidRPr="00C01B82">
              <w:rPr>
                <w:sz w:val="20"/>
              </w:rPr>
              <w:t>0.5271</w:t>
            </w:r>
          </w:p>
        </w:tc>
      </w:tr>
      <w:tr w:rsidR="007F69C2" w:rsidRPr="00C01B82" w14:paraId="2650EA09" w14:textId="77777777" w:rsidTr="009F3C4C">
        <w:trPr>
          <w:trHeight w:val="113"/>
          <w:jc w:val="center"/>
        </w:trPr>
        <w:tc>
          <w:tcPr>
            <w:tcW w:w="2252" w:type="dxa"/>
            <w:shd w:val="clear" w:color="auto" w:fill="auto"/>
          </w:tcPr>
          <w:p w14:paraId="69A515E9" w14:textId="77777777" w:rsidR="007F69C2" w:rsidRPr="00C01B82" w:rsidRDefault="007F69C2" w:rsidP="009F3C4C">
            <w:pPr>
              <w:spacing w:before="0" w:after="0"/>
              <w:rPr>
                <w:sz w:val="20"/>
              </w:rPr>
            </w:pPr>
            <w:r w:rsidRPr="00C01B82">
              <w:rPr>
                <w:sz w:val="20"/>
              </w:rPr>
              <w:t>2016 vs. 2019</w:t>
            </w:r>
          </w:p>
        </w:tc>
        <w:tc>
          <w:tcPr>
            <w:tcW w:w="887" w:type="dxa"/>
            <w:shd w:val="clear" w:color="auto" w:fill="auto"/>
          </w:tcPr>
          <w:p w14:paraId="7D468733" w14:textId="77777777" w:rsidR="007F69C2" w:rsidRPr="00C01B82" w:rsidRDefault="007F69C2" w:rsidP="009F3C4C">
            <w:pPr>
              <w:spacing w:before="0" w:after="0"/>
              <w:rPr>
                <w:sz w:val="20"/>
              </w:rPr>
            </w:pPr>
            <w:r w:rsidRPr="00C01B82">
              <w:rPr>
                <w:sz w:val="20"/>
              </w:rPr>
              <w:t>4.7217</w:t>
            </w:r>
          </w:p>
        </w:tc>
        <w:tc>
          <w:tcPr>
            <w:tcW w:w="1073" w:type="dxa"/>
            <w:shd w:val="clear" w:color="auto" w:fill="auto"/>
          </w:tcPr>
          <w:p w14:paraId="15BD9D86" w14:textId="77777777" w:rsidR="007F69C2" w:rsidRPr="00C01B82" w:rsidRDefault="007F69C2" w:rsidP="009F3C4C">
            <w:pPr>
              <w:spacing w:before="0" w:after="0"/>
              <w:rPr>
                <w:b/>
                <w:sz w:val="20"/>
              </w:rPr>
            </w:pPr>
            <w:r w:rsidRPr="00C01B82">
              <w:rPr>
                <w:b/>
                <w:sz w:val="20"/>
              </w:rPr>
              <w:t>0.0001</w:t>
            </w:r>
          </w:p>
        </w:tc>
      </w:tr>
      <w:tr w:rsidR="007F69C2" w:rsidRPr="00C01B82" w14:paraId="7E0D76DB" w14:textId="77777777" w:rsidTr="009F3C4C">
        <w:trPr>
          <w:trHeight w:val="113"/>
          <w:jc w:val="center"/>
        </w:trPr>
        <w:tc>
          <w:tcPr>
            <w:tcW w:w="2252" w:type="dxa"/>
            <w:shd w:val="clear" w:color="auto" w:fill="auto"/>
          </w:tcPr>
          <w:p w14:paraId="092F1245" w14:textId="77777777" w:rsidR="007F69C2" w:rsidRPr="00C01B82" w:rsidRDefault="007F69C2" w:rsidP="009F3C4C">
            <w:pPr>
              <w:spacing w:before="0" w:after="0"/>
              <w:rPr>
                <w:sz w:val="20"/>
              </w:rPr>
            </w:pPr>
            <w:r w:rsidRPr="00C01B82">
              <w:rPr>
                <w:sz w:val="20"/>
              </w:rPr>
              <w:t>2016 vs. 2020</w:t>
            </w:r>
          </w:p>
        </w:tc>
        <w:tc>
          <w:tcPr>
            <w:tcW w:w="887" w:type="dxa"/>
            <w:shd w:val="clear" w:color="auto" w:fill="auto"/>
          </w:tcPr>
          <w:p w14:paraId="6DDCA0FA" w14:textId="77777777" w:rsidR="007F69C2" w:rsidRPr="00C01B82" w:rsidRDefault="007F69C2" w:rsidP="009F3C4C">
            <w:pPr>
              <w:spacing w:before="0" w:after="0"/>
              <w:rPr>
                <w:sz w:val="20"/>
              </w:rPr>
            </w:pPr>
            <w:r w:rsidRPr="00C01B82">
              <w:rPr>
                <w:sz w:val="20"/>
              </w:rPr>
              <w:t>4.3351</w:t>
            </w:r>
          </w:p>
        </w:tc>
        <w:tc>
          <w:tcPr>
            <w:tcW w:w="1073" w:type="dxa"/>
            <w:shd w:val="clear" w:color="auto" w:fill="auto"/>
          </w:tcPr>
          <w:p w14:paraId="441894B3" w14:textId="77777777" w:rsidR="007F69C2" w:rsidRPr="00C01B82" w:rsidRDefault="007F69C2" w:rsidP="009F3C4C">
            <w:pPr>
              <w:spacing w:before="0" w:after="0"/>
              <w:rPr>
                <w:b/>
                <w:sz w:val="20"/>
              </w:rPr>
            </w:pPr>
            <w:r w:rsidRPr="00C01B82">
              <w:rPr>
                <w:b/>
                <w:sz w:val="20"/>
              </w:rPr>
              <w:t>0.0004</w:t>
            </w:r>
          </w:p>
        </w:tc>
      </w:tr>
      <w:tr w:rsidR="007F69C2" w:rsidRPr="00C01B82" w14:paraId="3B46E73E" w14:textId="77777777" w:rsidTr="009F3C4C">
        <w:trPr>
          <w:trHeight w:val="113"/>
          <w:jc w:val="center"/>
        </w:trPr>
        <w:tc>
          <w:tcPr>
            <w:tcW w:w="2252" w:type="dxa"/>
            <w:shd w:val="clear" w:color="auto" w:fill="auto"/>
          </w:tcPr>
          <w:p w14:paraId="6595BBF9" w14:textId="77777777" w:rsidR="007F69C2" w:rsidRPr="00C01B82" w:rsidRDefault="007F69C2" w:rsidP="009F3C4C">
            <w:pPr>
              <w:spacing w:before="0" w:after="0"/>
              <w:rPr>
                <w:sz w:val="20"/>
              </w:rPr>
            </w:pPr>
            <w:r w:rsidRPr="00C01B82">
              <w:rPr>
                <w:sz w:val="20"/>
              </w:rPr>
              <w:t>2017 vs. 2018</w:t>
            </w:r>
          </w:p>
        </w:tc>
        <w:tc>
          <w:tcPr>
            <w:tcW w:w="887" w:type="dxa"/>
            <w:shd w:val="clear" w:color="auto" w:fill="auto"/>
          </w:tcPr>
          <w:p w14:paraId="3C592895" w14:textId="77777777" w:rsidR="007F69C2" w:rsidRPr="00C01B82" w:rsidRDefault="007F69C2" w:rsidP="009F3C4C">
            <w:pPr>
              <w:spacing w:before="0" w:after="0"/>
              <w:rPr>
                <w:sz w:val="20"/>
              </w:rPr>
            </w:pPr>
            <w:r w:rsidRPr="00C01B82">
              <w:rPr>
                <w:sz w:val="20"/>
              </w:rPr>
              <w:t>0.8086</w:t>
            </w:r>
          </w:p>
        </w:tc>
        <w:tc>
          <w:tcPr>
            <w:tcW w:w="1073" w:type="dxa"/>
            <w:shd w:val="clear" w:color="auto" w:fill="auto"/>
          </w:tcPr>
          <w:p w14:paraId="4376AFE6" w14:textId="77777777" w:rsidR="007F69C2" w:rsidRPr="00C01B82" w:rsidRDefault="007F69C2" w:rsidP="009F3C4C">
            <w:pPr>
              <w:spacing w:before="0" w:after="0"/>
              <w:rPr>
                <w:sz w:val="20"/>
              </w:rPr>
            </w:pPr>
            <w:r w:rsidRPr="00C01B82">
              <w:rPr>
                <w:sz w:val="20"/>
              </w:rPr>
              <w:t>0.4573</w:t>
            </w:r>
          </w:p>
        </w:tc>
      </w:tr>
      <w:tr w:rsidR="007F69C2" w:rsidRPr="00C01B82" w14:paraId="3E196054" w14:textId="77777777" w:rsidTr="009F3C4C">
        <w:trPr>
          <w:trHeight w:val="113"/>
          <w:jc w:val="center"/>
        </w:trPr>
        <w:tc>
          <w:tcPr>
            <w:tcW w:w="2252" w:type="dxa"/>
          </w:tcPr>
          <w:p w14:paraId="2A220373" w14:textId="77777777" w:rsidR="007F69C2" w:rsidRPr="00C01B82" w:rsidRDefault="007F69C2" w:rsidP="009F3C4C">
            <w:pPr>
              <w:spacing w:before="0" w:after="0"/>
              <w:rPr>
                <w:sz w:val="20"/>
              </w:rPr>
            </w:pPr>
            <w:r w:rsidRPr="00C01B82">
              <w:rPr>
                <w:sz w:val="20"/>
              </w:rPr>
              <w:t>2017 vs. 2019</w:t>
            </w:r>
          </w:p>
        </w:tc>
        <w:tc>
          <w:tcPr>
            <w:tcW w:w="887" w:type="dxa"/>
          </w:tcPr>
          <w:p w14:paraId="75EB2904" w14:textId="77777777" w:rsidR="007F69C2" w:rsidRPr="00C01B82" w:rsidRDefault="007F69C2" w:rsidP="009F3C4C">
            <w:pPr>
              <w:spacing w:before="0" w:after="0"/>
              <w:rPr>
                <w:sz w:val="20"/>
              </w:rPr>
            </w:pPr>
            <w:r w:rsidRPr="00C01B82">
              <w:rPr>
                <w:sz w:val="20"/>
              </w:rPr>
              <w:t>2.1526</w:t>
            </w:r>
          </w:p>
        </w:tc>
        <w:tc>
          <w:tcPr>
            <w:tcW w:w="1073" w:type="dxa"/>
          </w:tcPr>
          <w:p w14:paraId="59918147" w14:textId="77777777" w:rsidR="007F69C2" w:rsidRPr="00C01B82" w:rsidRDefault="007F69C2" w:rsidP="009F3C4C">
            <w:pPr>
              <w:spacing w:before="0" w:after="0"/>
              <w:rPr>
                <w:sz w:val="20"/>
              </w:rPr>
            </w:pPr>
            <w:r w:rsidRPr="00C01B82">
              <w:rPr>
                <w:sz w:val="20"/>
              </w:rPr>
              <w:t>0.0637</w:t>
            </w:r>
          </w:p>
        </w:tc>
      </w:tr>
      <w:tr w:rsidR="007F69C2" w:rsidRPr="00C01B82" w14:paraId="53814ADE" w14:textId="77777777" w:rsidTr="009F3C4C">
        <w:trPr>
          <w:trHeight w:val="113"/>
          <w:jc w:val="center"/>
        </w:trPr>
        <w:tc>
          <w:tcPr>
            <w:tcW w:w="2252" w:type="dxa"/>
            <w:shd w:val="clear" w:color="auto" w:fill="auto"/>
          </w:tcPr>
          <w:p w14:paraId="6E9140B1" w14:textId="77777777" w:rsidR="007F69C2" w:rsidRPr="00C01B82" w:rsidRDefault="007F69C2" w:rsidP="009F3C4C">
            <w:pPr>
              <w:spacing w:before="0" w:after="0"/>
              <w:rPr>
                <w:sz w:val="20"/>
              </w:rPr>
            </w:pPr>
            <w:r w:rsidRPr="00C01B82">
              <w:rPr>
                <w:sz w:val="20"/>
              </w:rPr>
              <w:t>2017 vs. 2020</w:t>
            </w:r>
          </w:p>
        </w:tc>
        <w:tc>
          <w:tcPr>
            <w:tcW w:w="887" w:type="dxa"/>
            <w:shd w:val="clear" w:color="auto" w:fill="auto"/>
          </w:tcPr>
          <w:p w14:paraId="556BBFC2" w14:textId="77777777" w:rsidR="007F69C2" w:rsidRPr="00C01B82" w:rsidRDefault="007F69C2" w:rsidP="009F3C4C">
            <w:pPr>
              <w:spacing w:before="0" w:after="0"/>
              <w:rPr>
                <w:sz w:val="20"/>
              </w:rPr>
            </w:pPr>
            <w:r w:rsidRPr="00C01B82">
              <w:rPr>
                <w:sz w:val="20"/>
              </w:rPr>
              <w:t>1.8277</w:t>
            </w:r>
          </w:p>
        </w:tc>
        <w:tc>
          <w:tcPr>
            <w:tcW w:w="1073" w:type="dxa"/>
            <w:shd w:val="clear" w:color="auto" w:fill="auto"/>
          </w:tcPr>
          <w:p w14:paraId="21A86040" w14:textId="77777777" w:rsidR="007F69C2" w:rsidRPr="00C01B82" w:rsidRDefault="007F69C2" w:rsidP="009F3C4C">
            <w:pPr>
              <w:spacing w:before="0" w:after="0"/>
              <w:rPr>
                <w:sz w:val="20"/>
              </w:rPr>
            </w:pPr>
            <w:r w:rsidRPr="00C01B82">
              <w:rPr>
                <w:sz w:val="20"/>
              </w:rPr>
              <w:t>0.1044</w:t>
            </w:r>
          </w:p>
        </w:tc>
      </w:tr>
      <w:tr w:rsidR="007F69C2" w:rsidRPr="00C01B82" w14:paraId="04C1EFDA" w14:textId="77777777" w:rsidTr="009F3C4C">
        <w:trPr>
          <w:trHeight w:val="113"/>
          <w:jc w:val="center"/>
        </w:trPr>
        <w:tc>
          <w:tcPr>
            <w:tcW w:w="2252" w:type="dxa"/>
            <w:shd w:val="clear" w:color="auto" w:fill="auto"/>
          </w:tcPr>
          <w:p w14:paraId="22221BC3" w14:textId="77777777" w:rsidR="007F69C2" w:rsidRPr="00C01B82" w:rsidRDefault="007F69C2" w:rsidP="009F3C4C">
            <w:pPr>
              <w:spacing w:before="0" w:after="0"/>
              <w:rPr>
                <w:sz w:val="20"/>
              </w:rPr>
            </w:pPr>
            <w:r w:rsidRPr="00C01B82">
              <w:rPr>
                <w:sz w:val="20"/>
              </w:rPr>
              <w:t>2018 vs. 2019</w:t>
            </w:r>
          </w:p>
        </w:tc>
        <w:tc>
          <w:tcPr>
            <w:tcW w:w="887" w:type="dxa"/>
            <w:shd w:val="clear" w:color="auto" w:fill="auto"/>
          </w:tcPr>
          <w:p w14:paraId="118FDE03" w14:textId="77777777" w:rsidR="007F69C2" w:rsidRPr="00C01B82" w:rsidRDefault="007F69C2" w:rsidP="009F3C4C">
            <w:pPr>
              <w:spacing w:before="0" w:after="0"/>
              <w:rPr>
                <w:sz w:val="20"/>
              </w:rPr>
            </w:pPr>
            <w:r w:rsidRPr="00C01B82">
              <w:rPr>
                <w:sz w:val="20"/>
              </w:rPr>
              <w:t>2.8114</w:t>
            </w:r>
          </w:p>
        </w:tc>
        <w:tc>
          <w:tcPr>
            <w:tcW w:w="1073" w:type="dxa"/>
            <w:shd w:val="clear" w:color="auto" w:fill="auto"/>
          </w:tcPr>
          <w:p w14:paraId="5744C838" w14:textId="77777777" w:rsidR="007F69C2" w:rsidRPr="00C01B82" w:rsidRDefault="007F69C2" w:rsidP="009F3C4C">
            <w:pPr>
              <w:spacing w:before="0" w:after="0"/>
              <w:rPr>
                <w:sz w:val="20"/>
              </w:rPr>
            </w:pPr>
            <w:r w:rsidRPr="00C01B82">
              <w:rPr>
                <w:sz w:val="20"/>
              </w:rPr>
              <w:t>0.0145</w:t>
            </w:r>
          </w:p>
        </w:tc>
      </w:tr>
      <w:tr w:rsidR="007F69C2" w:rsidRPr="00C01B82" w14:paraId="22AAAABF" w14:textId="77777777" w:rsidTr="009F3C4C">
        <w:trPr>
          <w:trHeight w:val="113"/>
          <w:jc w:val="center"/>
        </w:trPr>
        <w:tc>
          <w:tcPr>
            <w:tcW w:w="2252" w:type="dxa"/>
            <w:shd w:val="clear" w:color="auto" w:fill="auto"/>
          </w:tcPr>
          <w:p w14:paraId="1F1B3A11" w14:textId="77777777" w:rsidR="007F69C2" w:rsidRPr="00C01B82" w:rsidRDefault="007F69C2" w:rsidP="009F3C4C">
            <w:pPr>
              <w:spacing w:before="0" w:after="0"/>
              <w:rPr>
                <w:sz w:val="20"/>
              </w:rPr>
            </w:pPr>
            <w:r w:rsidRPr="00C01B82">
              <w:rPr>
                <w:sz w:val="20"/>
              </w:rPr>
              <w:t>2018 vs. 2020</w:t>
            </w:r>
          </w:p>
        </w:tc>
        <w:tc>
          <w:tcPr>
            <w:tcW w:w="887" w:type="dxa"/>
            <w:shd w:val="clear" w:color="auto" w:fill="auto"/>
          </w:tcPr>
          <w:p w14:paraId="728F56AB" w14:textId="77777777" w:rsidR="007F69C2" w:rsidRPr="00C01B82" w:rsidRDefault="007F69C2" w:rsidP="009F3C4C">
            <w:pPr>
              <w:spacing w:before="0" w:after="0"/>
              <w:rPr>
                <w:sz w:val="20"/>
              </w:rPr>
            </w:pPr>
            <w:r w:rsidRPr="00C01B82">
              <w:rPr>
                <w:sz w:val="20"/>
              </w:rPr>
              <w:t>2.7290</w:t>
            </w:r>
          </w:p>
        </w:tc>
        <w:tc>
          <w:tcPr>
            <w:tcW w:w="1073" w:type="dxa"/>
            <w:shd w:val="clear" w:color="auto" w:fill="auto"/>
          </w:tcPr>
          <w:p w14:paraId="7FFCDCAC" w14:textId="77777777" w:rsidR="007F69C2" w:rsidRPr="00C01B82" w:rsidRDefault="007F69C2" w:rsidP="009F3C4C">
            <w:pPr>
              <w:spacing w:before="0" w:after="0"/>
              <w:rPr>
                <w:sz w:val="20"/>
              </w:rPr>
            </w:pPr>
            <w:r w:rsidRPr="00C01B82">
              <w:rPr>
                <w:sz w:val="20"/>
              </w:rPr>
              <w:t>0.0185</w:t>
            </w:r>
          </w:p>
        </w:tc>
      </w:tr>
      <w:tr w:rsidR="007F69C2" w:rsidRPr="00C01B82" w14:paraId="0E48237A" w14:textId="77777777" w:rsidTr="009F3C4C">
        <w:trPr>
          <w:trHeight w:val="113"/>
          <w:jc w:val="center"/>
        </w:trPr>
        <w:tc>
          <w:tcPr>
            <w:tcW w:w="2252" w:type="dxa"/>
            <w:tcBorders>
              <w:bottom w:val="single" w:sz="4" w:space="0" w:color="auto"/>
            </w:tcBorders>
            <w:shd w:val="clear" w:color="auto" w:fill="auto"/>
          </w:tcPr>
          <w:p w14:paraId="08652966" w14:textId="77777777" w:rsidR="007F69C2" w:rsidRPr="00C01B82" w:rsidRDefault="007F69C2" w:rsidP="009F3C4C">
            <w:pPr>
              <w:spacing w:before="0" w:after="0"/>
              <w:rPr>
                <w:sz w:val="20"/>
              </w:rPr>
            </w:pPr>
            <w:r w:rsidRPr="00C01B82">
              <w:rPr>
                <w:sz w:val="20"/>
              </w:rPr>
              <w:t>2019 vs. 2020</w:t>
            </w:r>
          </w:p>
        </w:tc>
        <w:tc>
          <w:tcPr>
            <w:tcW w:w="887" w:type="dxa"/>
            <w:tcBorders>
              <w:bottom w:val="single" w:sz="4" w:space="0" w:color="auto"/>
            </w:tcBorders>
            <w:shd w:val="clear" w:color="auto" w:fill="auto"/>
          </w:tcPr>
          <w:p w14:paraId="2BF1D086" w14:textId="77777777" w:rsidR="007F69C2" w:rsidRPr="00C01B82" w:rsidRDefault="007F69C2" w:rsidP="009F3C4C">
            <w:pPr>
              <w:spacing w:before="0" w:after="0"/>
              <w:rPr>
                <w:sz w:val="20"/>
              </w:rPr>
            </w:pPr>
            <w:r w:rsidRPr="00C01B82">
              <w:rPr>
                <w:sz w:val="20"/>
              </w:rPr>
              <w:t>0.2371</w:t>
            </w:r>
          </w:p>
        </w:tc>
        <w:tc>
          <w:tcPr>
            <w:tcW w:w="1073" w:type="dxa"/>
            <w:tcBorders>
              <w:bottom w:val="single" w:sz="4" w:space="0" w:color="auto"/>
            </w:tcBorders>
            <w:shd w:val="clear" w:color="auto" w:fill="auto"/>
          </w:tcPr>
          <w:p w14:paraId="76D96D6F" w14:textId="77777777" w:rsidR="007F69C2" w:rsidRPr="00C01B82" w:rsidRDefault="007F69C2" w:rsidP="009F3C4C">
            <w:pPr>
              <w:spacing w:before="0" w:after="0"/>
              <w:rPr>
                <w:sz w:val="20"/>
              </w:rPr>
            </w:pPr>
            <w:r w:rsidRPr="00C01B82">
              <w:rPr>
                <w:sz w:val="20"/>
              </w:rPr>
              <w:t>0.8786</w:t>
            </w:r>
          </w:p>
        </w:tc>
      </w:tr>
    </w:tbl>
    <w:p w14:paraId="3DC176D1" w14:textId="77777777" w:rsidR="007F69C2" w:rsidRDefault="007F69C2" w:rsidP="007F69C2">
      <w:bookmarkStart w:id="395" w:name="_Ref61342506"/>
    </w:p>
    <w:p w14:paraId="2E691628" w14:textId="0AC78F77" w:rsidR="007F69C2" w:rsidRDefault="007F69C2" w:rsidP="00F8184E">
      <w:pPr>
        <w:pStyle w:val="Captions"/>
        <w:rPr>
          <w:noProof/>
          <w:lang w:eastAsia="en-AU"/>
        </w:rPr>
      </w:pPr>
      <w:r>
        <w:t>Table</w:t>
      </w:r>
      <w:bookmarkEnd w:id="395"/>
      <w:r>
        <w:t xml:space="preserve"> D12</w:t>
      </w:r>
      <w:r>
        <w:rPr>
          <w:noProof/>
          <w:lang w:eastAsia="en-AU"/>
        </w:rPr>
        <w:t>. Results of the model selection procedure for linear regression models fitted to Murray cod length–weight baseline data (2004–2020).</w:t>
      </w:r>
    </w:p>
    <w:tbl>
      <w:tblPr>
        <w:tblW w:w="0" w:type="auto"/>
        <w:jc w:val="center"/>
        <w:tblLook w:val="04A0" w:firstRow="1" w:lastRow="0" w:firstColumn="1" w:lastColumn="0" w:noHBand="0" w:noVBand="1"/>
      </w:tblPr>
      <w:tblGrid>
        <w:gridCol w:w="1346"/>
        <w:gridCol w:w="1159"/>
        <w:gridCol w:w="692"/>
        <w:gridCol w:w="1159"/>
        <w:gridCol w:w="1200"/>
      </w:tblGrid>
      <w:tr w:rsidR="007F69C2" w:rsidRPr="00CD1469" w14:paraId="2742FAA8" w14:textId="77777777" w:rsidTr="009F3C4C">
        <w:trPr>
          <w:trHeight w:val="300"/>
          <w:jc w:val="center"/>
        </w:trPr>
        <w:tc>
          <w:tcPr>
            <w:tcW w:w="0" w:type="auto"/>
            <w:tcBorders>
              <w:top w:val="single" w:sz="4" w:space="0" w:color="auto"/>
              <w:left w:val="nil"/>
              <w:bottom w:val="single" w:sz="4" w:space="0" w:color="auto"/>
              <w:right w:val="nil"/>
            </w:tcBorders>
            <w:shd w:val="clear" w:color="auto" w:fill="auto"/>
            <w:noWrap/>
            <w:vAlign w:val="bottom"/>
            <w:hideMark/>
          </w:tcPr>
          <w:p w14:paraId="1083D0E7" w14:textId="77777777" w:rsidR="007F69C2" w:rsidRPr="00CD1469" w:rsidRDefault="007F69C2" w:rsidP="009F3C4C">
            <w:pPr>
              <w:spacing w:after="0" w:line="240" w:lineRule="auto"/>
              <w:jc w:val="left"/>
              <w:rPr>
                <w:b/>
                <w:sz w:val="20"/>
                <w:lang w:eastAsia="en-AU"/>
              </w:rPr>
            </w:pPr>
            <w:r w:rsidRPr="00CD1469">
              <w:rPr>
                <w:b/>
                <w:sz w:val="20"/>
                <w:lang w:eastAsia="en-AU"/>
              </w:rPr>
              <w:t>Model</w:t>
            </w:r>
          </w:p>
        </w:tc>
        <w:tc>
          <w:tcPr>
            <w:tcW w:w="0" w:type="auto"/>
            <w:tcBorders>
              <w:top w:val="single" w:sz="4" w:space="0" w:color="auto"/>
              <w:left w:val="nil"/>
              <w:bottom w:val="single" w:sz="4" w:space="0" w:color="auto"/>
              <w:right w:val="nil"/>
            </w:tcBorders>
            <w:shd w:val="clear" w:color="auto" w:fill="auto"/>
            <w:noWrap/>
            <w:vAlign w:val="bottom"/>
            <w:hideMark/>
          </w:tcPr>
          <w:p w14:paraId="2BF1F5A0" w14:textId="77777777" w:rsidR="007F69C2" w:rsidRPr="00CD1469" w:rsidRDefault="007F69C2" w:rsidP="009F3C4C">
            <w:pPr>
              <w:spacing w:after="0" w:line="240" w:lineRule="auto"/>
              <w:jc w:val="center"/>
              <w:rPr>
                <w:rFonts w:cs="Calibri"/>
                <w:b/>
                <w:sz w:val="20"/>
                <w:lang w:eastAsia="en-AU"/>
              </w:rPr>
            </w:pPr>
            <w:proofErr w:type="spellStart"/>
            <w:r w:rsidRPr="00CD1469">
              <w:rPr>
                <w:rFonts w:cs="Calibri"/>
                <w:b/>
                <w:sz w:val="20"/>
                <w:lang w:eastAsia="en-AU"/>
              </w:rPr>
              <w:t>AICc</w:t>
            </w:r>
            <w:proofErr w:type="spellEnd"/>
          </w:p>
        </w:tc>
        <w:tc>
          <w:tcPr>
            <w:tcW w:w="0" w:type="auto"/>
            <w:tcBorders>
              <w:top w:val="single" w:sz="4" w:space="0" w:color="auto"/>
              <w:left w:val="nil"/>
              <w:bottom w:val="single" w:sz="4" w:space="0" w:color="auto"/>
              <w:right w:val="nil"/>
            </w:tcBorders>
            <w:vAlign w:val="bottom"/>
          </w:tcPr>
          <w:p w14:paraId="7C68CE71" w14:textId="77777777" w:rsidR="007F69C2" w:rsidRPr="00CD1469" w:rsidRDefault="007F69C2" w:rsidP="009F3C4C">
            <w:pPr>
              <w:spacing w:after="0" w:line="240" w:lineRule="auto"/>
              <w:jc w:val="center"/>
              <w:rPr>
                <w:rFonts w:cs="Calibri"/>
                <w:b/>
                <w:sz w:val="20"/>
                <w:lang w:eastAsia="en-AU"/>
              </w:rPr>
            </w:pPr>
            <w:proofErr w:type="spellStart"/>
            <w:r w:rsidRPr="00CD1469">
              <w:rPr>
                <w:rFonts w:cs="Calibri"/>
                <w:b/>
                <w:sz w:val="20"/>
                <w:lang w:eastAsia="en-AU"/>
              </w:rPr>
              <w:t>Npar</w:t>
            </w:r>
            <w:proofErr w:type="spellEnd"/>
          </w:p>
        </w:tc>
        <w:tc>
          <w:tcPr>
            <w:tcW w:w="0" w:type="auto"/>
            <w:tcBorders>
              <w:top w:val="single" w:sz="4" w:space="0" w:color="auto"/>
              <w:left w:val="nil"/>
              <w:bottom w:val="single" w:sz="4" w:space="0" w:color="auto"/>
              <w:right w:val="nil"/>
            </w:tcBorders>
            <w:shd w:val="clear" w:color="auto" w:fill="auto"/>
            <w:noWrap/>
            <w:vAlign w:val="bottom"/>
            <w:hideMark/>
          </w:tcPr>
          <w:p w14:paraId="5BC4C4A7" w14:textId="77777777" w:rsidR="007F69C2" w:rsidRPr="00CD1469" w:rsidRDefault="007F69C2" w:rsidP="009F3C4C">
            <w:pPr>
              <w:spacing w:after="0" w:line="240" w:lineRule="auto"/>
              <w:jc w:val="center"/>
              <w:rPr>
                <w:rFonts w:cs="Calibri"/>
                <w:b/>
                <w:sz w:val="20"/>
                <w:lang w:eastAsia="en-AU"/>
              </w:rPr>
            </w:pPr>
            <w:r w:rsidRPr="00CD1469">
              <w:rPr>
                <w:rFonts w:cs="Calibri"/>
                <w:b/>
                <w:sz w:val="20"/>
                <w:lang w:eastAsia="en-AU"/>
              </w:rPr>
              <w:t>∆</w:t>
            </w:r>
            <w:proofErr w:type="spellStart"/>
            <w:r w:rsidRPr="00CD1469">
              <w:rPr>
                <w:rFonts w:cs="Calibri"/>
                <w:b/>
                <w:sz w:val="20"/>
                <w:lang w:eastAsia="en-AU"/>
              </w:rPr>
              <w:t>AICc</w:t>
            </w:r>
            <w:proofErr w:type="spellEnd"/>
          </w:p>
        </w:tc>
        <w:tc>
          <w:tcPr>
            <w:tcW w:w="0" w:type="auto"/>
            <w:tcBorders>
              <w:top w:val="single" w:sz="4" w:space="0" w:color="auto"/>
              <w:left w:val="nil"/>
              <w:bottom w:val="single" w:sz="4" w:space="0" w:color="auto"/>
              <w:right w:val="nil"/>
            </w:tcBorders>
            <w:shd w:val="clear" w:color="auto" w:fill="auto"/>
            <w:noWrap/>
            <w:vAlign w:val="bottom"/>
            <w:hideMark/>
          </w:tcPr>
          <w:p w14:paraId="26B92166" w14:textId="77777777" w:rsidR="007F69C2" w:rsidRPr="00CD1469" w:rsidRDefault="007F69C2" w:rsidP="009F3C4C">
            <w:pPr>
              <w:spacing w:after="0" w:line="240" w:lineRule="auto"/>
              <w:jc w:val="center"/>
              <w:rPr>
                <w:rFonts w:cs="Calibri"/>
                <w:b/>
                <w:sz w:val="20"/>
                <w:lang w:eastAsia="en-AU"/>
              </w:rPr>
            </w:pPr>
            <w:r w:rsidRPr="00CD1469">
              <w:rPr>
                <w:rFonts w:cs="Calibri"/>
                <w:b/>
                <w:sz w:val="20"/>
                <w:lang w:eastAsia="en-AU"/>
              </w:rPr>
              <w:t>Likelihood</w:t>
            </w:r>
          </w:p>
        </w:tc>
      </w:tr>
      <w:tr w:rsidR="007F69C2" w:rsidRPr="00CD1469" w14:paraId="25FB28D8" w14:textId="77777777" w:rsidTr="009F3C4C">
        <w:trPr>
          <w:trHeight w:val="300"/>
          <w:jc w:val="center"/>
        </w:trPr>
        <w:tc>
          <w:tcPr>
            <w:tcW w:w="0" w:type="auto"/>
            <w:tcBorders>
              <w:top w:val="single" w:sz="4" w:space="0" w:color="auto"/>
              <w:left w:val="nil"/>
              <w:right w:val="nil"/>
            </w:tcBorders>
            <w:shd w:val="clear" w:color="auto" w:fill="auto"/>
            <w:noWrap/>
            <w:vAlign w:val="bottom"/>
          </w:tcPr>
          <w:p w14:paraId="4F96C623" w14:textId="77777777" w:rsidR="007F69C2" w:rsidRPr="00CD1469" w:rsidRDefault="007F69C2" w:rsidP="009F3C4C">
            <w:pPr>
              <w:spacing w:after="0" w:line="240" w:lineRule="auto"/>
              <w:jc w:val="left"/>
              <w:rPr>
                <w:rFonts w:cs="Calibri"/>
                <w:sz w:val="20"/>
                <w:lang w:eastAsia="en-AU"/>
              </w:rPr>
            </w:pPr>
            <w:r w:rsidRPr="00CD1469">
              <w:rPr>
                <w:rFonts w:cs="Calibri"/>
                <w:sz w:val="20"/>
                <w:lang w:eastAsia="en-AU"/>
              </w:rPr>
              <w:t>Exponential</w:t>
            </w:r>
          </w:p>
        </w:tc>
        <w:tc>
          <w:tcPr>
            <w:tcW w:w="0" w:type="auto"/>
            <w:tcBorders>
              <w:top w:val="single" w:sz="4" w:space="0" w:color="auto"/>
              <w:left w:val="nil"/>
              <w:right w:val="nil"/>
            </w:tcBorders>
            <w:shd w:val="clear" w:color="auto" w:fill="auto"/>
            <w:noWrap/>
          </w:tcPr>
          <w:p w14:paraId="663C1503" w14:textId="77777777" w:rsidR="007F69C2" w:rsidRPr="00CD1469" w:rsidRDefault="007F69C2" w:rsidP="009F3C4C">
            <w:pPr>
              <w:spacing w:after="0" w:line="240" w:lineRule="auto"/>
              <w:jc w:val="center"/>
              <w:rPr>
                <w:rFonts w:cs="Calibri"/>
                <w:sz w:val="20"/>
                <w:lang w:eastAsia="en-AU"/>
              </w:rPr>
            </w:pPr>
            <w:r w:rsidRPr="00CD1469">
              <w:rPr>
                <w:sz w:val="20"/>
              </w:rPr>
              <w:t>54.9896</w:t>
            </w:r>
          </w:p>
        </w:tc>
        <w:tc>
          <w:tcPr>
            <w:tcW w:w="0" w:type="auto"/>
            <w:tcBorders>
              <w:top w:val="single" w:sz="4" w:space="0" w:color="auto"/>
              <w:left w:val="nil"/>
              <w:right w:val="nil"/>
            </w:tcBorders>
            <w:vAlign w:val="bottom"/>
          </w:tcPr>
          <w:p w14:paraId="29FF0E4D" w14:textId="77777777" w:rsidR="007F69C2" w:rsidRPr="00CD1469" w:rsidRDefault="007F69C2" w:rsidP="009F3C4C">
            <w:pPr>
              <w:spacing w:after="0" w:line="240" w:lineRule="auto"/>
              <w:jc w:val="center"/>
              <w:rPr>
                <w:rFonts w:cs="Calibri"/>
                <w:sz w:val="20"/>
                <w:lang w:eastAsia="en-AU"/>
              </w:rPr>
            </w:pPr>
            <w:r w:rsidRPr="00CD1469">
              <w:rPr>
                <w:rFonts w:cs="Calibri"/>
                <w:sz w:val="20"/>
                <w:lang w:eastAsia="en-AU"/>
              </w:rPr>
              <w:t>2</w:t>
            </w:r>
          </w:p>
        </w:tc>
        <w:tc>
          <w:tcPr>
            <w:tcW w:w="0" w:type="auto"/>
            <w:tcBorders>
              <w:top w:val="single" w:sz="4" w:space="0" w:color="auto"/>
              <w:left w:val="nil"/>
              <w:right w:val="nil"/>
            </w:tcBorders>
            <w:shd w:val="clear" w:color="auto" w:fill="auto"/>
            <w:noWrap/>
          </w:tcPr>
          <w:p w14:paraId="38D45D44" w14:textId="77777777" w:rsidR="007F69C2" w:rsidRPr="00CD1469" w:rsidRDefault="007F69C2" w:rsidP="009F3C4C">
            <w:pPr>
              <w:spacing w:after="0" w:line="240" w:lineRule="auto"/>
              <w:jc w:val="center"/>
              <w:rPr>
                <w:rFonts w:cs="Calibri"/>
                <w:sz w:val="20"/>
                <w:lang w:eastAsia="en-AU"/>
              </w:rPr>
            </w:pPr>
            <w:r w:rsidRPr="00CD1469">
              <w:rPr>
                <w:sz w:val="20"/>
              </w:rPr>
              <w:t>438.1684</w:t>
            </w:r>
          </w:p>
        </w:tc>
        <w:tc>
          <w:tcPr>
            <w:tcW w:w="0" w:type="auto"/>
            <w:tcBorders>
              <w:top w:val="single" w:sz="4" w:space="0" w:color="auto"/>
              <w:left w:val="nil"/>
              <w:right w:val="nil"/>
            </w:tcBorders>
            <w:shd w:val="clear" w:color="auto" w:fill="auto"/>
            <w:noWrap/>
            <w:vAlign w:val="bottom"/>
          </w:tcPr>
          <w:p w14:paraId="460AC382" w14:textId="77777777" w:rsidR="007F69C2" w:rsidRPr="00CD1469" w:rsidRDefault="007F69C2" w:rsidP="009F3C4C">
            <w:pPr>
              <w:spacing w:after="0" w:line="240" w:lineRule="auto"/>
              <w:jc w:val="center"/>
              <w:rPr>
                <w:rFonts w:cs="Calibri"/>
                <w:sz w:val="20"/>
                <w:lang w:eastAsia="en-AU"/>
              </w:rPr>
            </w:pPr>
            <w:r w:rsidRPr="00CD1469">
              <w:rPr>
                <w:rFonts w:cs="Calibri"/>
                <w:sz w:val="20"/>
                <w:lang w:eastAsia="en-AU"/>
              </w:rPr>
              <w:t>&lt;0.001</w:t>
            </w:r>
          </w:p>
        </w:tc>
      </w:tr>
      <w:tr w:rsidR="007F69C2" w:rsidRPr="00CD1469" w14:paraId="3980DF44" w14:textId="77777777" w:rsidTr="009F3C4C">
        <w:trPr>
          <w:trHeight w:val="300"/>
          <w:jc w:val="center"/>
        </w:trPr>
        <w:tc>
          <w:tcPr>
            <w:tcW w:w="0" w:type="auto"/>
            <w:tcBorders>
              <w:left w:val="nil"/>
              <w:right w:val="nil"/>
            </w:tcBorders>
            <w:shd w:val="clear" w:color="auto" w:fill="auto"/>
            <w:noWrap/>
            <w:vAlign w:val="bottom"/>
          </w:tcPr>
          <w:p w14:paraId="2F5ABF69" w14:textId="77777777" w:rsidR="007F69C2" w:rsidRPr="00CD1469" w:rsidRDefault="007F69C2" w:rsidP="009F3C4C">
            <w:pPr>
              <w:spacing w:after="0" w:line="240" w:lineRule="auto"/>
              <w:jc w:val="left"/>
              <w:rPr>
                <w:rFonts w:cs="Calibri"/>
                <w:sz w:val="20"/>
                <w:lang w:eastAsia="en-AU"/>
              </w:rPr>
            </w:pPr>
            <w:r w:rsidRPr="00CD1469">
              <w:rPr>
                <w:rFonts w:cs="Calibri"/>
                <w:sz w:val="20"/>
                <w:lang w:eastAsia="en-AU"/>
              </w:rPr>
              <w:t>Linear</w:t>
            </w:r>
          </w:p>
        </w:tc>
        <w:tc>
          <w:tcPr>
            <w:tcW w:w="0" w:type="auto"/>
            <w:tcBorders>
              <w:left w:val="nil"/>
              <w:right w:val="nil"/>
            </w:tcBorders>
            <w:shd w:val="clear" w:color="auto" w:fill="auto"/>
            <w:noWrap/>
          </w:tcPr>
          <w:p w14:paraId="476DE9EC" w14:textId="77777777" w:rsidR="007F69C2" w:rsidRPr="00CD1469" w:rsidRDefault="007F69C2" w:rsidP="009F3C4C">
            <w:pPr>
              <w:spacing w:after="0" w:line="240" w:lineRule="auto"/>
              <w:jc w:val="center"/>
              <w:rPr>
                <w:sz w:val="20"/>
              </w:rPr>
            </w:pPr>
            <w:r w:rsidRPr="00CD1469">
              <w:rPr>
                <w:sz w:val="20"/>
              </w:rPr>
              <w:t>1265.7601</w:t>
            </w:r>
          </w:p>
        </w:tc>
        <w:tc>
          <w:tcPr>
            <w:tcW w:w="0" w:type="auto"/>
            <w:tcBorders>
              <w:left w:val="nil"/>
              <w:right w:val="nil"/>
            </w:tcBorders>
            <w:vAlign w:val="bottom"/>
          </w:tcPr>
          <w:p w14:paraId="5EB3E736" w14:textId="77777777" w:rsidR="007F69C2" w:rsidRPr="00CD1469" w:rsidRDefault="007F69C2" w:rsidP="009F3C4C">
            <w:pPr>
              <w:spacing w:after="0" w:line="240" w:lineRule="auto"/>
              <w:jc w:val="center"/>
              <w:rPr>
                <w:rFonts w:cs="Calibri"/>
                <w:sz w:val="20"/>
                <w:lang w:eastAsia="en-AU"/>
              </w:rPr>
            </w:pPr>
            <w:r w:rsidRPr="00CD1469">
              <w:rPr>
                <w:rFonts w:cs="Calibri"/>
                <w:sz w:val="20"/>
                <w:lang w:eastAsia="en-AU"/>
              </w:rPr>
              <w:t>3</w:t>
            </w:r>
          </w:p>
        </w:tc>
        <w:tc>
          <w:tcPr>
            <w:tcW w:w="0" w:type="auto"/>
            <w:tcBorders>
              <w:left w:val="nil"/>
              <w:right w:val="nil"/>
            </w:tcBorders>
            <w:shd w:val="clear" w:color="auto" w:fill="auto"/>
            <w:noWrap/>
          </w:tcPr>
          <w:p w14:paraId="36B9F2B6" w14:textId="77777777" w:rsidR="007F69C2" w:rsidRPr="00CD1469" w:rsidRDefault="007F69C2" w:rsidP="009F3C4C">
            <w:pPr>
              <w:spacing w:after="0" w:line="240" w:lineRule="auto"/>
              <w:jc w:val="center"/>
              <w:rPr>
                <w:sz w:val="20"/>
              </w:rPr>
            </w:pPr>
            <w:r w:rsidRPr="00CD1469">
              <w:rPr>
                <w:sz w:val="20"/>
              </w:rPr>
              <w:t>1648.9389</w:t>
            </w:r>
          </w:p>
        </w:tc>
        <w:tc>
          <w:tcPr>
            <w:tcW w:w="0" w:type="auto"/>
            <w:tcBorders>
              <w:left w:val="nil"/>
              <w:right w:val="nil"/>
            </w:tcBorders>
            <w:shd w:val="clear" w:color="auto" w:fill="auto"/>
            <w:noWrap/>
            <w:vAlign w:val="bottom"/>
          </w:tcPr>
          <w:p w14:paraId="16A0FFC5" w14:textId="77777777" w:rsidR="007F69C2" w:rsidRPr="00CD1469" w:rsidRDefault="007F69C2" w:rsidP="009F3C4C">
            <w:pPr>
              <w:spacing w:after="0" w:line="240" w:lineRule="auto"/>
              <w:jc w:val="center"/>
              <w:rPr>
                <w:rFonts w:cs="Calibri"/>
                <w:sz w:val="20"/>
                <w:lang w:eastAsia="en-AU"/>
              </w:rPr>
            </w:pPr>
            <w:r w:rsidRPr="00CD1469">
              <w:rPr>
                <w:rFonts w:cs="Calibri"/>
                <w:sz w:val="20"/>
                <w:lang w:eastAsia="en-AU"/>
              </w:rPr>
              <w:t>0</w:t>
            </w:r>
          </w:p>
        </w:tc>
      </w:tr>
      <w:tr w:rsidR="007F69C2" w:rsidRPr="00CD1469" w14:paraId="3E64BBF6" w14:textId="77777777" w:rsidTr="009F3C4C">
        <w:trPr>
          <w:trHeight w:val="300"/>
          <w:jc w:val="center"/>
        </w:trPr>
        <w:tc>
          <w:tcPr>
            <w:tcW w:w="0" w:type="auto"/>
            <w:tcBorders>
              <w:top w:val="nil"/>
              <w:left w:val="nil"/>
              <w:right w:val="nil"/>
            </w:tcBorders>
            <w:shd w:val="clear" w:color="auto" w:fill="auto"/>
            <w:noWrap/>
            <w:vAlign w:val="bottom"/>
          </w:tcPr>
          <w:p w14:paraId="2001FE1C" w14:textId="77777777" w:rsidR="007F69C2" w:rsidRPr="00CD1469" w:rsidRDefault="007F69C2" w:rsidP="009F3C4C">
            <w:pPr>
              <w:spacing w:after="0" w:line="240" w:lineRule="auto"/>
              <w:jc w:val="left"/>
              <w:rPr>
                <w:rFonts w:cs="Calibri"/>
                <w:sz w:val="20"/>
                <w:lang w:eastAsia="en-AU"/>
              </w:rPr>
            </w:pPr>
            <w:r w:rsidRPr="00CD1469">
              <w:rPr>
                <w:rFonts w:cs="Calibri"/>
                <w:sz w:val="20"/>
                <w:lang w:eastAsia="en-AU"/>
              </w:rPr>
              <w:t>Cubic</w:t>
            </w:r>
          </w:p>
        </w:tc>
        <w:tc>
          <w:tcPr>
            <w:tcW w:w="0" w:type="auto"/>
            <w:tcBorders>
              <w:top w:val="nil"/>
              <w:left w:val="nil"/>
              <w:right w:val="nil"/>
            </w:tcBorders>
            <w:shd w:val="clear" w:color="auto" w:fill="auto"/>
            <w:noWrap/>
          </w:tcPr>
          <w:p w14:paraId="077E39D0" w14:textId="77777777" w:rsidR="007F69C2" w:rsidRPr="00CD1469" w:rsidRDefault="007F69C2" w:rsidP="009F3C4C">
            <w:pPr>
              <w:spacing w:after="0" w:line="240" w:lineRule="auto"/>
              <w:jc w:val="center"/>
              <w:rPr>
                <w:rFonts w:cs="Calibri"/>
                <w:sz w:val="20"/>
                <w:lang w:eastAsia="en-AU"/>
              </w:rPr>
            </w:pPr>
            <w:r w:rsidRPr="00CD1469">
              <w:rPr>
                <w:sz w:val="20"/>
              </w:rPr>
              <w:t>-383.1788</w:t>
            </w:r>
          </w:p>
        </w:tc>
        <w:tc>
          <w:tcPr>
            <w:tcW w:w="0" w:type="auto"/>
            <w:tcBorders>
              <w:top w:val="nil"/>
              <w:left w:val="nil"/>
              <w:right w:val="nil"/>
            </w:tcBorders>
            <w:vAlign w:val="bottom"/>
          </w:tcPr>
          <w:p w14:paraId="107C988A" w14:textId="77777777" w:rsidR="007F69C2" w:rsidRPr="00CD1469" w:rsidRDefault="007F69C2" w:rsidP="009F3C4C">
            <w:pPr>
              <w:spacing w:after="0" w:line="240" w:lineRule="auto"/>
              <w:jc w:val="center"/>
              <w:rPr>
                <w:rFonts w:cs="Calibri"/>
                <w:sz w:val="20"/>
                <w:lang w:eastAsia="en-AU"/>
              </w:rPr>
            </w:pPr>
            <w:r w:rsidRPr="00CD1469">
              <w:rPr>
                <w:rFonts w:cs="Calibri"/>
                <w:sz w:val="20"/>
                <w:lang w:eastAsia="en-AU"/>
              </w:rPr>
              <w:t>5</w:t>
            </w:r>
          </w:p>
        </w:tc>
        <w:tc>
          <w:tcPr>
            <w:tcW w:w="0" w:type="auto"/>
            <w:tcBorders>
              <w:top w:val="nil"/>
              <w:left w:val="nil"/>
              <w:right w:val="nil"/>
            </w:tcBorders>
            <w:shd w:val="clear" w:color="auto" w:fill="auto"/>
            <w:noWrap/>
          </w:tcPr>
          <w:p w14:paraId="16F48D8C" w14:textId="77777777" w:rsidR="007F69C2" w:rsidRPr="00CD1469" w:rsidRDefault="007F69C2" w:rsidP="009F3C4C">
            <w:pPr>
              <w:spacing w:after="0" w:line="240" w:lineRule="auto"/>
              <w:jc w:val="center"/>
              <w:rPr>
                <w:rFonts w:cs="Calibri"/>
                <w:sz w:val="20"/>
                <w:lang w:eastAsia="en-AU"/>
              </w:rPr>
            </w:pPr>
            <w:r w:rsidRPr="00CD1469">
              <w:rPr>
                <w:sz w:val="20"/>
              </w:rPr>
              <w:t>0</w:t>
            </w:r>
          </w:p>
        </w:tc>
        <w:tc>
          <w:tcPr>
            <w:tcW w:w="0" w:type="auto"/>
            <w:tcBorders>
              <w:top w:val="nil"/>
              <w:left w:val="nil"/>
              <w:right w:val="nil"/>
            </w:tcBorders>
            <w:shd w:val="clear" w:color="auto" w:fill="auto"/>
            <w:noWrap/>
            <w:vAlign w:val="bottom"/>
          </w:tcPr>
          <w:p w14:paraId="3EE6FC2A" w14:textId="77777777" w:rsidR="007F69C2" w:rsidRPr="00CD1469" w:rsidRDefault="007F69C2" w:rsidP="009F3C4C">
            <w:pPr>
              <w:spacing w:after="0" w:line="240" w:lineRule="auto"/>
              <w:jc w:val="center"/>
              <w:rPr>
                <w:rFonts w:cs="Calibri"/>
                <w:sz w:val="20"/>
                <w:lang w:eastAsia="en-AU"/>
              </w:rPr>
            </w:pPr>
            <w:r w:rsidRPr="00CD1469">
              <w:rPr>
                <w:rFonts w:cs="Calibri"/>
                <w:sz w:val="20"/>
                <w:lang w:eastAsia="en-AU"/>
              </w:rPr>
              <w:t>1</w:t>
            </w:r>
          </w:p>
        </w:tc>
      </w:tr>
      <w:tr w:rsidR="007F69C2" w:rsidRPr="00CD1469" w14:paraId="384A7A16" w14:textId="77777777" w:rsidTr="009F3C4C">
        <w:trPr>
          <w:trHeight w:val="300"/>
          <w:jc w:val="center"/>
        </w:trPr>
        <w:tc>
          <w:tcPr>
            <w:tcW w:w="0" w:type="auto"/>
            <w:tcBorders>
              <w:top w:val="nil"/>
              <w:left w:val="nil"/>
              <w:bottom w:val="single" w:sz="4" w:space="0" w:color="auto"/>
              <w:right w:val="nil"/>
            </w:tcBorders>
            <w:shd w:val="clear" w:color="auto" w:fill="auto"/>
            <w:noWrap/>
            <w:vAlign w:val="bottom"/>
            <w:hideMark/>
          </w:tcPr>
          <w:p w14:paraId="398BAB01" w14:textId="77777777" w:rsidR="007F69C2" w:rsidRPr="00CD1469" w:rsidRDefault="007F69C2" w:rsidP="009F3C4C">
            <w:pPr>
              <w:spacing w:after="0" w:line="240" w:lineRule="auto"/>
              <w:jc w:val="left"/>
              <w:rPr>
                <w:rFonts w:cs="Calibri"/>
                <w:sz w:val="20"/>
                <w:lang w:eastAsia="en-AU"/>
              </w:rPr>
            </w:pPr>
            <w:proofErr w:type="spellStart"/>
            <w:r w:rsidRPr="00CD1469">
              <w:rPr>
                <w:rFonts w:cs="Calibri"/>
                <w:sz w:val="20"/>
                <w:lang w:eastAsia="en-AU"/>
              </w:rPr>
              <w:t>Qudratic</w:t>
            </w:r>
            <w:proofErr w:type="spellEnd"/>
          </w:p>
        </w:tc>
        <w:tc>
          <w:tcPr>
            <w:tcW w:w="0" w:type="auto"/>
            <w:tcBorders>
              <w:top w:val="nil"/>
              <w:left w:val="nil"/>
              <w:bottom w:val="single" w:sz="4" w:space="0" w:color="auto"/>
              <w:right w:val="nil"/>
            </w:tcBorders>
            <w:shd w:val="clear" w:color="auto" w:fill="auto"/>
            <w:noWrap/>
            <w:hideMark/>
          </w:tcPr>
          <w:p w14:paraId="3E2C08A6" w14:textId="77777777" w:rsidR="007F69C2" w:rsidRPr="00CD1469" w:rsidRDefault="007F69C2" w:rsidP="009F3C4C">
            <w:pPr>
              <w:spacing w:after="0" w:line="240" w:lineRule="auto"/>
              <w:jc w:val="center"/>
              <w:rPr>
                <w:rFonts w:cs="Calibri"/>
                <w:sz w:val="20"/>
                <w:lang w:eastAsia="en-AU"/>
              </w:rPr>
            </w:pPr>
            <w:r w:rsidRPr="00CD1469">
              <w:rPr>
                <w:sz w:val="20"/>
              </w:rPr>
              <w:t>-23.3887</w:t>
            </w:r>
          </w:p>
        </w:tc>
        <w:tc>
          <w:tcPr>
            <w:tcW w:w="0" w:type="auto"/>
            <w:tcBorders>
              <w:top w:val="nil"/>
              <w:left w:val="nil"/>
              <w:bottom w:val="single" w:sz="4" w:space="0" w:color="auto"/>
              <w:right w:val="nil"/>
            </w:tcBorders>
            <w:vAlign w:val="bottom"/>
          </w:tcPr>
          <w:p w14:paraId="3A54A67D" w14:textId="77777777" w:rsidR="007F69C2" w:rsidRPr="00CD1469" w:rsidRDefault="007F69C2" w:rsidP="009F3C4C">
            <w:pPr>
              <w:spacing w:after="0" w:line="240" w:lineRule="auto"/>
              <w:jc w:val="center"/>
              <w:rPr>
                <w:rFonts w:cs="Calibri"/>
                <w:sz w:val="20"/>
                <w:lang w:eastAsia="en-AU"/>
              </w:rPr>
            </w:pPr>
            <w:r w:rsidRPr="00CD1469">
              <w:rPr>
                <w:rFonts w:cs="Calibri"/>
                <w:sz w:val="20"/>
                <w:lang w:eastAsia="en-AU"/>
              </w:rPr>
              <w:t>6</w:t>
            </w:r>
          </w:p>
        </w:tc>
        <w:tc>
          <w:tcPr>
            <w:tcW w:w="0" w:type="auto"/>
            <w:tcBorders>
              <w:top w:val="nil"/>
              <w:left w:val="nil"/>
              <w:bottom w:val="single" w:sz="4" w:space="0" w:color="auto"/>
              <w:right w:val="nil"/>
            </w:tcBorders>
            <w:shd w:val="clear" w:color="auto" w:fill="auto"/>
            <w:noWrap/>
            <w:hideMark/>
          </w:tcPr>
          <w:p w14:paraId="5C83EF9C" w14:textId="77777777" w:rsidR="007F69C2" w:rsidRPr="00CD1469" w:rsidRDefault="007F69C2" w:rsidP="009F3C4C">
            <w:pPr>
              <w:spacing w:after="0" w:line="240" w:lineRule="auto"/>
              <w:jc w:val="center"/>
              <w:rPr>
                <w:rFonts w:cs="Calibri"/>
                <w:sz w:val="20"/>
                <w:lang w:eastAsia="en-AU"/>
              </w:rPr>
            </w:pPr>
            <w:r w:rsidRPr="00CD1469">
              <w:rPr>
                <w:sz w:val="20"/>
              </w:rPr>
              <w:t>359.7901</w:t>
            </w:r>
          </w:p>
        </w:tc>
        <w:tc>
          <w:tcPr>
            <w:tcW w:w="0" w:type="auto"/>
            <w:tcBorders>
              <w:top w:val="nil"/>
              <w:left w:val="nil"/>
              <w:bottom w:val="single" w:sz="4" w:space="0" w:color="auto"/>
              <w:right w:val="nil"/>
            </w:tcBorders>
            <w:shd w:val="clear" w:color="auto" w:fill="auto"/>
            <w:noWrap/>
            <w:vAlign w:val="bottom"/>
            <w:hideMark/>
          </w:tcPr>
          <w:p w14:paraId="4C8C2A95" w14:textId="77777777" w:rsidR="007F69C2" w:rsidRPr="00CD1469" w:rsidRDefault="007F69C2" w:rsidP="009F3C4C">
            <w:pPr>
              <w:spacing w:after="0" w:line="240" w:lineRule="auto"/>
              <w:jc w:val="center"/>
              <w:rPr>
                <w:rFonts w:cs="Calibri"/>
                <w:sz w:val="20"/>
                <w:lang w:eastAsia="en-AU"/>
              </w:rPr>
            </w:pPr>
            <w:r w:rsidRPr="00CD1469">
              <w:rPr>
                <w:rFonts w:cs="Calibri"/>
                <w:sz w:val="20"/>
                <w:lang w:eastAsia="en-AU"/>
              </w:rPr>
              <w:t>&lt;0.001</w:t>
            </w:r>
          </w:p>
        </w:tc>
      </w:tr>
    </w:tbl>
    <w:p w14:paraId="1689BEDC" w14:textId="77777777" w:rsidR="007F69C2" w:rsidRDefault="007F69C2" w:rsidP="007F69C2">
      <w:bookmarkStart w:id="396" w:name="_Ref61342475"/>
    </w:p>
    <w:p w14:paraId="7B42E2CF" w14:textId="77777777" w:rsidR="00656EBF" w:rsidRDefault="00656EBF" w:rsidP="00F8184E">
      <w:pPr>
        <w:pStyle w:val="Captions"/>
      </w:pPr>
    </w:p>
    <w:p w14:paraId="4AC51243" w14:textId="77777777" w:rsidR="00656EBF" w:rsidRDefault="00656EBF">
      <w:pPr>
        <w:spacing w:before="0" w:after="160" w:line="259" w:lineRule="auto"/>
        <w:jc w:val="left"/>
        <w:rPr>
          <w:rFonts w:eastAsia="MS Mincho" w:cs="Arial"/>
          <w:b/>
          <w:bCs/>
          <w:color w:val="auto"/>
          <w:kern w:val="0"/>
          <w:sz w:val="20"/>
          <w:lang w:val="en-US"/>
        </w:rPr>
      </w:pPr>
      <w:r>
        <w:br w:type="page"/>
      </w:r>
    </w:p>
    <w:p w14:paraId="526EA050" w14:textId="04A1F37D" w:rsidR="007F69C2" w:rsidRDefault="007F69C2" w:rsidP="00F8184E">
      <w:pPr>
        <w:pStyle w:val="Captions"/>
        <w:rPr>
          <w:noProof/>
          <w:lang w:eastAsia="en-AU"/>
        </w:rPr>
      </w:pPr>
      <w:r>
        <w:t>Table</w:t>
      </w:r>
      <w:bookmarkEnd w:id="396"/>
      <w:r>
        <w:t xml:space="preserve"> D13</w:t>
      </w:r>
      <w:r>
        <w:rPr>
          <w:noProof/>
          <w:lang w:eastAsia="en-AU"/>
        </w:rPr>
        <w:t>. PE</w:t>
      </w:r>
      <w:r w:rsidRPr="00F2552B">
        <w:rPr>
          <w:noProof/>
          <w:lang w:eastAsia="en-AU"/>
        </w:rPr>
        <w:t>R</w:t>
      </w:r>
      <w:r>
        <w:rPr>
          <w:noProof/>
          <w:lang w:eastAsia="en-AU"/>
        </w:rPr>
        <w:t>M</w:t>
      </w:r>
      <w:r w:rsidRPr="00F2552B">
        <w:rPr>
          <w:noProof/>
          <w:lang w:eastAsia="en-AU"/>
        </w:rPr>
        <w:t>ANOVA pairwise comparisons of the relative condition index (K</w:t>
      </w:r>
      <w:r w:rsidRPr="00F2552B">
        <w:rPr>
          <w:i/>
          <w:noProof/>
          <w:lang w:eastAsia="en-AU"/>
        </w:rPr>
        <w:t>rel</w:t>
      </w:r>
      <w:r w:rsidRPr="00F2552B">
        <w:rPr>
          <w:noProof/>
          <w:lang w:eastAsia="en-AU"/>
        </w:rPr>
        <w:t>) of YOY Murray cod between years</w:t>
      </w:r>
      <w:r>
        <w:rPr>
          <w:noProof/>
          <w:lang w:eastAsia="en-AU"/>
        </w:rPr>
        <w:t xml:space="preserve"> (weir pools pooled)</w:t>
      </w:r>
      <w:r w:rsidRPr="00F2552B">
        <w:rPr>
          <w:noProof/>
          <w:lang w:eastAsia="en-AU"/>
        </w:rPr>
        <w:t xml:space="preserve">. </w:t>
      </w:r>
      <w:r w:rsidRPr="00103E89">
        <w:rPr>
          <w:noProof/>
          <w:lang w:eastAsia="en-AU"/>
        </w:rPr>
        <w:t xml:space="preserve">P-values presented in bold are significant comparisons </w:t>
      </w:r>
      <w:r>
        <w:rPr>
          <w:noProof/>
          <w:lang w:eastAsia="en-AU"/>
        </w:rPr>
        <w:t>(</w:t>
      </w:r>
      <w:r w:rsidRPr="00103E89">
        <w:rPr>
          <w:noProof/>
          <w:lang w:eastAsia="en-AU"/>
        </w:rPr>
        <w:t xml:space="preserve">α = </w:t>
      </w:r>
      <w:r>
        <w:rPr>
          <w:noProof/>
          <w:lang w:eastAsia="en-AU"/>
        </w:rPr>
        <w:t>0.05</w:t>
      </w:r>
      <w:r w:rsidRPr="00103E89">
        <w:rPr>
          <w:noProof/>
          <w:lang w:eastAsia="en-AU"/>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78"/>
        <w:gridCol w:w="2254"/>
        <w:gridCol w:w="2254"/>
      </w:tblGrid>
      <w:tr w:rsidR="007F69C2" w:rsidRPr="00C422A4" w14:paraId="5BE2CBC0" w14:textId="77777777" w:rsidTr="007F69C2">
        <w:trPr>
          <w:trHeight w:val="340"/>
          <w:tblHeader/>
          <w:jc w:val="center"/>
        </w:trPr>
        <w:tc>
          <w:tcPr>
            <w:tcW w:w="2778" w:type="dxa"/>
            <w:tcBorders>
              <w:top w:val="single" w:sz="4" w:space="0" w:color="auto"/>
              <w:bottom w:val="single" w:sz="4" w:space="0" w:color="auto"/>
            </w:tcBorders>
          </w:tcPr>
          <w:p w14:paraId="7908ED28" w14:textId="77777777" w:rsidR="007F69C2" w:rsidRPr="00661AEB" w:rsidRDefault="007F69C2" w:rsidP="009F3C4C">
            <w:pPr>
              <w:spacing w:line="240" w:lineRule="auto"/>
              <w:contextualSpacing/>
              <w:jc w:val="center"/>
              <w:rPr>
                <w:b/>
                <w:noProof/>
                <w:sz w:val="20"/>
                <w:lang w:eastAsia="en-AU"/>
              </w:rPr>
            </w:pPr>
            <w:r w:rsidRPr="00661AEB">
              <w:rPr>
                <w:b/>
                <w:noProof/>
                <w:sz w:val="20"/>
                <w:lang w:eastAsia="en-AU"/>
              </w:rPr>
              <w:t>Comparison</w:t>
            </w:r>
          </w:p>
        </w:tc>
        <w:tc>
          <w:tcPr>
            <w:tcW w:w="2254" w:type="dxa"/>
            <w:tcBorders>
              <w:top w:val="single" w:sz="4" w:space="0" w:color="auto"/>
              <w:bottom w:val="single" w:sz="4" w:space="0" w:color="auto"/>
            </w:tcBorders>
          </w:tcPr>
          <w:p w14:paraId="667F1E66" w14:textId="77777777" w:rsidR="007F69C2" w:rsidRPr="00661AEB" w:rsidRDefault="007F69C2" w:rsidP="009F3C4C">
            <w:pPr>
              <w:spacing w:line="240" w:lineRule="auto"/>
              <w:contextualSpacing/>
              <w:jc w:val="center"/>
              <w:rPr>
                <w:b/>
                <w:i/>
                <w:noProof/>
                <w:sz w:val="20"/>
                <w:lang w:eastAsia="en-AU"/>
              </w:rPr>
            </w:pPr>
            <w:r w:rsidRPr="00661AEB">
              <w:rPr>
                <w:b/>
                <w:i/>
                <w:noProof/>
                <w:sz w:val="20"/>
                <w:lang w:eastAsia="en-AU"/>
              </w:rPr>
              <w:t>t</w:t>
            </w:r>
          </w:p>
        </w:tc>
        <w:tc>
          <w:tcPr>
            <w:tcW w:w="2254" w:type="dxa"/>
            <w:tcBorders>
              <w:top w:val="single" w:sz="4" w:space="0" w:color="auto"/>
              <w:bottom w:val="single" w:sz="4" w:space="0" w:color="auto"/>
            </w:tcBorders>
          </w:tcPr>
          <w:p w14:paraId="35BE2D76" w14:textId="77777777" w:rsidR="007F69C2" w:rsidRPr="00661AEB" w:rsidRDefault="007F69C2" w:rsidP="009F3C4C">
            <w:pPr>
              <w:spacing w:line="240" w:lineRule="auto"/>
              <w:contextualSpacing/>
              <w:jc w:val="center"/>
              <w:rPr>
                <w:b/>
                <w:noProof/>
                <w:sz w:val="20"/>
                <w:lang w:eastAsia="en-AU"/>
              </w:rPr>
            </w:pPr>
            <w:r w:rsidRPr="00661AEB">
              <w:rPr>
                <w:b/>
                <w:i/>
                <w:noProof/>
                <w:sz w:val="20"/>
                <w:lang w:eastAsia="en-AU"/>
              </w:rPr>
              <w:t>p</w:t>
            </w:r>
            <w:r w:rsidRPr="00661AEB">
              <w:rPr>
                <w:b/>
                <w:noProof/>
                <w:sz w:val="20"/>
                <w:lang w:eastAsia="en-AU"/>
              </w:rPr>
              <w:t xml:space="preserve"> value</w:t>
            </w:r>
          </w:p>
        </w:tc>
      </w:tr>
      <w:tr w:rsidR="007F69C2" w14:paraId="6067E75A" w14:textId="77777777" w:rsidTr="009F3C4C">
        <w:trPr>
          <w:trHeight w:val="283"/>
          <w:jc w:val="center"/>
        </w:trPr>
        <w:tc>
          <w:tcPr>
            <w:tcW w:w="2778" w:type="dxa"/>
            <w:tcBorders>
              <w:top w:val="single" w:sz="4" w:space="0" w:color="auto"/>
            </w:tcBorders>
          </w:tcPr>
          <w:p w14:paraId="26AF7452" w14:textId="77777777" w:rsidR="007F69C2" w:rsidRPr="00C422A4" w:rsidRDefault="007F69C2" w:rsidP="009F3C4C">
            <w:pPr>
              <w:spacing w:line="240" w:lineRule="auto"/>
              <w:contextualSpacing/>
              <w:jc w:val="center"/>
              <w:rPr>
                <w:b/>
                <w:noProof/>
                <w:sz w:val="20"/>
                <w:highlight w:val="yellow"/>
                <w:lang w:eastAsia="en-AU"/>
              </w:rPr>
            </w:pPr>
            <w:r w:rsidRPr="002F0204">
              <w:t>2015, 2016</w:t>
            </w:r>
          </w:p>
        </w:tc>
        <w:tc>
          <w:tcPr>
            <w:tcW w:w="2254" w:type="dxa"/>
            <w:tcBorders>
              <w:top w:val="single" w:sz="4" w:space="0" w:color="auto"/>
            </w:tcBorders>
          </w:tcPr>
          <w:p w14:paraId="340E3306" w14:textId="77777777" w:rsidR="007F69C2" w:rsidRDefault="007F69C2" w:rsidP="009F3C4C">
            <w:pPr>
              <w:spacing w:line="240" w:lineRule="auto"/>
              <w:contextualSpacing/>
              <w:jc w:val="center"/>
              <w:rPr>
                <w:b/>
                <w:noProof/>
                <w:sz w:val="20"/>
                <w:lang w:eastAsia="en-AU"/>
              </w:rPr>
            </w:pPr>
            <w:r w:rsidRPr="00E92E89">
              <w:t>0.617</w:t>
            </w:r>
          </w:p>
        </w:tc>
        <w:tc>
          <w:tcPr>
            <w:tcW w:w="2254" w:type="dxa"/>
            <w:tcBorders>
              <w:top w:val="single" w:sz="4" w:space="0" w:color="auto"/>
            </w:tcBorders>
          </w:tcPr>
          <w:p w14:paraId="1FC840BA" w14:textId="77777777" w:rsidR="007F69C2" w:rsidRDefault="007F69C2" w:rsidP="009F3C4C">
            <w:pPr>
              <w:spacing w:line="240" w:lineRule="auto"/>
              <w:contextualSpacing/>
              <w:jc w:val="center"/>
              <w:rPr>
                <w:b/>
                <w:noProof/>
                <w:sz w:val="20"/>
                <w:lang w:eastAsia="en-AU"/>
              </w:rPr>
            </w:pPr>
            <w:r w:rsidRPr="00E92E89">
              <w:t>0.543</w:t>
            </w:r>
          </w:p>
        </w:tc>
      </w:tr>
      <w:tr w:rsidR="007F69C2" w14:paraId="26C56C7F" w14:textId="77777777" w:rsidTr="009F3C4C">
        <w:trPr>
          <w:trHeight w:val="283"/>
          <w:jc w:val="center"/>
        </w:trPr>
        <w:tc>
          <w:tcPr>
            <w:tcW w:w="2778" w:type="dxa"/>
          </w:tcPr>
          <w:p w14:paraId="0D2341FD" w14:textId="77777777" w:rsidR="007F69C2" w:rsidRPr="00C422A4" w:rsidRDefault="007F69C2" w:rsidP="009F3C4C">
            <w:pPr>
              <w:spacing w:line="240" w:lineRule="auto"/>
              <w:contextualSpacing/>
              <w:jc w:val="center"/>
              <w:rPr>
                <w:b/>
                <w:noProof/>
                <w:sz w:val="20"/>
                <w:highlight w:val="yellow"/>
                <w:lang w:eastAsia="en-AU"/>
              </w:rPr>
            </w:pPr>
            <w:r w:rsidRPr="002F0204">
              <w:t>2015, 2017</w:t>
            </w:r>
          </w:p>
        </w:tc>
        <w:tc>
          <w:tcPr>
            <w:tcW w:w="2254" w:type="dxa"/>
          </w:tcPr>
          <w:p w14:paraId="1CA735AB" w14:textId="77777777" w:rsidR="007F69C2" w:rsidRDefault="007F69C2" w:rsidP="009F3C4C">
            <w:pPr>
              <w:spacing w:line="240" w:lineRule="auto"/>
              <w:contextualSpacing/>
              <w:jc w:val="center"/>
              <w:rPr>
                <w:b/>
                <w:noProof/>
                <w:sz w:val="20"/>
                <w:lang w:eastAsia="en-AU"/>
              </w:rPr>
            </w:pPr>
            <w:r w:rsidRPr="00E92E89">
              <w:t>2.849</w:t>
            </w:r>
          </w:p>
        </w:tc>
        <w:tc>
          <w:tcPr>
            <w:tcW w:w="2254" w:type="dxa"/>
          </w:tcPr>
          <w:p w14:paraId="55C2A1C9" w14:textId="77777777" w:rsidR="007F69C2" w:rsidRPr="00E55BFA" w:rsidRDefault="007F69C2" w:rsidP="009F3C4C">
            <w:pPr>
              <w:spacing w:line="240" w:lineRule="auto"/>
              <w:contextualSpacing/>
              <w:jc w:val="center"/>
              <w:rPr>
                <w:b/>
                <w:bCs/>
                <w:noProof/>
                <w:sz w:val="20"/>
                <w:lang w:eastAsia="en-AU"/>
              </w:rPr>
            </w:pPr>
            <w:r w:rsidRPr="00E55BFA">
              <w:rPr>
                <w:b/>
                <w:bCs/>
              </w:rPr>
              <w:t>0.016</w:t>
            </w:r>
          </w:p>
        </w:tc>
      </w:tr>
      <w:tr w:rsidR="007F69C2" w14:paraId="46EBE242" w14:textId="77777777" w:rsidTr="009F3C4C">
        <w:trPr>
          <w:trHeight w:val="283"/>
          <w:jc w:val="center"/>
        </w:trPr>
        <w:tc>
          <w:tcPr>
            <w:tcW w:w="2778" w:type="dxa"/>
          </w:tcPr>
          <w:p w14:paraId="7EDFFAC2" w14:textId="77777777" w:rsidR="007F69C2" w:rsidRPr="00C422A4" w:rsidRDefault="007F69C2" w:rsidP="009F3C4C">
            <w:pPr>
              <w:spacing w:line="240" w:lineRule="auto"/>
              <w:contextualSpacing/>
              <w:jc w:val="center"/>
              <w:rPr>
                <w:b/>
                <w:noProof/>
                <w:sz w:val="20"/>
                <w:highlight w:val="yellow"/>
                <w:lang w:eastAsia="en-AU"/>
              </w:rPr>
            </w:pPr>
            <w:r w:rsidRPr="002F0204">
              <w:t>2015, 2018</w:t>
            </w:r>
          </w:p>
        </w:tc>
        <w:tc>
          <w:tcPr>
            <w:tcW w:w="2254" w:type="dxa"/>
          </w:tcPr>
          <w:p w14:paraId="71A3CE46" w14:textId="77777777" w:rsidR="007F69C2" w:rsidRDefault="007F69C2" w:rsidP="009F3C4C">
            <w:pPr>
              <w:spacing w:line="240" w:lineRule="auto"/>
              <w:contextualSpacing/>
              <w:jc w:val="center"/>
              <w:rPr>
                <w:b/>
                <w:noProof/>
                <w:sz w:val="20"/>
                <w:lang w:eastAsia="en-AU"/>
              </w:rPr>
            </w:pPr>
            <w:r w:rsidRPr="00E92E89">
              <w:t>0.452</w:t>
            </w:r>
          </w:p>
        </w:tc>
        <w:tc>
          <w:tcPr>
            <w:tcW w:w="2254" w:type="dxa"/>
          </w:tcPr>
          <w:p w14:paraId="342D3F8D" w14:textId="77777777" w:rsidR="007F69C2" w:rsidRPr="00661AEB" w:rsidRDefault="007F69C2" w:rsidP="009F3C4C">
            <w:pPr>
              <w:spacing w:line="240" w:lineRule="auto"/>
              <w:contextualSpacing/>
              <w:jc w:val="center"/>
              <w:rPr>
                <w:noProof/>
                <w:sz w:val="20"/>
                <w:lang w:eastAsia="en-AU"/>
              </w:rPr>
            </w:pPr>
            <w:r w:rsidRPr="00E92E89">
              <w:t>0.656</w:t>
            </w:r>
          </w:p>
        </w:tc>
      </w:tr>
      <w:tr w:rsidR="007F69C2" w14:paraId="2A6C266D" w14:textId="77777777" w:rsidTr="009F3C4C">
        <w:trPr>
          <w:trHeight w:val="283"/>
          <w:jc w:val="center"/>
        </w:trPr>
        <w:tc>
          <w:tcPr>
            <w:tcW w:w="2778" w:type="dxa"/>
          </w:tcPr>
          <w:p w14:paraId="6253D63E" w14:textId="77777777" w:rsidR="007F69C2" w:rsidRPr="00C422A4" w:rsidRDefault="007F69C2" w:rsidP="009F3C4C">
            <w:pPr>
              <w:spacing w:line="240" w:lineRule="auto"/>
              <w:contextualSpacing/>
              <w:jc w:val="center"/>
              <w:rPr>
                <w:b/>
                <w:noProof/>
                <w:sz w:val="20"/>
                <w:highlight w:val="yellow"/>
                <w:lang w:eastAsia="en-AU"/>
              </w:rPr>
            </w:pPr>
            <w:r w:rsidRPr="002F0204">
              <w:t>2015, 2019</w:t>
            </w:r>
          </w:p>
        </w:tc>
        <w:tc>
          <w:tcPr>
            <w:tcW w:w="2254" w:type="dxa"/>
          </w:tcPr>
          <w:p w14:paraId="454EE150" w14:textId="77777777" w:rsidR="007F69C2" w:rsidRDefault="007F69C2" w:rsidP="009F3C4C">
            <w:pPr>
              <w:spacing w:line="240" w:lineRule="auto"/>
              <w:contextualSpacing/>
              <w:jc w:val="center"/>
              <w:rPr>
                <w:b/>
                <w:noProof/>
                <w:sz w:val="20"/>
                <w:lang w:eastAsia="en-AU"/>
              </w:rPr>
            </w:pPr>
            <w:r w:rsidRPr="00E92E89">
              <w:t>1.909</w:t>
            </w:r>
          </w:p>
        </w:tc>
        <w:tc>
          <w:tcPr>
            <w:tcW w:w="2254" w:type="dxa"/>
          </w:tcPr>
          <w:p w14:paraId="7E269D44" w14:textId="77777777" w:rsidR="007F69C2" w:rsidRPr="00661AEB" w:rsidRDefault="007F69C2" w:rsidP="009F3C4C">
            <w:pPr>
              <w:spacing w:line="240" w:lineRule="auto"/>
              <w:contextualSpacing/>
              <w:jc w:val="center"/>
              <w:rPr>
                <w:noProof/>
                <w:sz w:val="20"/>
                <w:lang w:eastAsia="en-AU"/>
              </w:rPr>
            </w:pPr>
            <w:r w:rsidRPr="00E92E89">
              <w:t>0.067</w:t>
            </w:r>
          </w:p>
        </w:tc>
      </w:tr>
      <w:tr w:rsidR="007F69C2" w14:paraId="06ED815F" w14:textId="77777777" w:rsidTr="009F3C4C">
        <w:trPr>
          <w:trHeight w:val="283"/>
          <w:jc w:val="center"/>
        </w:trPr>
        <w:tc>
          <w:tcPr>
            <w:tcW w:w="2778" w:type="dxa"/>
          </w:tcPr>
          <w:p w14:paraId="120AECA8" w14:textId="77777777" w:rsidR="007F69C2" w:rsidRPr="00C422A4" w:rsidRDefault="007F69C2" w:rsidP="009F3C4C">
            <w:pPr>
              <w:spacing w:line="240" w:lineRule="auto"/>
              <w:contextualSpacing/>
              <w:jc w:val="center"/>
              <w:rPr>
                <w:b/>
                <w:noProof/>
                <w:sz w:val="20"/>
                <w:highlight w:val="yellow"/>
                <w:lang w:eastAsia="en-AU"/>
              </w:rPr>
            </w:pPr>
            <w:r w:rsidRPr="002F0204">
              <w:t>2015, 2020</w:t>
            </w:r>
          </w:p>
        </w:tc>
        <w:tc>
          <w:tcPr>
            <w:tcW w:w="2254" w:type="dxa"/>
          </w:tcPr>
          <w:p w14:paraId="4825A054" w14:textId="77777777" w:rsidR="007F69C2" w:rsidRDefault="007F69C2" w:rsidP="009F3C4C">
            <w:pPr>
              <w:spacing w:line="240" w:lineRule="auto"/>
              <w:contextualSpacing/>
              <w:jc w:val="center"/>
              <w:rPr>
                <w:b/>
                <w:noProof/>
                <w:sz w:val="20"/>
                <w:lang w:eastAsia="en-AU"/>
              </w:rPr>
            </w:pPr>
            <w:r w:rsidRPr="00E92E89">
              <w:t>0.492</w:t>
            </w:r>
          </w:p>
        </w:tc>
        <w:tc>
          <w:tcPr>
            <w:tcW w:w="2254" w:type="dxa"/>
          </w:tcPr>
          <w:p w14:paraId="6684924D" w14:textId="77777777" w:rsidR="007F69C2" w:rsidRPr="00661AEB" w:rsidRDefault="007F69C2" w:rsidP="009F3C4C">
            <w:pPr>
              <w:spacing w:line="240" w:lineRule="auto"/>
              <w:contextualSpacing/>
              <w:jc w:val="center"/>
              <w:rPr>
                <w:noProof/>
                <w:sz w:val="20"/>
                <w:lang w:eastAsia="en-AU"/>
              </w:rPr>
            </w:pPr>
            <w:r w:rsidRPr="00E92E89">
              <w:t>0.623</w:t>
            </w:r>
          </w:p>
        </w:tc>
      </w:tr>
      <w:tr w:rsidR="007F69C2" w14:paraId="335538E5" w14:textId="77777777" w:rsidTr="009F3C4C">
        <w:trPr>
          <w:trHeight w:val="283"/>
          <w:jc w:val="center"/>
        </w:trPr>
        <w:tc>
          <w:tcPr>
            <w:tcW w:w="2778" w:type="dxa"/>
          </w:tcPr>
          <w:p w14:paraId="6088D47B" w14:textId="77777777" w:rsidR="007F69C2" w:rsidRPr="00C422A4" w:rsidRDefault="007F69C2" w:rsidP="009F3C4C">
            <w:pPr>
              <w:spacing w:line="240" w:lineRule="auto"/>
              <w:contextualSpacing/>
              <w:jc w:val="center"/>
              <w:rPr>
                <w:b/>
                <w:noProof/>
                <w:sz w:val="20"/>
                <w:highlight w:val="yellow"/>
                <w:lang w:eastAsia="en-AU"/>
              </w:rPr>
            </w:pPr>
            <w:r w:rsidRPr="002F0204">
              <w:t>2016, 2017</w:t>
            </w:r>
          </w:p>
        </w:tc>
        <w:tc>
          <w:tcPr>
            <w:tcW w:w="2254" w:type="dxa"/>
          </w:tcPr>
          <w:p w14:paraId="7C4C4AA5" w14:textId="77777777" w:rsidR="007F69C2" w:rsidRDefault="007F69C2" w:rsidP="009F3C4C">
            <w:pPr>
              <w:spacing w:line="240" w:lineRule="auto"/>
              <w:contextualSpacing/>
              <w:jc w:val="center"/>
              <w:rPr>
                <w:b/>
                <w:noProof/>
                <w:sz w:val="20"/>
                <w:lang w:eastAsia="en-AU"/>
              </w:rPr>
            </w:pPr>
            <w:r w:rsidRPr="00E92E89">
              <w:t>2.615</w:t>
            </w:r>
          </w:p>
        </w:tc>
        <w:tc>
          <w:tcPr>
            <w:tcW w:w="2254" w:type="dxa"/>
          </w:tcPr>
          <w:p w14:paraId="15D8A596" w14:textId="77777777" w:rsidR="007F69C2" w:rsidRPr="00E55BFA" w:rsidRDefault="007F69C2" w:rsidP="009F3C4C">
            <w:pPr>
              <w:spacing w:line="240" w:lineRule="auto"/>
              <w:contextualSpacing/>
              <w:jc w:val="center"/>
              <w:rPr>
                <w:b/>
                <w:bCs/>
                <w:noProof/>
                <w:sz w:val="20"/>
                <w:lang w:eastAsia="en-AU"/>
              </w:rPr>
            </w:pPr>
            <w:r w:rsidRPr="00E55BFA">
              <w:rPr>
                <w:b/>
                <w:bCs/>
              </w:rPr>
              <w:t>0.028</w:t>
            </w:r>
          </w:p>
        </w:tc>
      </w:tr>
      <w:tr w:rsidR="007F69C2" w14:paraId="58AB74FD" w14:textId="77777777" w:rsidTr="009F3C4C">
        <w:trPr>
          <w:trHeight w:val="283"/>
          <w:jc w:val="center"/>
        </w:trPr>
        <w:tc>
          <w:tcPr>
            <w:tcW w:w="2778" w:type="dxa"/>
          </w:tcPr>
          <w:p w14:paraId="67747504" w14:textId="77777777" w:rsidR="007F69C2" w:rsidRPr="00C422A4" w:rsidRDefault="007F69C2" w:rsidP="009F3C4C">
            <w:pPr>
              <w:spacing w:line="240" w:lineRule="auto"/>
              <w:contextualSpacing/>
              <w:jc w:val="center"/>
              <w:rPr>
                <w:b/>
                <w:noProof/>
                <w:sz w:val="20"/>
                <w:highlight w:val="yellow"/>
                <w:lang w:eastAsia="en-AU"/>
              </w:rPr>
            </w:pPr>
            <w:r w:rsidRPr="002F0204">
              <w:t>2016, 2018</w:t>
            </w:r>
          </w:p>
        </w:tc>
        <w:tc>
          <w:tcPr>
            <w:tcW w:w="2254" w:type="dxa"/>
          </w:tcPr>
          <w:p w14:paraId="79BA13C2" w14:textId="77777777" w:rsidR="007F69C2" w:rsidRDefault="007F69C2" w:rsidP="009F3C4C">
            <w:pPr>
              <w:spacing w:line="240" w:lineRule="auto"/>
              <w:contextualSpacing/>
              <w:jc w:val="center"/>
              <w:rPr>
                <w:b/>
                <w:noProof/>
                <w:sz w:val="20"/>
                <w:lang w:eastAsia="en-AU"/>
              </w:rPr>
            </w:pPr>
            <w:r w:rsidRPr="00E92E89">
              <w:t>1.213</w:t>
            </w:r>
          </w:p>
        </w:tc>
        <w:tc>
          <w:tcPr>
            <w:tcW w:w="2254" w:type="dxa"/>
          </w:tcPr>
          <w:p w14:paraId="7294FC99" w14:textId="77777777" w:rsidR="007F69C2" w:rsidRPr="00661AEB" w:rsidRDefault="007F69C2" w:rsidP="009F3C4C">
            <w:pPr>
              <w:spacing w:line="240" w:lineRule="auto"/>
              <w:contextualSpacing/>
              <w:jc w:val="center"/>
              <w:rPr>
                <w:noProof/>
                <w:sz w:val="20"/>
                <w:lang w:eastAsia="en-AU"/>
              </w:rPr>
            </w:pPr>
            <w:r w:rsidRPr="00E92E89">
              <w:t>0.244</w:t>
            </w:r>
          </w:p>
        </w:tc>
      </w:tr>
      <w:tr w:rsidR="007F69C2" w14:paraId="53091362" w14:textId="77777777" w:rsidTr="009F3C4C">
        <w:trPr>
          <w:trHeight w:val="283"/>
          <w:jc w:val="center"/>
        </w:trPr>
        <w:tc>
          <w:tcPr>
            <w:tcW w:w="2778" w:type="dxa"/>
          </w:tcPr>
          <w:p w14:paraId="44B3EE0B" w14:textId="77777777" w:rsidR="007F69C2" w:rsidRPr="00C422A4" w:rsidRDefault="007F69C2" w:rsidP="009F3C4C">
            <w:pPr>
              <w:spacing w:line="240" w:lineRule="auto"/>
              <w:contextualSpacing/>
              <w:jc w:val="center"/>
              <w:rPr>
                <w:b/>
                <w:noProof/>
                <w:sz w:val="20"/>
                <w:highlight w:val="yellow"/>
                <w:lang w:eastAsia="en-AU"/>
              </w:rPr>
            </w:pPr>
            <w:r w:rsidRPr="002F0204">
              <w:t>2016, 2019</w:t>
            </w:r>
          </w:p>
        </w:tc>
        <w:tc>
          <w:tcPr>
            <w:tcW w:w="2254" w:type="dxa"/>
          </w:tcPr>
          <w:p w14:paraId="45BFF78F" w14:textId="77777777" w:rsidR="007F69C2" w:rsidRDefault="007F69C2" w:rsidP="009F3C4C">
            <w:pPr>
              <w:spacing w:line="240" w:lineRule="auto"/>
              <w:contextualSpacing/>
              <w:jc w:val="center"/>
              <w:rPr>
                <w:b/>
                <w:noProof/>
                <w:sz w:val="20"/>
                <w:lang w:eastAsia="en-AU"/>
              </w:rPr>
            </w:pPr>
            <w:r w:rsidRPr="00E92E89">
              <w:t>0.838</w:t>
            </w:r>
          </w:p>
        </w:tc>
        <w:tc>
          <w:tcPr>
            <w:tcW w:w="2254" w:type="dxa"/>
          </w:tcPr>
          <w:p w14:paraId="70890170" w14:textId="77777777" w:rsidR="007F69C2" w:rsidRPr="00661AEB" w:rsidRDefault="007F69C2" w:rsidP="009F3C4C">
            <w:pPr>
              <w:spacing w:line="240" w:lineRule="auto"/>
              <w:contextualSpacing/>
              <w:jc w:val="center"/>
              <w:rPr>
                <w:noProof/>
                <w:sz w:val="20"/>
                <w:lang w:eastAsia="en-AU"/>
              </w:rPr>
            </w:pPr>
            <w:r w:rsidRPr="00E92E89">
              <w:t>0.410</w:t>
            </w:r>
          </w:p>
        </w:tc>
      </w:tr>
      <w:tr w:rsidR="007F69C2" w14:paraId="425B2DB2" w14:textId="77777777" w:rsidTr="009F3C4C">
        <w:trPr>
          <w:trHeight w:val="283"/>
          <w:jc w:val="center"/>
        </w:trPr>
        <w:tc>
          <w:tcPr>
            <w:tcW w:w="2778" w:type="dxa"/>
          </w:tcPr>
          <w:p w14:paraId="1E396D72" w14:textId="77777777" w:rsidR="007F69C2" w:rsidRPr="00C422A4" w:rsidRDefault="007F69C2" w:rsidP="009F3C4C">
            <w:pPr>
              <w:spacing w:line="240" w:lineRule="auto"/>
              <w:contextualSpacing/>
              <w:jc w:val="center"/>
              <w:rPr>
                <w:b/>
                <w:noProof/>
                <w:sz w:val="20"/>
                <w:highlight w:val="yellow"/>
                <w:lang w:eastAsia="en-AU"/>
              </w:rPr>
            </w:pPr>
            <w:r w:rsidRPr="002F0204">
              <w:t>2016, 2020</w:t>
            </w:r>
          </w:p>
        </w:tc>
        <w:tc>
          <w:tcPr>
            <w:tcW w:w="2254" w:type="dxa"/>
          </w:tcPr>
          <w:p w14:paraId="1C2875E6" w14:textId="77777777" w:rsidR="007F69C2" w:rsidRDefault="007F69C2" w:rsidP="009F3C4C">
            <w:pPr>
              <w:spacing w:line="240" w:lineRule="auto"/>
              <w:contextualSpacing/>
              <w:jc w:val="center"/>
              <w:rPr>
                <w:b/>
                <w:noProof/>
                <w:sz w:val="20"/>
                <w:lang w:eastAsia="en-AU"/>
              </w:rPr>
            </w:pPr>
            <w:r w:rsidRPr="00E92E89">
              <w:t>0.084</w:t>
            </w:r>
          </w:p>
        </w:tc>
        <w:tc>
          <w:tcPr>
            <w:tcW w:w="2254" w:type="dxa"/>
          </w:tcPr>
          <w:p w14:paraId="573FB6F8" w14:textId="77777777" w:rsidR="007F69C2" w:rsidRPr="00661AEB" w:rsidRDefault="007F69C2" w:rsidP="009F3C4C">
            <w:pPr>
              <w:spacing w:line="240" w:lineRule="auto"/>
              <w:contextualSpacing/>
              <w:jc w:val="center"/>
              <w:rPr>
                <w:noProof/>
                <w:sz w:val="20"/>
                <w:lang w:eastAsia="en-AU"/>
              </w:rPr>
            </w:pPr>
            <w:r w:rsidRPr="00E92E89">
              <w:t>0.933</w:t>
            </w:r>
          </w:p>
        </w:tc>
      </w:tr>
      <w:tr w:rsidR="007F69C2" w14:paraId="256640C1" w14:textId="77777777" w:rsidTr="009F3C4C">
        <w:trPr>
          <w:trHeight w:val="283"/>
          <w:jc w:val="center"/>
        </w:trPr>
        <w:tc>
          <w:tcPr>
            <w:tcW w:w="2778" w:type="dxa"/>
          </w:tcPr>
          <w:p w14:paraId="3EF4EB31" w14:textId="77777777" w:rsidR="007F69C2" w:rsidRPr="00C422A4" w:rsidRDefault="007F69C2" w:rsidP="009F3C4C">
            <w:pPr>
              <w:spacing w:line="240" w:lineRule="auto"/>
              <w:contextualSpacing/>
              <w:jc w:val="center"/>
              <w:rPr>
                <w:b/>
                <w:noProof/>
                <w:sz w:val="20"/>
                <w:highlight w:val="yellow"/>
                <w:lang w:eastAsia="en-AU"/>
              </w:rPr>
            </w:pPr>
            <w:r w:rsidRPr="002F0204">
              <w:t>2017, 2018</w:t>
            </w:r>
          </w:p>
        </w:tc>
        <w:tc>
          <w:tcPr>
            <w:tcW w:w="2254" w:type="dxa"/>
          </w:tcPr>
          <w:p w14:paraId="54EF955C" w14:textId="77777777" w:rsidR="007F69C2" w:rsidRDefault="007F69C2" w:rsidP="009F3C4C">
            <w:pPr>
              <w:spacing w:line="240" w:lineRule="auto"/>
              <w:contextualSpacing/>
              <w:jc w:val="center"/>
              <w:rPr>
                <w:b/>
                <w:noProof/>
                <w:sz w:val="20"/>
                <w:lang w:eastAsia="en-AU"/>
              </w:rPr>
            </w:pPr>
            <w:r w:rsidRPr="00E92E89">
              <w:t>3.613</w:t>
            </w:r>
          </w:p>
        </w:tc>
        <w:tc>
          <w:tcPr>
            <w:tcW w:w="2254" w:type="dxa"/>
          </w:tcPr>
          <w:p w14:paraId="0641CD1B" w14:textId="77777777" w:rsidR="007F69C2" w:rsidRPr="00683073" w:rsidRDefault="007F69C2" w:rsidP="009F3C4C">
            <w:pPr>
              <w:spacing w:line="240" w:lineRule="auto"/>
              <w:contextualSpacing/>
              <w:jc w:val="center"/>
              <w:rPr>
                <w:b/>
                <w:bCs/>
                <w:noProof/>
                <w:sz w:val="20"/>
                <w:lang w:eastAsia="en-AU"/>
              </w:rPr>
            </w:pPr>
            <w:r w:rsidRPr="00683073">
              <w:rPr>
                <w:b/>
                <w:bCs/>
              </w:rPr>
              <w:t>0.004</w:t>
            </w:r>
          </w:p>
        </w:tc>
      </w:tr>
      <w:tr w:rsidR="007F69C2" w14:paraId="3C0CB1FE" w14:textId="77777777" w:rsidTr="009F3C4C">
        <w:trPr>
          <w:trHeight w:val="283"/>
          <w:jc w:val="center"/>
        </w:trPr>
        <w:tc>
          <w:tcPr>
            <w:tcW w:w="2778" w:type="dxa"/>
          </w:tcPr>
          <w:p w14:paraId="5ECEEB93" w14:textId="77777777" w:rsidR="007F69C2" w:rsidRPr="00C422A4" w:rsidRDefault="007F69C2" w:rsidP="009F3C4C">
            <w:pPr>
              <w:spacing w:line="240" w:lineRule="auto"/>
              <w:contextualSpacing/>
              <w:jc w:val="center"/>
              <w:rPr>
                <w:b/>
                <w:noProof/>
                <w:sz w:val="20"/>
                <w:highlight w:val="yellow"/>
                <w:lang w:eastAsia="en-AU"/>
              </w:rPr>
            </w:pPr>
            <w:r w:rsidRPr="002F0204">
              <w:t>2017, 2019</w:t>
            </w:r>
          </w:p>
        </w:tc>
        <w:tc>
          <w:tcPr>
            <w:tcW w:w="2254" w:type="dxa"/>
          </w:tcPr>
          <w:p w14:paraId="433060D6" w14:textId="77777777" w:rsidR="007F69C2" w:rsidRDefault="007F69C2" w:rsidP="009F3C4C">
            <w:pPr>
              <w:spacing w:line="240" w:lineRule="auto"/>
              <w:contextualSpacing/>
              <w:jc w:val="center"/>
              <w:rPr>
                <w:b/>
                <w:noProof/>
                <w:sz w:val="20"/>
                <w:lang w:eastAsia="en-AU"/>
              </w:rPr>
            </w:pPr>
            <w:r w:rsidRPr="00E92E89">
              <w:t>1.713</w:t>
            </w:r>
          </w:p>
        </w:tc>
        <w:tc>
          <w:tcPr>
            <w:tcW w:w="2254" w:type="dxa"/>
          </w:tcPr>
          <w:p w14:paraId="31FFC3F1" w14:textId="77777777" w:rsidR="007F69C2" w:rsidRPr="00661AEB" w:rsidRDefault="007F69C2" w:rsidP="009F3C4C">
            <w:pPr>
              <w:spacing w:line="240" w:lineRule="auto"/>
              <w:contextualSpacing/>
              <w:jc w:val="center"/>
              <w:rPr>
                <w:noProof/>
                <w:sz w:val="20"/>
                <w:lang w:eastAsia="en-AU"/>
              </w:rPr>
            </w:pPr>
            <w:r w:rsidRPr="00E92E89">
              <w:t>0.098</w:t>
            </w:r>
          </w:p>
        </w:tc>
      </w:tr>
      <w:tr w:rsidR="007F69C2" w14:paraId="5C34317D" w14:textId="77777777" w:rsidTr="009F3C4C">
        <w:trPr>
          <w:trHeight w:val="283"/>
          <w:jc w:val="center"/>
        </w:trPr>
        <w:tc>
          <w:tcPr>
            <w:tcW w:w="2778" w:type="dxa"/>
          </w:tcPr>
          <w:p w14:paraId="4E153504" w14:textId="77777777" w:rsidR="007F69C2" w:rsidRPr="00C422A4" w:rsidRDefault="007F69C2" w:rsidP="009F3C4C">
            <w:pPr>
              <w:spacing w:line="240" w:lineRule="auto"/>
              <w:contextualSpacing/>
              <w:jc w:val="center"/>
              <w:rPr>
                <w:b/>
                <w:noProof/>
                <w:sz w:val="20"/>
                <w:highlight w:val="yellow"/>
                <w:lang w:eastAsia="en-AU"/>
              </w:rPr>
            </w:pPr>
            <w:r w:rsidRPr="002F0204">
              <w:t>2017, 2020</w:t>
            </w:r>
          </w:p>
        </w:tc>
        <w:tc>
          <w:tcPr>
            <w:tcW w:w="2254" w:type="dxa"/>
          </w:tcPr>
          <w:p w14:paraId="1E9FA8D5" w14:textId="77777777" w:rsidR="007F69C2" w:rsidRDefault="007F69C2" w:rsidP="009F3C4C">
            <w:pPr>
              <w:spacing w:line="240" w:lineRule="auto"/>
              <w:contextualSpacing/>
              <w:jc w:val="center"/>
              <w:rPr>
                <w:b/>
                <w:noProof/>
                <w:sz w:val="20"/>
                <w:lang w:eastAsia="en-AU"/>
              </w:rPr>
            </w:pPr>
            <w:r w:rsidRPr="00E92E89">
              <w:t>2.255</w:t>
            </w:r>
          </w:p>
        </w:tc>
        <w:tc>
          <w:tcPr>
            <w:tcW w:w="2254" w:type="dxa"/>
          </w:tcPr>
          <w:p w14:paraId="6E1CA6B4" w14:textId="77777777" w:rsidR="007F69C2" w:rsidRPr="00E55BFA" w:rsidRDefault="007F69C2" w:rsidP="009F3C4C">
            <w:pPr>
              <w:spacing w:line="240" w:lineRule="auto"/>
              <w:contextualSpacing/>
              <w:jc w:val="center"/>
              <w:rPr>
                <w:b/>
                <w:bCs/>
                <w:noProof/>
                <w:sz w:val="20"/>
                <w:lang w:eastAsia="en-AU"/>
              </w:rPr>
            </w:pPr>
            <w:r w:rsidRPr="00E55BFA">
              <w:rPr>
                <w:b/>
                <w:bCs/>
              </w:rPr>
              <w:t>0.028</w:t>
            </w:r>
          </w:p>
        </w:tc>
      </w:tr>
      <w:tr w:rsidR="007F69C2" w14:paraId="4B78BBF0" w14:textId="77777777" w:rsidTr="009F3C4C">
        <w:trPr>
          <w:trHeight w:val="283"/>
          <w:jc w:val="center"/>
        </w:trPr>
        <w:tc>
          <w:tcPr>
            <w:tcW w:w="2778" w:type="dxa"/>
          </w:tcPr>
          <w:p w14:paraId="595B6A0A" w14:textId="77777777" w:rsidR="007F69C2" w:rsidRPr="00C422A4" w:rsidRDefault="007F69C2" w:rsidP="009F3C4C">
            <w:pPr>
              <w:spacing w:line="240" w:lineRule="auto"/>
              <w:contextualSpacing/>
              <w:jc w:val="center"/>
              <w:rPr>
                <w:b/>
                <w:noProof/>
                <w:sz w:val="20"/>
                <w:highlight w:val="yellow"/>
                <w:lang w:eastAsia="en-AU"/>
              </w:rPr>
            </w:pPr>
            <w:r w:rsidRPr="002F0204">
              <w:t>2018, 2019</w:t>
            </w:r>
          </w:p>
        </w:tc>
        <w:tc>
          <w:tcPr>
            <w:tcW w:w="2254" w:type="dxa"/>
          </w:tcPr>
          <w:p w14:paraId="22FFF579" w14:textId="77777777" w:rsidR="007F69C2" w:rsidRDefault="007F69C2" w:rsidP="009F3C4C">
            <w:pPr>
              <w:spacing w:line="240" w:lineRule="auto"/>
              <w:contextualSpacing/>
              <w:jc w:val="center"/>
              <w:rPr>
                <w:b/>
                <w:noProof/>
                <w:sz w:val="20"/>
                <w:lang w:eastAsia="en-AU"/>
              </w:rPr>
            </w:pPr>
            <w:r w:rsidRPr="00E92E89">
              <w:t>2.762</w:t>
            </w:r>
          </w:p>
        </w:tc>
        <w:tc>
          <w:tcPr>
            <w:tcW w:w="2254" w:type="dxa"/>
          </w:tcPr>
          <w:p w14:paraId="5078F5C1" w14:textId="77777777" w:rsidR="007F69C2" w:rsidRPr="00683073" w:rsidRDefault="007F69C2" w:rsidP="009F3C4C">
            <w:pPr>
              <w:spacing w:line="240" w:lineRule="auto"/>
              <w:contextualSpacing/>
              <w:jc w:val="center"/>
              <w:rPr>
                <w:b/>
                <w:bCs/>
                <w:noProof/>
                <w:sz w:val="20"/>
                <w:lang w:eastAsia="en-AU"/>
              </w:rPr>
            </w:pPr>
            <w:r w:rsidRPr="00683073">
              <w:rPr>
                <w:b/>
                <w:bCs/>
              </w:rPr>
              <w:t>0.008</w:t>
            </w:r>
          </w:p>
        </w:tc>
      </w:tr>
      <w:tr w:rsidR="007F69C2" w14:paraId="4024FC66" w14:textId="77777777" w:rsidTr="009F3C4C">
        <w:trPr>
          <w:trHeight w:val="283"/>
          <w:jc w:val="center"/>
        </w:trPr>
        <w:tc>
          <w:tcPr>
            <w:tcW w:w="2778" w:type="dxa"/>
          </w:tcPr>
          <w:p w14:paraId="71CEC352" w14:textId="77777777" w:rsidR="007F69C2" w:rsidRPr="00C422A4" w:rsidRDefault="007F69C2" w:rsidP="009F3C4C">
            <w:pPr>
              <w:spacing w:line="240" w:lineRule="auto"/>
              <w:contextualSpacing/>
              <w:jc w:val="center"/>
              <w:rPr>
                <w:b/>
                <w:noProof/>
                <w:sz w:val="20"/>
                <w:highlight w:val="yellow"/>
                <w:lang w:eastAsia="en-AU"/>
              </w:rPr>
            </w:pPr>
            <w:r w:rsidRPr="002F0204">
              <w:t>2018, 2020</w:t>
            </w:r>
          </w:p>
        </w:tc>
        <w:tc>
          <w:tcPr>
            <w:tcW w:w="2254" w:type="dxa"/>
          </w:tcPr>
          <w:p w14:paraId="24281887" w14:textId="77777777" w:rsidR="007F69C2" w:rsidRDefault="007F69C2" w:rsidP="009F3C4C">
            <w:pPr>
              <w:spacing w:line="240" w:lineRule="auto"/>
              <w:contextualSpacing/>
              <w:jc w:val="center"/>
              <w:rPr>
                <w:b/>
                <w:noProof/>
                <w:sz w:val="20"/>
                <w:lang w:eastAsia="en-AU"/>
              </w:rPr>
            </w:pPr>
            <w:r w:rsidRPr="00E92E89">
              <w:t>1.029</w:t>
            </w:r>
          </w:p>
        </w:tc>
        <w:tc>
          <w:tcPr>
            <w:tcW w:w="2254" w:type="dxa"/>
          </w:tcPr>
          <w:p w14:paraId="3141B0B6" w14:textId="77777777" w:rsidR="007F69C2" w:rsidRDefault="007F69C2" w:rsidP="009F3C4C">
            <w:pPr>
              <w:spacing w:line="240" w:lineRule="auto"/>
              <w:contextualSpacing/>
              <w:jc w:val="center"/>
              <w:rPr>
                <w:b/>
                <w:noProof/>
                <w:sz w:val="20"/>
                <w:lang w:eastAsia="en-AU"/>
              </w:rPr>
            </w:pPr>
            <w:r w:rsidRPr="00E92E89">
              <w:t>0.315</w:t>
            </w:r>
          </w:p>
        </w:tc>
      </w:tr>
      <w:tr w:rsidR="007F69C2" w14:paraId="1726556A" w14:textId="77777777" w:rsidTr="009F3C4C">
        <w:trPr>
          <w:trHeight w:val="283"/>
          <w:jc w:val="center"/>
        </w:trPr>
        <w:tc>
          <w:tcPr>
            <w:tcW w:w="2778" w:type="dxa"/>
            <w:tcBorders>
              <w:bottom w:val="single" w:sz="4" w:space="0" w:color="auto"/>
            </w:tcBorders>
          </w:tcPr>
          <w:p w14:paraId="65F3BD6E" w14:textId="77777777" w:rsidR="007F69C2" w:rsidRPr="00C422A4" w:rsidRDefault="007F69C2" w:rsidP="009F3C4C">
            <w:pPr>
              <w:spacing w:line="240" w:lineRule="auto"/>
              <w:contextualSpacing/>
              <w:jc w:val="center"/>
              <w:rPr>
                <w:b/>
                <w:noProof/>
                <w:sz w:val="20"/>
                <w:highlight w:val="yellow"/>
                <w:lang w:eastAsia="en-AU"/>
              </w:rPr>
            </w:pPr>
            <w:r w:rsidRPr="002F0204">
              <w:t>2019, 2020</w:t>
            </w:r>
          </w:p>
        </w:tc>
        <w:tc>
          <w:tcPr>
            <w:tcW w:w="2254" w:type="dxa"/>
            <w:tcBorders>
              <w:bottom w:val="single" w:sz="4" w:space="0" w:color="auto"/>
            </w:tcBorders>
          </w:tcPr>
          <w:p w14:paraId="52B6FFC6" w14:textId="77777777" w:rsidR="007F69C2" w:rsidRDefault="007F69C2" w:rsidP="009F3C4C">
            <w:pPr>
              <w:spacing w:line="240" w:lineRule="auto"/>
              <w:contextualSpacing/>
              <w:jc w:val="center"/>
              <w:rPr>
                <w:b/>
                <w:noProof/>
                <w:sz w:val="20"/>
                <w:lang w:eastAsia="en-AU"/>
              </w:rPr>
            </w:pPr>
            <w:r w:rsidRPr="00E92E89">
              <w:t>1.763</w:t>
            </w:r>
          </w:p>
        </w:tc>
        <w:tc>
          <w:tcPr>
            <w:tcW w:w="2254" w:type="dxa"/>
            <w:tcBorders>
              <w:bottom w:val="single" w:sz="4" w:space="0" w:color="auto"/>
            </w:tcBorders>
          </w:tcPr>
          <w:p w14:paraId="517F2E76" w14:textId="77777777" w:rsidR="007F69C2" w:rsidRDefault="007F69C2" w:rsidP="009F3C4C">
            <w:pPr>
              <w:spacing w:line="240" w:lineRule="auto"/>
              <w:contextualSpacing/>
              <w:jc w:val="center"/>
              <w:rPr>
                <w:b/>
                <w:noProof/>
                <w:sz w:val="20"/>
                <w:lang w:eastAsia="en-AU"/>
              </w:rPr>
            </w:pPr>
            <w:r w:rsidRPr="00E92E89">
              <w:t>0.082</w:t>
            </w:r>
          </w:p>
        </w:tc>
      </w:tr>
    </w:tbl>
    <w:p w14:paraId="04325D93" w14:textId="77777777" w:rsidR="009A4875" w:rsidRDefault="009A4875" w:rsidP="009A4875">
      <w:bookmarkStart w:id="397" w:name="_Ref63949008"/>
    </w:p>
    <w:p w14:paraId="758BCD3C" w14:textId="20CC99AA" w:rsidR="009A4875" w:rsidRDefault="009A4875" w:rsidP="00F8184E">
      <w:pPr>
        <w:pStyle w:val="Captions"/>
        <w:rPr>
          <w:noProof/>
          <w:lang w:eastAsia="en-AU"/>
        </w:rPr>
      </w:pPr>
      <w:r>
        <w:t>Table</w:t>
      </w:r>
      <w:bookmarkEnd w:id="397"/>
      <w:r>
        <w:t xml:space="preserve"> D14</w:t>
      </w:r>
      <w:r>
        <w:rPr>
          <w:noProof/>
          <w:lang w:eastAsia="en-AU"/>
        </w:rPr>
        <w:t>. Results of the model selection procedure for linear regression models fitted to 2019-20 Murray cod age–length data.</w:t>
      </w:r>
    </w:p>
    <w:tbl>
      <w:tblPr>
        <w:tblW w:w="0" w:type="auto"/>
        <w:jc w:val="center"/>
        <w:tblLook w:val="04A0" w:firstRow="1" w:lastRow="0" w:firstColumn="1" w:lastColumn="0" w:noHBand="0" w:noVBand="1"/>
      </w:tblPr>
      <w:tblGrid>
        <w:gridCol w:w="1706"/>
        <w:gridCol w:w="937"/>
        <w:gridCol w:w="692"/>
        <w:gridCol w:w="857"/>
        <w:gridCol w:w="1200"/>
      </w:tblGrid>
      <w:tr w:rsidR="009A4875" w:rsidRPr="00A30C06" w14:paraId="682CC368" w14:textId="77777777" w:rsidTr="009F3C4C">
        <w:trPr>
          <w:trHeight w:val="300"/>
          <w:jc w:val="center"/>
        </w:trPr>
        <w:tc>
          <w:tcPr>
            <w:tcW w:w="0" w:type="auto"/>
            <w:tcBorders>
              <w:top w:val="single" w:sz="4" w:space="0" w:color="auto"/>
              <w:left w:val="nil"/>
              <w:bottom w:val="single" w:sz="4" w:space="0" w:color="auto"/>
              <w:right w:val="nil"/>
            </w:tcBorders>
            <w:shd w:val="clear" w:color="auto" w:fill="auto"/>
            <w:noWrap/>
            <w:vAlign w:val="bottom"/>
            <w:hideMark/>
          </w:tcPr>
          <w:p w14:paraId="0F4D6BC3" w14:textId="77777777" w:rsidR="009A4875" w:rsidRPr="00A30C06" w:rsidRDefault="009A4875" w:rsidP="009F3C4C">
            <w:pPr>
              <w:spacing w:after="0" w:line="240" w:lineRule="auto"/>
              <w:jc w:val="left"/>
              <w:rPr>
                <w:b/>
                <w:sz w:val="20"/>
                <w:szCs w:val="21"/>
                <w:lang w:eastAsia="en-AU"/>
              </w:rPr>
            </w:pPr>
            <w:r w:rsidRPr="00A30C06">
              <w:rPr>
                <w:b/>
                <w:sz w:val="20"/>
                <w:szCs w:val="21"/>
                <w:lang w:eastAsia="en-AU"/>
              </w:rPr>
              <w:t>Model</w:t>
            </w:r>
          </w:p>
        </w:tc>
        <w:tc>
          <w:tcPr>
            <w:tcW w:w="0" w:type="auto"/>
            <w:tcBorders>
              <w:top w:val="single" w:sz="4" w:space="0" w:color="auto"/>
              <w:left w:val="nil"/>
              <w:bottom w:val="single" w:sz="4" w:space="0" w:color="auto"/>
              <w:right w:val="nil"/>
            </w:tcBorders>
            <w:shd w:val="clear" w:color="auto" w:fill="auto"/>
            <w:noWrap/>
            <w:vAlign w:val="bottom"/>
            <w:hideMark/>
          </w:tcPr>
          <w:p w14:paraId="282BE026" w14:textId="77777777" w:rsidR="009A4875" w:rsidRPr="00A30C06" w:rsidRDefault="009A4875" w:rsidP="009F3C4C">
            <w:pPr>
              <w:spacing w:after="0" w:line="240" w:lineRule="auto"/>
              <w:jc w:val="center"/>
              <w:rPr>
                <w:rFonts w:cs="Calibri"/>
                <w:b/>
                <w:noProof/>
                <w:sz w:val="20"/>
                <w:szCs w:val="21"/>
                <w:lang w:eastAsia="en-AU"/>
              </w:rPr>
            </w:pPr>
            <w:r w:rsidRPr="00A30C06">
              <w:rPr>
                <w:rFonts w:cs="Calibri"/>
                <w:b/>
                <w:noProof/>
                <w:sz w:val="20"/>
                <w:szCs w:val="21"/>
                <w:lang w:eastAsia="en-AU"/>
              </w:rPr>
              <w:t>AICc</w:t>
            </w:r>
          </w:p>
        </w:tc>
        <w:tc>
          <w:tcPr>
            <w:tcW w:w="0" w:type="auto"/>
            <w:tcBorders>
              <w:top w:val="single" w:sz="4" w:space="0" w:color="auto"/>
              <w:left w:val="nil"/>
              <w:bottom w:val="single" w:sz="4" w:space="0" w:color="auto"/>
              <w:right w:val="nil"/>
            </w:tcBorders>
            <w:vAlign w:val="bottom"/>
          </w:tcPr>
          <w:p w14:paraId="3642D025" w14:textId="77777777" w:rsidR="009A4875" w:rsidRPr="00A30C06" w:rsidRDefault="009A4875" w:rsidP="009F3C4C">
            <w:pPr>
              <w:spacing w:after="0" w:line="240" w:lineRule="auto"/>
              <w:jc w:val="center"/>
              <w:rPr>
                <w:rFonts w:cs="Calibri"/>
                <w:b/>
                <w:sz w:val="20"/>
                <w:szCs w:val="21"/>
                <w:lang w:eastAsia="en-AU"/>
              </w:rPr>
            </w:pPr>
            <w:proofErr w:type="spellStart"/>
            <w:r w:rsidRPr="00A30C06">
              <w:rPr>
                <w:rFonts w:cs="Calibri"/>
                <w:b/>
                <w:sz w:val="20"/>
                <w:szCs w:val="21"/>
                <w:lang w:eastAsia="en-AU"/>
              </w:rPr>
              <w:t>Npar</w:t>
            </w:r>
            <w:proofErr w:type="spellEnd"/>
          </w:p>
        </w:tc>
        <w:tc>
          <w:tcPr>
            <w:tcW w:w="0" w:type="auto"/>
            <w:tcBorders>
              <w:top w:val="single" w:sz="4" w:space="0" w:color="auto"/>
              <w:left w:val="nil"/>
              <w:bottom w:val="single" w:sz="4" w:space="0" w:color="auto"/>
              <w:right w:val="nil"/>
            </w:tcBorders>
            <w:shd w:val="clear" w:color="auto" w:fill="auto"/>
            <w:noWrap/>
            <w:vAlign w:val="bottom"/>
            <w:hideMark/>
          </w:tcPr>
          <w:p w14:paraId="3C37FA14" w14:textId="77777777" w:rsidR="009A4875" w:rsidRPr="00A30C06" w:rsidRDefault="009A4875" w:rsidP="009F3C4C">
            <w:pPr>
              <w:spacing w:after="0" w:line="240" w:lineRule="auto"/>
              <w:jc w:val="center"/>
              <w:rPr>
                <w:rFonts w:cs="Calibri"/>
                <w:b/>
                <w:sz w:val="20"/>
                <w:szCs w:val="21"/>
                <w:lang w:eastAsia="en-AU"/>
              </w:rPr>
            </w:pPr>
            <w:r w:rsidRPr="00A30C06">
              <w:rPr>
                <w:rFonts w:cs="Calibri"/>
                <w:b/>
                <w:sz w:val="20"/>
                <w:szCs w:val="21"/>
                <w:lang w:eastAsia="en-AU"/>
              </w:rPr>
              <w:t>∆</w:t>
            </w:r>
            <w:proofErr w:type="spellStart"/>
            <w:r w:rsidRPr="00A30C06">
              <w:rPr>
                <w:rFonts w:cs="Calibri"/>
                <w:b/>
                <w:sz w:val="20"/>
                <w:szCs w:val="21"/>
                <w:lang w:eastAsia="en-AU"/>
              </w:rPr>
              <w:t>AICc</w:t>
            </w:r>
            <w:proofErr w:type="spellEnd"/>
          </w:p>
        </w:tc>
        <w:tc>
          <w:tcPr>
            <w:tcW w:w="0" w:type="auto"/>
            <w:tcBorders>
              <w:top w:val="single" w:sz="4" w:space="0" w:color="auto"/>
              <w:left w:val="nil"/>
              <w:bottom w:val="single" w:sz="4" w:space="0" w:color="auto"/>
              <w:right w:val="nil"/>
            </w:tcBorders>
            <w:shd w:val="clear" w:color="auto" w:fill="auto"/>
            <w:noWrap/>
            <w:vAlign w:val="bottom"/>
            <w:hideMark/>
          </w:tcPr>
          <w:p w14:paraId="4A81948D" w14:textId="77777777" w:rsidR="009A4875" w:rsidRPr="00A30C06" w:rsidRDefault="009A4875" w:rsidP="009F3C4C">
            <w:pPr>
              <w:spacing w:after="0" w:line="240" w:lineRule="auto"/>
              <w:jc w:val="center"/>
              <w:rPr>
                <w:rFonts w:cs="Calibri"/>
                <w:b/>
                <w:sz w:val="20"/>
                <w:szCs w:val="21"/>
                <w:lang w:eastAsia="en-AU"/>
              </w:rPr>
            </w:pPr>
            <w:r w:rsidRPr="00A30C06">
              <w:rPr>
                <w:rFonts w:cs="Calibri"/>
                <w:b/>
                <w:sz w:val="20"/>
                <w:szCs w:val="21"/>
                <w:lang w:eastAsia="en-AU"/>
              </w:rPr>
              <w:t>Likelihood</w:t>
            </w:r>
          </w:p>
        </w:tc>
      </w:tr>
      <w:tr w:rsidR="009A4875" w:rsidRPr="00A30C06" w14:paraId="1CE4B211" w14:textId="77777777" w:rsidTr="009F3C4C">
        <w:trPr>
          <w:trHeight w:val="300"/>
          <w:jc w:val="center"/>
        </w:trPr>
        <w:tc>
          <w:tcPr>
            <w:tcW w:w="0" w:type="auto"/>
            <w:tcBorders>
              <w:top w:val="single" w:sz="4" w:space="0" w:color="auto"/>
              <w:left w:val="nil"/>
              <w:bottom w:val="nil"/>
              <w:right w:val="nil"/>
            </w:tcBorders>
            <w:shd w:val="clear" w:color="auto" w:fill="auto"/>
            <w:noWrap/>
            <w:vAlign w:val="bottom"/>
          </w:tcPr>
          <w:p w14:paraId="185152FC" w14:textId="77777777" w:rsidR="009A4875" w:rsidRPr="00A30C06" w:rsidRDefault="009A4875" w:rsidP="009F3C4C">
            <w:pPr>
              <w:spacing w:after="0" w:line="240" w:lineRule="auto"/>
              <w:jc w:val="left"/>
              <w:rPr>
                <w:rFonts w:cs="Calibri"/>
                <w:sz w:val="20"/>
                <w:szCs w:val="21"/>
                <w:lang w:eastAsia="en-AU"/>
              </w:rPr>
            </w:pPr>
            <w:r w:rsidRPr="00A30C06">
              <w:rPr>
                <w:rFonts w:cs="Calibri"/>
                <w:sz w:val="20"/>
                <w:szCs w:val="21"/>
                <w:lang w:eastAsia="en-AU"/>
              </w:rPr>
              <w:t>Linear</w:t>
            </w:r>
          </w:p>
        </w:tc>
        <w:tc>
          <w:tcPr>
            <w:tcW w:w="0" w:type="auto"/>
            <w:tcBorders>
              <w:top w:val="single" w:sz="4" w:space="0" w:color="auto"/>
              <w:left w:val="nil"/>
              <w:bottom w:val="nil"/>
              <w:right w:val="nil"/>
            </w:tcBorders>
            <w:shd w:val="clear" w:color="auto" w:fill="auto"/>
            <w:noWrap/>
            <w:vAlign w:val="bottom"/>
          </w:tcPr>
          <w:p w14:paraId="02E95E19" w14:textId="77777777" w:rsidR="009A4875" w:rsidRPr="00A30C06" w:rsidRDefault="009A4875" w:rsidP="009F3C4C">
            <w:pPr>
              <w:spacing w:after="0" w:line="240" w:lineRule="auto"/>
              <w:jc w:val="center"/>
              <w:rPr>
                <w:rFonts w:cs="Calibri"/>
                <w:sz w:val="20"/>
                <w:szCs w:val="21"/>
                <w:lang w:eastAsia="en-AU"/>
              </w:rPr>
            </w:pPr>
            <w:r w:rsidRPr="00A30C06">
              <w:rPr>
                <w:rFonts w:cs="Calibri"/>
                <w:sz w:val="20"/>
                <w:szCs w:val="21"/>
                <w:lang w:eastAsia="en-AU"/>
              </w:rPr>
              <w:t>283.977</w:t>
            </w:r>
          </w:p>
        </w:tc>
        <w:tc>
          <w:tcPr>
            <w:tcW w:w="0" w:type="auto"/>
            <w:tcBorders>
              <w:top w:val="single" w:sz="4" w:space="0" w:color="auto"/>
              <w:left w:val="nil"/>
              <w:bottom w:val="nil"/>
              <w:right w:val="nil"/>
            </w:tcBorders>
            <w:vAlign w:val="bottom"/>
          </w:tcPr>
          <w:p w14:paraId="4DCBA2AC" w14:textId="77777777" w:rsidR="009A4875" w:rsidRPr="00A30C06" w:rsidRDefault="009A4875" w:rsidP="009F3C4C">
            <w:pPr>
              <w:spacing w:after="0" w:line="240" w:lineRule="auto"/>
              <w:jc w:val="center"/>
              <w:rPr>
                <w:rFonts w:cs="Calibri"/>
                <w:sz w:val="20"/>
                <w:szCs w:val="21"/>
                <w:lang w:eastAsia="en-AU"/>
              </w:rPr>
            </w:pPr>
            <w:r w:rsidRPr="00A30C06">
              <w:rPr>
                <w:rFonts w:cs="Calibri"/>
                <w:sz w:val="20"/>
                <w:szCs w:val="21"/>
                <w:lang w:eastAsia="en-AU"/>
              </w:rPr>
              <w:t>1</w:t>
            </w:r>
          </w:p>
        </w:tc>
        <w:tc>
          <w:tcPr>
            <w:tcW w:w="0" w:type="auto"/>
            <w:tcBorders>
              <w:top w:val="single" w:sz="4" w:space="0" w:color="auto"/>
              <w:left w:val="nil"/>
              <w:bottom w:val="nil"/>
              <w:right w:val="nil"/>
            </w:tcBorders>
            <w:shd w:val="clear" w:color="auto" w:fill="auto"/>
            <w:noWrap/>
          </w:tcPr>
          <w:p w14:paraId="182C862B" w14:textId="77777777" w:rsidR="009A4875" w:rsidRPr="00A30C06" w:rsidRDefault="009A4875" w:rsidP="009F3C4C">
            <w:pPr>
              <w:spacing w:after="0" w:line="240" w:lineRule="auto"/>
              <w:jc w:val="center"/>
              <w:rPr>
                <w:rFonts w:cs="Calibri"/>
                <w:sz w:val="20"/>
                <w:szCs w:val="21"/>
                <w:lang w:eastAsia="en-AU"/>
              </w:rPr>
            </w:pPr>
            <w:r w:rsidRPr="00A30C06">
              <w:t>6.0812</w:t>
            </w:r>
          </w:p>
        </w:tc>
        <w:tc>
          <w:tcPr>
            <w:tcW w:w="0" w:type="auto"/>
            <w:tcBorders>
              <w:top w:val="single" w:sz="4" w:space="0" w:color="auto"/>
              <w:left w:val="nil"/>
              <w:bottom w:val="nil"/>
              <w:right w:val="nil"/>
            </w:tcBorders>
            <w:shd w:val="clear" w:color="auto" w:fill="auto"/>
            <w:noWrap/>
          </w:tcPr>
          <w:p w14:paraId="7F23D664" w14:textId="77777777" w:rsidR="009A4875" w:rsidRPr="00A30C06" w:rsidRDefault="009A4875" w:rsidP="009F3C4C">
            <w:pPr>
              <w:spacing w:after="0" w:line="240" w:lineRule="auto"/>
              <w:jc w:val="center"/>
              <w:rPr>
                <w:rFonts w:cs="Calibri"/>
                <w:sz w:val="20"/>
                <w:szCs w:val="21"/>
                <w:lang w:eastAsia="en-AU"/>
              </w:rPr>
            </w:pPr>
            <w:r w:rsidRPr="00A30C06">
              <w:t>0.044</w:t>
            </w:r>
          </w:p>
        </w:tc>
      </w:tr>
      <w:tr w:rsidR="009A4875" w:rsidRPr="00A30C06" w14:paraId="5B0373E2" w14:textId="77777777" w:rsidTr="009F3C4C">
        <w:trPr>
          <w:trHeight w:val="300"/>
          <w:jc w:val="center"/>
        </w:trPr>
        <w:tc>
          <w:tcPr>
            <w:tcW w:w="0" w:type="auto"/>
            <w:tcBorders>
              <w:top w:val="nil"/>
              <w:left w:val="nil"/>
              <w:right w:val="nil"/>
            </w:tcBorders>
            <w:shd w:val="clear" w:color="auto" w:fill="auto"/>
            <w:noWrap/>
            <w:vAlign w:val="bottom"/>
          </w:tcPr>
          <w:p w14:paraId="0C8FF3D8" w14:textId="77777777" w:rsidR="009A4875" w:rsidRPr="00A30C06" w:rsidRDefault="009A4875" w:rsidP="009F3C4C">
            <w:pPr>
              <w:spacing w:after="0" w:line="240" w:lineRule="auto"/>
              <w:jc w:val="left"/>
              <w:rPr>
                <w:rFonts w:cs="Calibri"/>
                <w:sz w:val="20"/>
                <w:szCs w:val="21"/>
                <w:lang w:eastAsia="en-AU"/>
              </w:rPr>
            </w:pPr>
            <w:proofErr w:type="spellStart"/>
            <w:r w:rsidRPr="00A30C06">
              <w:rPr>
                <w:rFonts w:cs="Calibri"/>
                <w:sz w:val="20"/>
                <w:szCs w:val="21"/>
                <w:lang w:eastAsia="en-AU"/>
              </w:rPr>
              <w:t>Gompertz</w:t>
            </w:r>
            <w:proofErr w:type="spellEnd"/>
          </w:p>
        </w:tc>
        <w:tc>
          <w:tcPr>
            <w:tcW w:w="0" w:type="auto"/>
            <w:tcBorders>
              <w:top w:val="nil"/>
              <w:left w:val="nil"/>
              <w:right w:val="nil"/>
            </w:tcBorders>
            <w:shd w:val="clear" w:color="auto" w:fill="auto"/>
            <w:noWrap/>
            <w:vAlign w:val="bottom"/>
          </w:tcPr>
          <w:p w14:paraId="098A6BC1" w14:textId="77777777" w:rsidR="009A4875" w:rsidRPr="00A30C06" w:rsidRDefault="009A4875" w:rsidP="009F3C4C">
            <w:pPr>
              <w:spacing w:after="0" w:line="240" w:lineRule="auto"/>
              <w:jc w:val="center"/>
              <w:rPr>
                <w:rFonts w:cs="Calibri"/>
                <w:sz w:val="20"/>
                <w:szCs w:val="21"/>
                <w:lang w:eastAsia="en-AU"/>
              </w:rPr>
            </w:pPr>
            <w:r w:rsidRPr="00A30C06">
              <w:rPr>
                <w:rFonts w:cs="Calibri"/>
                <w:sz w:val="20"/>
                <w:szCs w:val="21"/>
                <w:lang w:eastAsia="en-AU"/>
              </w:rPr>
              <w:t>277.896</w:t>
            </w:r>
          </w:p>
        </w:tc>
        <w:tc>
          <w:tcPr>
            <w:tcW w:w="0" w:type="auto"/>
            <w:tcBorders>
              <w:top w:val="nil"/>
              <w:left w:val="nil"/>
              <w:right w:val="nil"/>
            </w:tcBorders>
            <w:vAlign w:val="bottom"/>
          </w:tcPr>
          <w:p w14:paraId="1E548D21" w14:textId="77777777" w:rsidR="009A4875" w:rsidRPr="00A30C06" w:rsidRDefault="009A4875" w:rsidP="009F3C4C">
            <w:pPr>
              <w:spacing w:after="0" w:line="240" w:lineRule="auto"/>
              <w:jc w:val="center"/>
              <w:rPr>
                <w:rFonts w:cs="Calibri"/>
                <w:sz w:val="20"/>
                <w:szCs w:val="21"/>
                <w:lang w:eastAsia="en-AU"/>
              </w:rPr>
            </w:pPr>
            <w:r w:rsidRPr="00A30C06">
              <w:rPr>
                <w:rFonts w:cs="Calibri"/>
                <w:sz w:val="20"/>
                <w:szCs w:val="21"/>
                <w:lang w:eastAsia="en-AU"/>
              </w:rPr>
              <w:t>3</w:t>
            </w:r>
          </w:p>
        </w:tc>
        <w:tc>
          <w:tcPr>
            <w:tcW w:w="0" w:type="auto"/>
            <w:tcBorders>
              <w:top w:val="nil"/>
              <w:left w:val="nil"/>
              <w:right w:val="nil"/>
            </w:tcBorders>
            <w:shd w:val="clear" w:color="auto" w:fill="auto"/>
            <w:noWrap/>
          </w:tcPr>
          <w:p w14:paraId="2CB6DF71" w14:textId="77777777" w:rsidR="009A4875" w:rsidRPr="00A30C06" w:rsidRDefault="009A4875" w:rsidP="009F3C4C">
            <w:pPr>
              <w:spacing w:after="0" w:line="240" w:lineRule="auto"/>
              <w:jc w:val="center"/>
              <w:rPr>
                <w:rFonts w:cs="Calibri"/>
                <w:sz w:val="20"/>
                <w:szCs w:val="21"/>
                <w:lang w:eastAsia="en-AU"/>
              </w:rPr>
            </w:pPr>
            <w:r w:rsidRPr="00A30C06">
              <w:t>0</w:t>
            </w:r>
          </w:p>
        </w:tc>
        <w:tc>
          <w:tcPr>
            <w:tcW w:w="0" w:type="auto"/>
            <w:tcBorders>
              <w:top w:val="nil"/>
              <w:left w:val="nil"/>
              <w:right w:val="nil"/>
            </w:tcBorders>
            <w:shd w:val="clear" w:color="auto" w:fill="auto"/>
            <w:noWrap/>
          </w:tcPr>
          <w:p w14:paraId="7EA6AB38" w14:textId="77777777" w:rsidR="009A4875" w:rsidRPr="00A30C06" w:rsidRDefault="009A4875" w:rsidP="009F3C4C">
            <w:pPr>
              <w:spacing w:after="0" w:line="240" w:lineRule="auto"/>
              <w:jc w:val="center"/>
              <w:rPr>
                <w:rFonts w:cs="Calibri"/>
                <w:sz w:val="20"/>
                <w:szCs w:val="21"/>
                <w:lang w:eastAsia="en-AU"/>
              </w:rPr>
            </w:pPr>
            <w:r w:rsidRPr="00A30C06">
              <w:t>0.919</w:t>
            </w:r>
          </w:p>
        </w:tc>
      </w:tr>
      <w:tr w:rsidR="009A4875" w:rsidRPr="00D87C67" w14:paraId="66A44672" w14:textId="77777777" w:rsidTr="009F3C4C">
        <w:trPr>
          <w:trHeight w:val="300"/>
          <w:jc w:val="center"/>
        </w:trPr>
        <w:tc>
          <w:tcPr>
            <w:tcW w:w="0" w:type="auto"/>
            <w:tcBorders>
              <w:top w:val="nil"/>
              <w:left w:val="nil"/>
              <w:bottom w:val="single" w:sz="4" w:space="0" w:color="auto"/>
              <w:right w:val="nil"/>
            </w:tcBorders>
            <w:shd w:val="clear" w:color="auto" w:fill="auto"/>
            <w:noWrap/>
            <w:vAlign w:val="bottom"/>
          </w:tcPr>
          <w:p w14:paraId="2E819EB6" w14:textId="77777777" w:rsidR="009A4875" w:rsidRPr="00A30C06" w:rsidRDefault="009A4875" w:rsidP="009F3C4C">
            <w:pPr>
              <w:spacing w:after="0" w:line="240" w:lineRule="auto"/>
              <w:jc w:val="left"/>
              <w:rPr>
                <w:rFonts w:cs="Calibri"/>
                <w:sz w:val="20"/>
                <w:szCs w:val="21"/>
                <w:lang w:eastAsia="en-AU"/>
              </w:rPr>
            </w:pPr>
            <w:r w:rsidRPr="00A30C06">
              <w:rPr>
                <w:rFonts w:cs="Calibri"/>
                <w:sz w:val="20"/>
                <w:szCs w:val="21"/>
                <w:lang w:eastAsia="en-AU"/>
              </w:rPr>
              <w:t xml:space="preserve">Von </w:t>
            </w:r>
            <w:proofErr w:type="spellStart"/>
            <w:r w:rsidRPr="00A30C06">
              <w:rPr>
                <w:rFonts w:cs="Calibri"/>
                <w:sz w:val="20"/>
                <w:szCs w:val="21"/>
                <w:lang w:eastAsia="en-AU"/>
              </w:rPr>
              <w:t>Bertalanffy</w:t>
            </w:r>
            <w:proofErr w:type="spellEnd"/>
          </w:p>
        </w:tc>
        <w:tc>
          <w:tcPr>
            <w:tcW w:w="0" w:type="auto"/>
            <w:tcBorders>
              <w:top w:val="nil"/>
              <w:left w:val="nil"/>
              <w:bottom w:val="single" w:sz="4" w:space="0" w:color="auto"/>
              <w:right w:val="nil"/>
            </w:tcBorders>
            <w:shd w:val="clear" w:color="auto" w:fill="auto"/>
            <w:noWrap/>
            <w:vAlign w:val="bottom"/>
          </w:tcPr>
          <w:p w14:paraId="3DB27E64" w14:textId="77777777" w:rsidR="009A4875" w:rsidRPr="00A30C06" w:rsidRDefault="009A4875" w:rsidP="009F3C4C">
            <w:pPr>
              <w:spacing w:after="0" w:line="240" w:lineRule="auto"/>
              <w:jc w:val="center"/>
              <w:rPr>
                <w:rFonts w:cs="Calibri"/>
                <w:sz w:val="20"/>
                <w:szCs w:val="21"/>
                <w:lang w:eastAsia="en-AU"/>
              </w:rPr>
            </w:pPr>
            <w:r w:rsidRPr="00A30C06">
              <w:rPr>
                <w:rFonts w:cs="Calibri"/>
                <w:sz w:val="20"/>
                <w:szCs w:val="21"/>
                <w:lang w:eastAsia="en-AU"/>
              </w:rPr>
              <w:t>284.346</w:t>
            </w:r>
          </w:p>
        </w:tc>
        <w:tc>
          <w:tcPr>
            <w:tcW w:w="0" w:type="auto"/>
            <w:tcBorders>
              <w:top w:val="nil"/>
              <w:left w:val="nil"/>
              <w:bottom w:val="single" w:sz="4" w:space="0" w:color="auto"/>
              <w:right w:val="nil"/>
            </w:tcBorders>
            <w:vAlign w:val="bottom"/>
          </w:tcPr>
          <w:p w14:paraId="03A786BE" w14:textId="77777777" w:rsidR="009A4875" w:rsidRPr="00A30C06" w:rsidRDefault="009A4875" w:rsidP="009F3C4C">
            <w:pPr>
              <w:spacing w:after="0" w:line="240" w:lineRule="auto"/>
              <w:jc w:val="center"/>
              <w:rPr>
                <w:rFonts w:cs="Calibri"/>
                <w:sz w:val="20"/>
                <w:szCs w:val="21"/>
                <w:lang w:eastAsia="en-AU"/>
              </w:rPr>
            </w:pPr>
            <w:r w:rsidRPr="00A30C06">
              <w:rPr>
                <w:rFonts w:cs="Calibri"/>
                <w:sz w:val="20"/>
                <w:szCs w:val="21"/>
                <w:lang w:eastAsia="en-AU"/>
              </w:rPr>
              <w:t>2</w:t>
            </w:r>
          </w:p>
        </w:tc>
        <w:tc>
          <w:tcPr>
            <w:tcW w:w="0" w:type="auto"/>
            <w:tcBorders>
              <w:top w:val="nil"/>
              <w:left w:val="nil"/>
              <w:bottom w:val="single" w:sz="4" w:space="0" w:color="auto"/>
              <w:right w:val="nil"/>
            </w:tcBorders>
            <w:shd w:val="clear" w:color="auto" w:fill="auto"/>
            <w:noWrap/>
          </w:tcPr>
          <w:p w14:paraId="4CE8D448" w14:textId="77777777" w:rsidR="009A4875" w:rsidRPr="00A30C06" w:rsidRDefault="009A4875" w:rsidP="009F3C4C">
            <w:pPr>
              <w:spacing w:after="0" w:line="240" w:lineRule="auto"/>
              <w:jc w:val="center"/>
              <w:rPr>
                <w:rFonts w:cs="Calibri"/>
                <w:sz w:val="20"/>
                <w:szCs w:val="21"/>
                <w:lang w:eastAsia="en-AU"/>
              </w:rPr>
            </w:pPr>
            <w:r w:rsidRPr="00A30C06">
              <w:t>6.4498</w:t>
            </w:r>
          </w:p>
        </w:tc>
        <w:tc>
          <w:tcPr>
            <w:tcW w:w="0" w:type="auto"/>
            <w:tcBorders>
              <w:top w:val="nil"/>
              <w:left w:val="nil"/>
              <w:bottom w:val="single" w:sz="4" w:space="0" w:color="auto"/>
              <w:right w:val="nil"/>
            </w:tcBorders>
            <w:shd w:val="clear" w:color="auto" w:fill="auto"/>
            <w:noWrap/>
          </w:tcPr>
          <w:p w14:paraId="1B249CE9" w14:textId="77777777" w:rsidR="009A4875" w:rsidRPr="00A30C06" w:rsidRDefault="009A4875" w:rsidP="009F3C4C">
            <w:pPr>
              <w:spacing w:after="0" w:line="240" w:lineRule="auto"/>
              <w:jc w:val="center"/>
              <w:rPr>
                <w:rFonts w:cs="Calibri"/>
                <w:sz w:val="20"/>
                <w:szCs w:val="21"/>
                <w:lang w:eastAsia="en-AU"/>
              </w:rPr>
            </w:pPr>
            <w:r w:rsidRPr="00A30C06">
              <w:t>0.037</w:t>
            </w:r>
          </w:p>
        </w:tc>
      </w:tr>
    </w:tbl>
    <w:p w14:paraId="4A6DE8E1" w14:textId="77777777" w:rsidR="009A4875" w:rsidRDefault="009A4875" w:rsidP="009A4875">
      <w:bookmarkStart w:id="398" w:name="_Ref61350662"/>
      <w:bookmarkStart w:id="399" w:name="_Ref57899744"/>
    </w:p>
    <w:p w14:paraId="2E871F4F" w14:textId="4A2A1445" w:rsidR="009A4875" w:rsidRDefault="009A4875" w:rsidP="00F8184E">
      <w:pPr>
        <w:pStyle w:val="Captions"/>
        <w:rPr>
          <w:noProof/>
          <w:lang w:eastAsia="en-AU"/>
        </w:rPr>
      </w:pPr>
      <w:r>
        <w:t>Table</w:t>
      </w:r>
      <w:bookmarkEnd w:id="398"/>
      <w:r>
        <w:t xml:space="preserve"> D15</w:t>
      </w:r>
      <w:r>
        <w:rPr>
          <w:noProof/>
          <w:lang w:eastAsia="en-AU"/>
        </w:rPr>
        <w:t>. PE</w:t>
      </w:r>
      <w:r w:rsidRPr="00F2552B">
        <w:rPr>
          <w:noProof/>
          <w:lang w:eastAsia="en-AU"/>
        </w:rPr>
        <w:t>R</w:t>
      </w:r>
      <w:r>
        <w:rPr>
          <w:noProof/>
          <w:lang w:eastAsia="en-AU"/>
        </w:rPr>
        <w:t>M</w:t>
      </w:r>
      <w:r w:rsidRPr="00F2552B">
        <w:rPr>
          <w:noProof/>
          <w:lang w:eastAsia="en-AU"/>
        </w:rPr>
        <w:t xml:space="preserve">ANOVA </w:t>
      </w:r>
      <w:r>
        <w:rPr>
          <w:noProof/>
          <w:lang w:eastAsia="en-AU"/>
        </w:rPr>
        <w:t xml:space="preserve">main test </w:t>
      </w:r>
      <w:r w:rsidRPr="00F2552B">
        <w:rPr>
          <w:noProof/>
          <w:lang w:eastAsia="en-AU"/>
        </w:rPr>
        <w:t xml:space="preserve">comparisons of Murray cod </w:t>
      </w:r>
      <w:r>
        <w:rPr>
          <w:noProof/>
          <w:lang w:eastAsia="en-AU"/>
        </w:rPr>
        <w:t>catch-per-unit-effort (CPUE</w:t>
      </w:r>
      <w:r w:rsidRPr="00F2552B">
        <w:rPr>
          <w:noProof/>
          <w:lang w:eastAsia="en-AU"/>
        </w:rPr>
        <w:t>)</w:t>
      </w:r>
      <w:r>
        <w:rPr>
          <w:noProof/>
          <w:lang w:eastAsia="en-AU"/>
        </w:rPr>
        <w:t xml:space="preserve"> </w:t>
      </w:r>
      <w:r w:rsidRPr="00F2552B">
        <w:rPr>
          <w:noProof/>
          <w:lang w:eastAsia="en-AU"/>
        </w:rPr>
        <w:t>between years</w:t>
      </w:r>
      <w:r>
        <w:rPr>
          <w:noProof/>
          <w:lang w:eastAsia="en-AU"/>
        </w:rPr>
        <w:t xml:space="preserve"> and weir pools for non-</w:t>
      </w:r>
      <w:r w:rsidRPr="00A17284">
        <w:rPr>
          <w:noProof/>
          <w:lang w:eastAsia="en-AU"/>
        </w:rPr>
        <w:t>targeted electrofishing</w:t>
      </w:r>
      <w:r>
        <w:rPr>
          <w:noProof/>
          <w:lang w:eastAsia="en-AU"/>
        </w:rPr>
        <w:t>.</w:t>
      </w:r>
      <w:r w:rsidRPr="00A17284">
        <w:rPr>
          <w:noProof/>
          <w:lang w:eastAsia="en-AU"/>
        </w:rP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24"/>
        <w:gridCol w:w="593"/>
        <w:gridCol w:w="1225"/>
        <w:gridCol w:w="2130"/>
      </w:tblGrid>
      <w:tr w:rsidR="009A4875" w:rsidRPr="00C85FBA" w14:paraId="664E3575" w14:textId="77777777" w:rsidTr="009F3C4C">
        <w:trPr>
          <w:trHeight w:val="340"/>
          <w:jc w:val="center"/>
        </w:trPr>
        <w:tc>
          <w:tcPr>
            <w:tcW w:w="2324" w:type="dxa"/>
            <w:tcBorders>
              <w:top w:val="single" w:sz="4" w:space="0" w:color="auto"/>
              <w:bottom w:val="single" w:sz="4" w:space="0" w:color="auto"/>
            </w:tcBorders>
          </w:tcPr>
          <w:p w14:paraId="10C8DE09" w14:textId="77777777" w:rsidR="009A4875" w:rsidRPr="00C85FBA" w:rsidRDefault="009A4875" w:rsidP="009F3C4C">
            <w:pPr>
              <w:spacing w:line="240" w:lineRule="auto"/>
              <w:contextualSpacing/>
              <w:jc w:val="left"/>
              <w:rPr>
                <w:b/>
                <w:noProof/>
                <w:sz w:val="20"/>
                <w:lang w:eastAsia="en-AU"/>
              </w:rPr>
            </w:pPr>
            <w:r w:rsidRPr="00C85FBA">
              <w:rPr>
                <w:b/>
                <w:noProof/>
                <w:sz w:val="20"/>
                <w:lang w:eastAsia="en-AU"/>
              </w:rPr>
              <w:t>Factor</w:t>
            </w:r>
          </w:p>
        </w:tc>
        <w:tc>
          <w:tcPr>
            <w:tcW w:w="593" w:type="dxa"/>
            <w:tcBorders>
              <w:top w:val="single" w:sz="4" w:space="0" w:color="auto"/>
              <w:bottom w:val="single" w:sz="4" w:space="0" w:color="auto"/>
            </w:tcBorders>
          </w:tcPr>
          <w:p w14:paraId="04FACBED" w14:textId="77777777" w:rsidR="009A4875" w:rsidRPr="00C85FBA" w:rsidRDefault="009A4875" w:rsidP="009F3C4C">
            <w:pPr>
              <w:spacing w:line="240" w:lineRule="auto"/>
              <w:contextualSpacing/>
              <w:jc w:val="center"/>
              <w:rPr>
                <w:b/>
                <w:iCs/>
                <w:noProof/>
                <w:sz w:val="20"/>
                <w:lang w:eastAsia="en-AU"/>
              </w:rPr>
            </w:pPr>
            <w:r w:rsidRPr="00C85FBA">
              <w:rPr>
                <w:b/>
                <w:iCs/>
                <w:noProof/>
                <w:sz w:val="20"/>
                <w:lang w:eastAsia="en-AU"/>
              </w:rPr>
              <w:t>df</w:t>
            </w:r>
          </w:p>
        </w:tc>
        <w:tc>
          <w:tcPr>
            <w:tcW w:w="1225" w:type="dxa"/>
            <w:tcBorders>
              <w:top w:val="single" w:sz="4" w:space="0" w:color="auto"/>
              <w:bottom w:val="single" w:sz="4" w:space="0" w:color="auto"/>
            </w:tcBorders>
          </w:tcPr>
          <w:p w14:paraId="246DEF9B" w14:textId="77777777" w:rsidR="009A4875" w:rsidRPr="00C85FBA" w:rsidRDefault="009A4875" w:rsidP="009F3C4C">
            <w:pPr>
              <w:spacing w:line="240" w:lineRule="auto"/>
              <w:contextualSpacing/>
              <w:jc w:val="center"/>
              <w:rPr>
                <w:b/>
                <w:i/>
                <w:noProof/>
                <w:sz w:val="20"/>
                <w:lang w:eastAsia="en-AU"/>
              </w:rPr>
            </w:pPr>
            <w:r w:rsidRPr="00C85FBA">
              <w:rPr>
                <w:b/>
                <w:i/>
                <w:noProof/>
                <w:sz w:val="20"/>
                <w:lang w:eastAsia="en-AU"/>
              </w:rPr>
              <w:t>Pseudo-F</w:t>
            </w:r>
          </w:p>
        </w:tc>
        <w:tc>
          <w:tcPr>
            <w:tcW w:w="2130" w:type="dxa"/>
            <w:tcBorders>
              <w:top w:val="single" w:sz="4" w:space="0" w:color="auto"/>
              <w:bottom w:val="single" w:sz="4" w:space="0" w:color="auto"/>
            </w:tcBorders>
          </w:tcPr>
          <w:p w14:paraId="288DE31A" w14:textId="77777777" w:rsidR="009A4875" w:rsidRPr="00C85FBA" w:rsidRDefault="009A4875" w:rsidP="009F3C4C">
            <w:pPr>
              <w:spacing w:line="240" w:lineRule="auto"/>
              <w:contextualSpacing/>
              <w:jc w:val="center"/>
              <w:rPr>
                <w:b/>
                <w:noProof/>
                <w:sz w:val="20"/>
                <w:lang w:eastAsia="en-AU"/>
              </w:rPr>
            </w:pPr>
            <w:r w:rsidRPr="00C85FBA">
              <w:rPr>
                <w:b/>
                <w:i/>
                <w:noProof/>
                <w:sz w:val="20"/>
                <w:lang w:eastAsia="en-AU"/>
              </w:rPr>
              <w:t>p</w:t>
            </w:r>
            <w:r w:rsidRPr="00C85FBA">
              <w:rPr>
                <w:b/>
                <w:noProof/>
                <w:sz w:val="20"/>
                <w:lang w:eastAsia="en-AU"/>
              </w:rPr>
              <w:t xml:space="preserve"> value</w:t>
            </w:r>
          </w:p>
        </w:tc>
      </w:tr>
      <w:tr w:rsidR="009A4875" w:rsidRPr="00C85FBA" w14:paraId="55DAF29D" w14:textId="77777777" w:rsidTr="009F3C4C">
        <w:trPr>
          <w:trHeight w:val="283"/>
          <w:jc w:val="center"/>
        </w:trPr>
        <w:tc>
          <w:tcPr>
            <w:tcW w:w="2324" w:type="dxa"/>
            <w:tcBorders>
              <w:top w:val="single" w:sz="4" w:space="0" w:color="auto"/>
            </w:tcBorders>
          </w:tcPr>
          <w:p w14:paraId="6165C19D" w14:textId="77777777" w:rsidR="009A4875" w:rsidRPr="004930C3" w:rsidRDefault="009A4875" w:rsidP="009F3C4C">
            <w:pPr>
              <w:spacing w:line="240" w:lineRule="auto"/>
              <w:contextualSpacing/>
              <w:jc w:val="left"/>
              <w:rPr>
                <w:bCs/>
                <w:noProof/>
                <w:sz w:val="20"/>
                <w:lang w:eastAsia="en-AU"/>
              </w:rPr>
            </w:pPr>
            <w:r w:rsidRPr="004930C3">
              <w:rPr>
                <w:bCs/>
                <w:noProof/>
                <w:sz w:val="20"/>
                <w:lang w:eastAsia="en-AU"/>
              </w:rPr>
              <w:t>Year</w:t>
            </w:r>
          </w:p>
        </w:tc>
        <w:tc>
          <w:tcPr>
            <w:tcW w:w="593" w:type="dxa"/>
            <w:tcBorders>
              <w:top w:val="single" w:sz="4" w:space="0" w:color="auto"/>
            </w:tcBorders>
          </w:tcPr>
          <w:p w14:paraId="17C18465" w14:textId="77777777" w:rsidR="009A4875" w:rsidRPr="007A196D" w:rsidRDefault="009A4875" w:rsidP="009F3C4C">
            <w:pPr>
              <w:spacing w:line="240" w:lineRule="auto"/>
              <w:contextualSpacing/>
              <w:jc w:val="center"/>
              <w:rPr>
                <w:bCs/>
                <w:noProof/>
                <w:sz w:val="20"/>
                <w:highlight w:val="yellow"/>
                <w:lang w:eastAsia="en-AU"/>
              </w:rPr>
            </w:pPr>
            <w:r w:rsidRPr="000A3BD1">
              <w:t>5</w:t>
            </w:r>
          </w:p>
        </w:tc>
        <w:tc>
          <w:tcPr>
            <w:tcW w:w="1225" w:type="dxa"/>
            <w:tcBorders>
              <w:top w:val="single" w:sz="4" w:space="0" w:color="auto"/>
            </w:tcBorders>
          </w:tcPr>
          <w:p w14:paraId="7600E0CB" w14:textId="77777777" w:rsidR="009A4875" w:rsidRPr="007A196D" w:rsidRDefault="009A4875" w:rsidP="009F3C4C">
            <w:pPr>
              <w:spacing w:line="240" w:lineRule="auto"/>
              <w:contextualSpacing/>
              <w:jc w:val="center"/>
              <w:rPr>
                <w:b/>
                <w:noProof/>
                <w:sz w:val="20"/>
                <w:highlight w:val="yellow"/>
                <w:lang w:eastAsia="en-AU"/>
              </w:rPr>
            </w:pPr>
            <w:r w:rsidRPr="002809CC">
              <w:t>2.229</w:t>
            </w:r>
          </w:p>
        </w:tc>
        <w:tc>
          <w:tcPr>
            <w:tcW w:w="2130" w:type="dxa"/>
            <w:tcBorders>
              <w:top w:val="single" w:sz="4" w:space="0" w:color="auto"/>
            </w:tcBorders>
          </w:tcPr>
          <w:p w14:paraId="1ABCBE3D" w14:textId="77777777" w:rsidR="009A4875" w:rsidRPr="007A196D" w:rsidRDefault="009A4875" w:rsidP="009F3C4C">
            <w:pPr>
              <w:spacing w:line="240" w:lineRule="auto"/>
              <w:contextualSpacing/>
              <w:jc w:val="center"/>
              <w:rPr>
                <w:b/>
                <w:bCs/>
                <w:noProof/>
                <w:sz w:val="20"/>
                <w:highlight w:val="yellow"/>
                <w:lang w:eastAsia="en-AU"/>
              </w:rPr>
            </w:pPr>
            <w:r w:rsidRPr="002809CC">
              <w:t>0.066</w:t>
            </w:r>
          </w:p>
        </w:tc>
      </w:tr>
      <w:tr w:rsidR="009A4875" w:rsidRPr="00C85FBA" w14:paraId="4B6206C9" w14:textId="77777777" w:rsidTr="009F3C4C">
        <w:trPr>
          <w:trHeight w:val="283"/>
          <w:jc w:val="center"/>
        </w:trPr>
        <w:tc>
          <w:tcPr>
            <w:tcW w:w="2324" w:type="dxa"/>
          </w:tcPr>
          <w:p w14:paraId="4B9A63AD" w14:textId="77777777" w:rsidR="009A4875" w:rsidRPr="004930C3" w:rsidRDefault="009A4875" w:rsidP="009F3C4C">
            <w:pPr>
              <w:spacing w:line="240" w:lineRule="auto"/>
              <w:contextualSpacing/>
              <w:jc w:val="left"/>
              <w:rPr>
                <w:bCs/>
                <w:noProof/>
                <w:sz w:val="20"/>
                <w:lang w:eastAsia="en-AU"/>
              </w:rPr>
            </w:pPr>
            <w:r w:rsidRPr="004930C3">
              <w:rPr>
                <w:bCs/>
                <w:noProof/>
                <w:sz w:val="20"/>
                <w:lang w:eastAsia="en-AU"/>
              </w:rPr>
              <w:t>Weir Pool</w:t>
            </w:r>
          </w:p>
        </w:tc>
        <w:tc>
          <w:tcPr>
            <w:tcW w:w="593" w:type="dxa"/>
          </w:tcPr>
          <w:p w14:paraId="7CEEBA3D" w14:textId="77777777" w:rsidR="009A4875" w:rsidRPr="007A196D" w:rsidRDefault="009A4875" w:rsidP="009F3C4C">
            <w:pPr>
              <w:spacing w:line="240" w:lineRule="auto"/>
              <w:contextualSpacing/>
              <w:jc w:val="center"/>
              <w:rPr>
                <w:bCs/>
                <w:noProof/>
                <w:sz w:val="20"/>
                <w:highlight w:val="yellow"/>
                <w:lang w:eastAsia="en-AU"/>
              </w:rPr>
            </w:pPr>
            <w:r w:rsidRPr="000A3BD1">
              <w:t>1</w:t>
            </w:r>
          </w:p>
        </w:tc>
        <w:tc>
          <w:tcPr>
            <w:tcW w:w="1225" w:type="dxa"/>
          </w:tcPr>
          <w:p w14:paraId="6D6BA08E" w14:textId="77777777" w:rsidR="009A4875" w:rsidRPr="007A196D" w:rsidRDefault="009A4875" w:rsidP="009F3C4C">
            <w:pPr>
              <w:spacing w:line="240" w:lineRule="auto"/>
              <w:contextualSpacing/>
              <w:jc w:val="center"/>
              <w:rPr>
                <w:b/>
                <w:noProof/>
                <w:sz w:val="20"/>
                <w:highlight w:val="yellow"/>
                <w:lang w:eastAsia="en-AU"/>
              </w:rPr>
            </w:pPr>
            <w:r w:rsidRPr="002809CC">
              <w:t>2.014</w:t>
            </w:r>
          </w:p>
        </w:tc>
        <w:tc>
          <w:tcPr>
            <w:tcW w:w="2130" w:type="dxa"/>
          </w:tcPr>
          <w:p w14:paraId="54FB6517" w14:textId="77777777" w:rsidR="009A4875" w:rsidRPr="007A196D" w:rsidRDefault="009A4875" w:rsidP="009F3C4C">
            <w:pPr>
              <w:spacing w:line="240" w:lineRule="auto"/>
              <w:contextualSpacing/>
              <w:jc w:val="center"/>
              <w:rPr>
                <w:b/>
                <w:bCs/>
                <w:noProof/>
                <w:sz w:val="20"/>
                <w:highlight w:val="yellow"/>
                <w:lang w:eastAsia="en-AU"/>
              </w:rPr>
            </w:pPr>
            <w:r w:rsidRPr="002809CC">
              <w:t>0.164</w:t>
            </w:r>
          </w:p>
        </w:tc>
      </w:tr>
      <w:tr w:rsidR="009A4875" w:rsidRPr="00C85FBA" w14:paraId="1A218852" w14:textId="77777777" w:rsidTr="009F3C4C">
        <w:trPr>
          <w:trHeight w:val="283"/>
          <w:jc w:val="center"/>
        </w:trPr>
        <w:tc>
          <w:tcPr>
            <w:tcW w:w="2324" w:type="dxa"/>
          </w:tcPr>
          <w:p w14:paraId="0AAB2849" w14:textId="77777777" w:rsidR="009A4875" w:rsidRPr="004930C3" w:rsidRDefault="009A4875" w:rsidP="009F3C4C">
            <w:pPr>
              <w:spacing w:line="240" w:lineRule="auto"/>
              <w:contextualSpacing/>
              <w:jc w:val="left"/>
              <w:rPr>
                <w:bCs/>
                <w:noProof/>
                <w:sz w:val="20"/>
                <w:lang w:eastAsia="en-AU"/>
              </w:rPr>
            </w:pPr>
            <w:r w:rsidRPr="004930C3">
              <w:rPr>
                <w:bCs/>
                <w:noProof/>
                <w:sz w:val="20"/>
                <w:lang w:eastAsia="en-AU"/>
              </w:rPr>
              <w:t>Year x Weir Pool</w:t>
            </w:r>
          </w:p>
        </w:tc>
        <w:tc>
          <w:tcPr>
            <w:tcW w:w="593" w:type="dxa"/>
          </w:tcPr>
          <w:p w14:paraId="63353522" w14:textId="77777777" w:rsidR="009A4875" w:rsidRPr="007A196D" w:rsidRDefault="009A4875" w:rsidP="009F3C4C">
            <w:pPr>
              <w:spacing w:line="240" w:lineRule="auto"/>
              <w:contextualSpacing/>
              <w:jc w:val="center"/>
              <w:rPr>
                <w:bCs/>
                <w:noProof/>
                <w:sz w:val="20"/>
                <w:highlight w:val="yellow"/>
                <w:lang w:eastAsia="en-AU"/>
              </w:rPr>
            </w:pPr>
            <w:r w:rsidRPr="000A3BD1">
              <w:t>5</w:t>
            </w:r>
          </w:p>
        </w:tc>
        <w:tc>
          <w:tcPr>
            <w:tcW w:w="1225" w:type="dxa"/>
          </w:tcPr>
          <w:p w14:paraId="0B445789" w14:textId="77777777" w:rsidR="009A4875" w:rsidRPr="007A196D" w:rsidRDefault="009A4875" w:rsidP="009F3C4C">
            <w:pPr>
              <w:spacing w:line="240" w:lineRule="auto"/>
              <w:contextualSpacing/>
              <w:jc w:val="center"/>
              <w:rPr>
                <w:b/>
                <w:noProof/>
                <w:sz w:val="20"/>
                <w:highlight w:val="yellow"/>
                <w:lang w:eastAsia="en-AU"/>
              </w:rPr>
            </w:pPr>
            <w:r w:rsidRPr="002809CC">
              <w:t>1.042</w:t>
            </w:r>
          </w:p>
        </w:tc>
        <w:tc>
          <w:tcPr>
            <w:tcW w:w="2130" w:type="dxa"/>
          </w:tcPr>
          <w:p w14:paraId="57DED1C0" w14:textId="77777777" w:rsidR="009A4875" w:rsidRPr="007A196D" w:rsidRDefault="009A4875" w:rsidP="009F3C4C">
            <w:pPr>
              <w:spacing w:line="240" w:lineRule="auto"/>
              <w:contextualSpacing/>
              <w:jc w:val="center"/>
              <w:rPr>
                <w:b/>
                <w:noProof/>
                <w:sz w:val="20"/>
                <w:highlight w:val="yellow"/>
                <w:lang w:eastAsia="en-AU"/>
              </w:rPr>
            </w:pPr>
            <w:r w:rsidRPr="002809CC">
              <w:t>0.387</w:t>
            </w:r>
          </w:p>
        </w:tc>
      </w:tr>
      <w:tr w:rsidR="009A4875" w:rsidRPr="00C85FBA" w14:paraId="78871B21" w14:textId="77777777" w:rsidTr="009F3C4C">
        <w:trPr>
          <w:trHeight w:val="283"/>
          <w:jc w:val="center"/>
        </w:trPr>
        <w:tc>
          <w:tcPr>
            <w:tcW w:w="2324" w:type="dxa"/>
            <w:tcBorders>
              <w:bottom w:val="single" w:sz="4" w:space="0" w:color="auto"/>
            </w:tcBorders>
          </w:tcPr>
          <w:p w14:paraId="137775E7" w14:textId="77777777" w:rsidR="009A4875" w:rsidRPr="00C85FBA" w:rsidRDefault="009A4875" w:rsidP="009F3C4C">
            <w:pPr>
              <w:spacing w:line="240" w:lineRule="auto"/>
              <w:contextualSpacing/>
              <w:jc w:val="left"/>
              <w:rPr>
                <w:bCs/>
                <w:noProof/>
                <w:sz w:val="20"/>
                <w:lang w:eastAsia="en-AU"/>
              </w:rPr>
            </w:pPr>
            <w:r w:rsidRPr="00C85FBA">
              <w:rPr>
                <w:bCs/>
                <w:noProof/>
                <w:sz w:val="20"/>
                <w:lang w:eastAsia="en-AU"/>
              </w:rPr>
              <w:t>Residuals</w:t>
            </w:r>
          </w:p>
        </w:tc>
        <w:tc>
          <w:tcPr>
            <w:tcW w:w="593" w:type="dxa"/>
            <w:tcBorders>
              <w:bottom w:val="single" w:sz="4" w:space="0" w:color="auto"/>
            </w:tcBorders>
          </w:tcPr>
          <w:p w14:paraId="68F2D6AA" w14:textId="77777777" w:rsidR="009A4875" w:rsidRPr="00C85FBA" w:rsidRDefault="009A4875" w:rsidP="009F3C4C">
            <w:pPr>
              <w:spacing w:line="240" w:lineRule="auto"/>
              <w:contextualSpacing/>
              <w:jc w:val="center"/>
              <w:rPr>
                <w:bCs/>
                <w:noProof/>
                <w:sz w:val="20"/>
                <w:lang w:eastAsia="en-AU"/>
              </w:rPr>
            </w:pPr>
            <w:r w:rsidRPr="00C85FBA">
              <w:rPr>
                <w:bCs/>
                <w:noProof/>
                <w:sz w:val="20"/>
                <w:lang w:eastAsia="en-AU"/>
              </w:rPr>
              <w:t>36</w:t>
            </w:r>
          </w:p>
        </w:tc>
        <w:tc>
          <w:tcPr>
            <w:tcW w:w="1225" w:type="dxa"/>
            <w:tcBorders>
              <w:bottom w:val="single" w:sz="4" w:space="0" w:color="auto"/>
            </w:tcBorders>
          </w:tcPr>
          <w:p w14:paraId="472216FE" w14:textId="77777777" w:rsidR="009A4875" w:rsidRPr="00C85FBA" w:rsidRDefault="009A4875" w:rsidP="009F3C4C">
            <w:pPr>
              <w:spacing w:line="240" w:lineRule="auto"/>
              <w:contextualSpacing/>
              <w:jc w:val="center"/>
              <w:rPr>
                <w:b/>
                <w:noProof/>
                <w:sz w:val="20"/>
                <w:lang w:eastAsia="en-AU"/>
              </w:rPr>
            </w:pPr>
          </w:p>
        </w:tc>
        <w:tc>
          <w:tcPr>
            <w:tcW w:w="2130" w:type="dxa"/>
            <w:tcBorders>
              <w:bottom w:val="single" w:sz="4" w:space="0" w:color="auto"/>
            </w:tcBorders>
            <w:vAlign w:val="bottom"/>
          </w:tcPr>
          <w:p w14:paraId="01D8E2F2" w14:textId="77777777" w:rsidR="009A4875" w:rsidRPr="00C85FBA" w:rsidRDefault="009A4875" w:rsidP="009F3C4C">
            <w:pPr>
              <w:spacing w:line="240" w:lineRule="auto"/>
              <w:contextualSpacing/>
              <w:jc w:val="center"/>
              <w:rPr>
                <w:b/>
                <w:noProof/>
                <w:sz w:val="20"/>
                <w:lang w:eastAsia="en-AU"/>
              </w:rPr>
            </w:pPr>
          </w:p>
        </w:tc>
      </w:tr>
    </w:tbl>
    <w:p w14:paraId="7228AA30" w14:textId="77777777" w:rsidR="009A4875" w:rsidRDefault="009A4875" w:rsidP="00F8184E">
      <w:pPr>
        <w:pStyle w:val="Captions"/>
      </w:pPr>
    </w:p>
    <w:p w14:paraId="6EE3DDF6" w14:textId="77777777" w:rsidR="00656EBF" w:rsidRDefault="00656EBF" w:rsidP="00F8184E">
      <w:pPr>
        <w:pStyle w:val="Captions"/>
      </w:pPr>
      <w:bookmarkStart w:id="400" w:name="_Ref61350656"/>
    </w:p>
    <w:p w14:paraId="0D065011" w14:textId="77777777" w:rsidR="00656EBF" w:rsidRDefault="00656EBF">
      <w:pPr>
        <w:spacing w:before="0" w:after="160" w:line="259" w:lineRule="auto"/>
        <w:jc w:val="left"/>
        <w:rPr>
          <w:rFonts w:eastAsia="MS Mincho" w:cs="Arial"/>
          <w:b/>
          <w:bCs/>
          <w:color w:val="auto"/>
          <w:kern w:val="0"/>
          <w:sz w:val="20"/>
          <w:lang w:val="en-US"/>
        </w:rPr>
      </w:pPr>
      <w:r>
        <w:br w:type="page"/>
      </w:r>
    </w:p>
    <w:p w14:paraId="1D15E542" w14:textId="57F5189D" w:rsidR="009A4875" w:rsidRDefault="009A4875" w:rsidP="00F8184E">
      <w:pPr>
        <w:pStyle w:val="Captions"/>
        <w:rPr>
          <w:noProof/>
          <w:lang w:eastAsia="en-AU"/>
        </w:rPr>
      </w:pPr>
      <w:r>
        <w:t>Table</w:t>
      </w:r>
      <w:bookmarkEnd w:id="399"/>
      <w:bookmarkEnd w:id="400"/>
      <w:r>
        <w:t xml:space="preserve"> D16</w:t>
      </w:r>
      <w:r>
        <w:rPr>
          <w:noProof/>
          <w:lang w:eastAsia="en-AU"/>
        </w:rPr>
        <w:t>. PE</w:t>
      </w:r>
      <w:r w:rsidRPr="00F2552B">
        <w:rPr>
          <w:noProof/>
          <w:lang w:eastAsia="en-AU"/>
        </w:rPr>
        <w:t>R</w:t>
      </w:r>
      <w:r>
        <w:rPr>
          <w:noProof/>
          <w:lang w:eastAsia="en-AU"/>
        </w:rPr>
        <w:t>M</w:t>
      </w:r>
      <w:r w:rsidRPr="00F2552B">
        <w:rPr>
          <w:noProof/>
          <w:lang w:eastAsia="en-AU"/>
        </w:rPr>
        <w:t xml:space="preserve">ANOVA </w:t>
      </w:r>
      <w:r>
        <w:rPr>
          <w:noProof/>
          <w:lang w:eastAsia="en-AU"/>
        </w:rPr>
        <w:t xml:space="preserve">main test and </w:t>
      </w:r>
      <w:r w:rsidRPr="00F2552B">
        <w:rPr>
          <w:noProof/>
          <w:lang w:eastAsia="en-AU"/>
        </w:rPr>
        <w:t xml:space="preserve">pairwise comparisons of Murray cod </w:t>
      </w:r>
      <w:r>
        <w:rPr>
          <w:noProof/>
          <w:lang w:eastAsia="en-AU"/>
        </w:rPr>
        <w:t>catch-per-unit-effort (CPUE</w:t>
      </w:r>
      <w:r w:rsidRPr="00F2552B">
        <w:rPr>
          <w:noProof/>
          <w:lang w:eastAsia="en-AU"/>
        </w:rPr>
        <w:t>)</w:t>
      </w:r>
      <w:r>
        <w:rPr>
          <w:noProof/>
          <w:lang w:eastAsia="en-AU"/>
        </w:rPr>
        <w:t xml:space="preserve"> </w:t>
      </w:r>
      <w:r w:rsidRPr="00F2552B">
        <w:rPr>
          <w:noProof/>
          <w:lang w:eastAsia="en-AU"/>
        </w:rPr>
        <w:t>between years</w:t>
      </w:r>
      <w:r>
        <w:rPr>
          <w:noProof/>
          <w:lang w:eastAsia="en-AU"/>
        </w:rPr>
        <w:t xml:space="preserve"> and weir pools for </w:t>
      </w:r>
      <w:r w:rsidRPr="00A17284">
        <w:rPr>
          <w:noProof/>
          <w:lang w:eastAsia="en-AU"/>
        </w:rPr>
        <w:t>targeted electrofishing</w:t>
      </w:r>
      <w:r>
        <w:rPr>
          <w:noProof/>
          <w:lang w:eastAsia="en-AU"/>
        </w:rPr>
        <w:t>.</w:t>
      </w:r>
      <w:r w:rsidRPr="00A17284">
        <w:rPr>
          <w:noProof/>
          <w:lang w:eastAsia="en-AU"/>
        </w:rPr>
        <w:t xml:space="preserve"> </w:t>
      </w:r>
      <w:r w:rsidRPr="00103E89">
        <w:rPr>
          <w:noProof/>
          <w:lang w:eastAsia="en-AU"/>
        </w:rPr>
        <w:t>P-values presented in bold are significant comparisons</w:t>
      </w:r>
      <w:r>
        <w:rPr>
          <w:noProof/>
          <w:lang w:eastAsia="en-AU"/>
        </w:rPr>
        <w:t xml:space="preserve"> (</w:t>
      </w:r>
      <w:r w:rsidRPr="00103E89">
        <w:rPr>
          <w:noProof/>
          <w:lang w:eastAsia="en-AU"/>
        </w:rPr>
        <w:t xml:space="preserve">α = </w:t>
      </w:r>
      <w:r>
        <w:rPr>
          <w:noProof/>
          <w:lang w:eastAsia="en-AU"/>
        </w:rPr>
        <w:t>0.05</w:t>
      </w:r>
      <w:r w:rsidRPr="00103E89">
        <w:rPr>
          <w:noProof/>
          <w:lang w:eastAsia="en-AU"/>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24"/>
        <w:gridCol w:w="593"/>
        <w:gridCol w:w="1225"/>
        <w:gridCol w:w="2130"/>
      </w:tblGrid>
      <w:tr w:rsidR="009A4875" w:rsidRPr="00C85FBA" w14:paraId="3D8E70F3" w14:textId="77777777" w:rsidTr="009F3C4C">
        <w:trPr>
          <w:trHeight w:val="340"/>
          <w:jc w:val="center"/>
        </w:trPr>
        <w:tc>
          <w:tcPr>
            <w:tcW w:w="2324" w:type="dxa"/>
            <w:tcBorders>
              <w:top w:val="single" w:sz="4" w:space="0" w:color="auto"/>
              <w:bottom w:val="single" w:sz="4" w:space="0" w:color="auto"/>
            </w:tcBorders>
          </w:tcPr>
          <w:p w14:paraId="6C08C527" w14:textId="77777777" w:rsidR="009A4875" w:rsidRPr="00C85FBA" w:rsidRDefault="009A4875" w:rsidP="009F3C4C">
            <w:pPr>
              <w:spacing w:line="240" w:lineRule="auto"/>
              <w:contextualSpacing/>
              <w:jc w:val="left"/>
              <w:rPr>
                <w:b/>
                <w:noProof/>
                <w:sz w:val="20"/>
                <w:lang w:eastAsia="en-AU"/>
              </w:rPr>
            </w:pPr>
            <w:r w:rsidRPr="00C85FBA">
              <w:rPr>
                <w:b/>
                <w:noProof/>
                <w:sz w:val="20"/>
                <w:lang w:eastAsia="en-AU"/>
              </w:rPr>
              <w:t>Factor</w:t>
            </w:r>
          </w:p>
        </w:tc>
        <w:tc>
          <w:tcPr>
            <w:tcW w:w="593" w:type="dxa"/>
            <w:tcBorders>
              <w:top w:val="single" w:sz="4" w:space="0" w:color="auto"/>
              <w:bottom w:val="single" w:sz="4" w:space="0" w:color="auto"/>
            </w:tcBorders>
          </w:tcPr>
          <w:p w14:paraId="27806181" w14:textId="77777777" w:rsidR="009A4875" w:rsidRPr="00C85FBA" w:rsidRDefault="009A4875" w:rsidP="009F3C4C">
            <w:pPr>
              <w:spacing w:line="240" w:lineRule="auto"/>
              <w:contextualSpacing/>
              <w:jc w:val="center"/>
              <w:rPr>
                <w:b/>
                <w:iCs/>
                <w:noProof/>
                <w:sz w:val="20"/>
                <w:lang w:eastAsia="en-AU"/>
              </w:rPr>
            </w:pPr>
            <w:r w:rsidRPr="00C85FBA">
              <w:rPr>
                <w:b/>
                <w:iCs/>
                <w:noProof/>
                <w:sz w:val="20"/>
                <w:lang w:eastAsia="en-AU"/>
              </w:rPr>
              <w:t>df</w:t>
            </w:r>
          </w:p>
        </w:tc>
        <w:tc>
          <w:tcPr>
            <w:tcW w:w="1225" w:type="dxa"/>
            <w:tcBorders>
              <w:top w:val="single" w:sz="4" w:space="0" w:color="auto"/>
              <w:bottom w:val="single" w:sz="4" w:space="0" w:color="auto"/>
            </w:tcBorders>
          </w:tcPr>
          <w:p w14:paraId="032960EB" w14:textId="77777777" w:rsidR="009A4875" w:rsidRPr="00C85FBA" w:rsidRDefault="009A4875" w:rsidP="009F3C4C">
            <w:pPr>
              <w:spacing w:line="240" w:lineRule="auto"/>
              <w:contextualSpacing/>
              <w:jc w:val="center"/>
              <w:rPr>
                <w:b/>
                <w:i/>
                <w:noProof/>
                <w:sz w:val="20"/>
                <w:lang w:eastAsia="en-AU"/>
              </w:rPr>
            </w:pPr>
            <w:r w:rsidRPr="00C85FBA">
              <w:rPr>
                <w:b/>
                <w:i/>
                <w:noProof/>
                <w:sz w:val="20"/>
                <w:lang w:eastAsia="en-AU"/>
              </w:rPr>
              <w:t>Pseudo-F</w:t>
            </w:r>
          </w:p>
        </w:tc>
        <w:tc>
          <w:tcPr>
            <w:tcW w:w="2130" w:type="dxa"/>
            <w:tcBorders>
              <w:top w:val="single" w:sz="4" w:space="0" w:color="auto"/>
              <w:bottom w:val="single" w:sz="4" w:space="0" w:color="auto"/>
            </w:tcBorders>
          </w:tcPr>
          <w:p w14:paraId="6577BCAF" w14:textId="77777777" w:rsidR="009A4875" w:rsidRPr="00C85FBA" w:rsidRDefault="009A4875" w:rsidP="009F3C4C">
            <w:pPr>
              <w:spacing w:line="240" w:lineRule="auto"/>
              <w:contextualSpacing/>
              <w:jc w:val="center"/>
              <w:rPr>
                <w:b/>
                <w:noProof/>
                <w:sz w:val="20"/>
                <w:lang w:eastAsia="en-AU"/>
              </w:rPr>
            </w:pPr>
            <w:r w:rsidRPr="00C85FBA">
              <w:rPr>
                <w:b/>
                <w:i/>
                <w:noProof/>
                <w:sz w:val="20"/>
                <w:lang w:eastAsia="en-AU"/>
              </w:rPr>
              <w:t>p</w:t>
            </w:r>
            <w:r w:rsidRPr="00C85FBA">
              <w:rPr>
                <w:b/>
                <w:noProof/>
                <w:sz w:val="20"/>
                <w:lang w:eastAsia="en-AU"/>
              </w:rPr>
              <w:t xml:space="preserve"> value</w:t>
            </w:r>
          </w:p>
        </w:tc>
      </w:tr>
      <w:tr w:rsidR="009A4875" w:rsidRPr="00C85FBA" w14:paraId="4CA39087" w14:textId="77777777" w:rsidTr="009F3C4C">
        <w:trPr>
          <w:trHeight w:val="283"/>
          <w:jc w:val="center"/>
        </w:trPr>
        <w:tc>
          <w:tcPr>
            <w:tcW w:w="2324" w:type="dxa"/>
            <w:tcBorders>
              <w:top w:val="single" w:sz="4" w:space="0" w:color="auto"/>
            </w:tcBorders>
          </w:tcPr>
          <w:p w14:paraId="1C8FEFEC" w14:textId="77777777" w:rsidR="009A4875" w:rsidRPr="00C85FBA" w:rsidRDefault="009A4875" w:rsidP="009F3C4C">
            <w:pPr>
              <w:spacing w:line="240" w:lineRule="auto"/>
              <w:contextualSpacing/>
              <w:jc w:val="left"/>
              <w:rPr>
                <w:bCs/>
                <w:noProof/>
                <w:sz w:val="20"/>
                <w:lang w:eastAsia="en-AU"/>
              </w:rPr>
            </w:pPr>
            <w:r w:rsidRPr="00C85FBA">
              <w:rPr>
                <w:bCs/>
                <w:noProof/>
                <w:sz w:val="20"/>
                <w:lang w:eastAsia="en-AU"/>
              </w:rPr>
              <w:t>Year</w:t>
            </w:r>
          </w:p>
        </w:tc>
        <w:tc>
          <w:tcPr>
            <w:tcW w:w="593" w:type="dxa"/>
            <w:tcBorders>
              <w:top w:val="single" w:sz="4" w:space="0" w:color="auto"/>
            </w:tcBorders>
          </w:tcPr>
          <w:p w14:paraId="58F3FBD0" w14:textId="77777777" w:rsidR="009A4875" w:rsidRPr="00C85FBA" w:rsidRDefault="009A4875" w:rsidP="009F3C4C">
            <w:pPr>
              <w:spacing w:line="240" w:lineRule="auto"/>
              <w:contextualSpacing/>
              <w:jc w:val="center"/>
              <w:rPr>
                <w:bCs/>
                <w:noProof/>
                <w:sz w:val="20"/>
                <w:lang w:eastAsia="en-AU"/>
              </w:rPr>
            </w:pPr>
            <w:r w:rsidRPr="00C85FBA">
              <w:rPr>
                <w:bCs/>
                <w:noProof/>
                <w:sz w:val="20"/>
                <w:lang w:eastAsia="en-AU"/>
              </w:rPr>
              <w:t>6</w:t>
            </w:r>
          </w:p>
        </w:tc>
        <w:tc>
          <w:tcPr>
            <w:tcW w:w="1225" w:type="dxa"/>
            <w:tcBorders>
              <w:top w:val="single" w:sz="4" w:space="0" w:color="auto"/>
            </w:tcBorders>
          </w:tcPr>
          <w:p w14:paraId="2310348E" w14:textId="77777777" w:rsidR="009A4875" w:rsidRPr="00C85FBA" w:rsidRDefault="009A4875" w:rsidP="009F3C4C">
            <w:pPr>
              <w:spacing w:line="240" w:lineRule="auto"/>
              <w:contextualSpacing/>
              <w:jc w:val="center"/>
              <w:rPr>
                <w:b/>
                <w:noProof/>
                <w:sz w:val="20"/>
                <w:lang w:eastAsia="en-AU"/>
              </w:rPr>
            </w:pPr>
            <w:r w:rsidRPr="00C85FBA">
              <w:rPr>
                <w:sz w:val="20"/>
              </w:rPr>
              <w:t>3.973</w:t>
            </w:r>
          </w:p>
        </w:tc>
        <w:tc>
          <w:tcPr>
            <w:tcW w:w="2130" w:type="dxa"/>
            <w:tcBorders>
              <w:top w:val="single" w:sz="4" w:space="0" w:color="auto"/>
            </w:tcBorders>
            <w:vAlign w:val="bottom"/>
          </w:tcPr>
          <w:p w14:paraId="3FBCE4D5" w14:textId="77777777" w:rsidR="009A4875" w:rsidRPr="00C85FBA" w:rsidRDefault="009A4875" w:rsidP="009F3C4C">
            <w:pPr>
              <w:spacing w:line="240" w:lineRule="auto"/>
              <w:contextualSpacing/>
              <w:jc w:val="center"/>
              <w:rPr>
                <w:b/>
                <w:bCs/>
                <w:noProof/>
                <w:sz w:val="20"/>
                <w:lang w:eastAsia="en-AU"/>
              </w:rPr>
            </w:pPr>
            <w:r w:rsidRPr="00C85FBA">
              <w:rPr>
                <w:rFonts w:cs="Calibri"/>
                <w:b/>
                <w:bCs/>
                <w:sz w:val="20"/>
              </w:rPr>
              <w:t>0.006</w:t>
            </w:r>
          </w:p>
        </w:tc>
      </w:tr>
      <w:tr w:rsidR="009A4875" w:rsidRPr="00C85FBA" w14:paraId="030F9CB5" w14:textId="77777777" w:rsidTr="009F3C4C">
        <w:trPr>
          <w:trHeight w:val="283"/>
          <w:jc w:val="center"/>
        </w:trPr>
        <w:tc>
          <w:tcPr>
            <w:tcW w:w="2324" w:type="dxa"/>
          </w:tcPr>
          <w:p w14:paraId="39EC5A05" w14:textId="77777777" w:rsidR="009A4875" w:rsidRPr="00C85FBA" w:rsidRDefault="009A4875" w:rsidP="009F3C4C">
            <w:pPr>
              <w:spacing w:line="240" w:lineRule="auto"/>
              <w:contextualSpacing/>
              <w:jc w:val="left"/>
              <w:rPr>
                <w:bCs/>
                <w:noProof/>
                <w:sz w:val="20"/>
                <w:lang w:eastAsia="en-AU"/>
              </w:rPr>
            </w:pPr>
            <w:r w:rsidRPr="00C85FBA">
              <w:rPr>
                <w:bCs/>
                <w:noProof/>
                <w:sz w:val="20"/>
                <w:lang w:eastAsia="en-AU"/>
              </w:rPr>
              <w:t>Weir Pool</w:t>
            </w:r>
          </w:p>
        </w:tc>
        <w:tc>
          <w:tcPr>
            <w:tcW w:w="593" w:type="dxa"/>
          </w:tcPr>
          <w:p w14:paraId="3B463687" w14:textId="77777777" w:rsidR="009A4875" w:rsidRPr="00C85FBA" w:rsidRDefault="009A4875" w:rsidP="009F3C4C">
            <w:pPr>
              <w:spacing w:line="240" w:lineRule="auto"/>
              <w:contextualSpacing/>
              <w:jc w:val="center"/>
              <w:rPr>
                <w:bCs/>
                <w:noProof/>
                <w:sz w:val="20"/>
                <w:lang w:eastAsia="en-AU"/>
              </w:rPr>
            </w:pPr>
            <w:r w:rsidRPr="00C85FBA">
              <w:rPr>
                <w:bCs/>
                <w:noProof/>
                <w:sz w:val="20"/>
                <w:lang w:eastAsia="en-AU"/>
              </w:rPr>
              <w:t>1</w:t>
            </w:r>
          </w:p>
        </w:tc>
        <w:tc>
          <w:tcPr>
            <w:tcW w:w="1225" w:type="dxa"/>
          </w:tcPr>
          <w:p w14:paraId="0FA6A22D" w14:textId="77777777" w:rsidR="009A4875" w:rsidRPr="00C85FBA" w:rsidRDefault="009A4875" w:rsidP="009F3C4C">
            <w:pPr>
              <w:spacing w:line="240" w:lineRule="auto"/>
              <w:contextualSpacing/>
              <w:jc w:val="center"/>
              <w:rPr>
                <w:b/>
                <w:noProof/>
                <w:sz w:val="20"/>
                <w:lang w:eastAsia="en-AU"/>
              </w:rPr>
            </w:pPr>
            <w:r w:rsidRPr="00C85FBA">
              <w:rPr>
                <w:sz w:val="20"/>
              </w:rPr>
              <w:t>4.453</w:t>
            </w:r>
          </w:p>
        </w:tc>
        <w:tc>
          <w:tcPr>
            <w:tcW w:w="2130" w:type="dxa"/>
            <w:vAlign w:val="bottom"/>
          </w:tcPr>
          <w:p w14:paraId="06A8569E" w14:textId="77777777" w:rsidR="009A4875" w:rsidRPr="000C579D" w:rsidRDefault="009A4875" w:rsidP="009F3C4C">
            <w:pPr>
              <w:spacing w:line="240" w:lineRule="auto"/>
              <w:contextualSpacing/>
              <w:jc w:val="center"/>
              <w:rPr>
                <w:b/>
                <w:bCs/>
                <w:noProof/>
                <w:sz w:val="20"/>
                <w:lang w:eastAsia="en-AU"/>
              </w:rPr>
            </w:pPr>
            <w:r w:rsidRPr="000C579D">
              <w:rPr>
                <w:rFonts w:cs="Calibri"/>
                <w:b/>
                <w:bCs/>
                <w:sz w:val="20"/>
              </w:rPr>
              <w:t>0.042</w:t>
            </w:r>
          </w:p>
        </w:tc>
      </w:tr>
      <w:tr w:rsidR="009A4875" w:rsidRPr="00C85FBA" w14:paraId="04D18147" w14:textId="77777777" w:rsidTr="009F3C4C">
        <w:trPr>
          <w:trHeight w:val="283"/>
          <w:jc w:val="center"/>
        </w:trPr>
        <w:tc>
          <w:tcPr>
            <w:tcW w:w="2324" w:type="dxa"/>
          </w:tcPr>
          <w:p w14:paraId="08FB6CCD" w14:textId="77777777" w:rsidR="009A4875" w:rsidRPr="00C85FBA" w:rsidRDefault="009A4875" w:rsidP="009F3C4C">
            <w:pPr>
              <w:spacing w:line="240" w:lineRule="auto"/>
              <w:contextualSpacing/>
              <w:jc w:val="left"/>
              <w:rPr>
                <w:bCs/>
                <w:noProof/>
                <w:sz w:val="20"/>
                <w:lang w:eastAsia="en-AU"/>
              </w:rPr>
            </w:pPr>
            <w:r w:rsidRPr="00C85FBA">
              <w:rPr>
                <w:bCs/>
                <w:noProof/>
                <w:sz w:val="20"/>
                <w:lang w:eastAsia="en-AU"/>
              </w:rPr>
              <w:t>Year x Weir Pool</w:t>
            </w:r>
          </w:p>
        </w:tc>
        <w:tc>
          <w:tcPr>
            <w:tcW w:w="593" w:type="dxa"/>
          </w:tcPr>
          <w:p w14:paraId="3089ABEC" w14:textId="77777777" w:rsidR="009A4875" w:rsidRPr="00C85FBA" w:rsidRDefault="009A4875" w:rsidP="009F3C4C">
            <w:pPr>
              <w:spacing w:line="240" w:lineRule="auto"/>
              <w:contextualSpacing/>
              <w:jc w:val="center"/>
              <w:rPr>
                <w:bCs/>
                <w:noProof/>
                <w:sz w:val="20"/>
                <w:lang w:eastAsia="en-AU"/>
              </w:rPr>
            </w:pPr>
            <w:r w:rsidRPr="00C85FBA">
              <w:rPr>
                <w:bCs/>
                <w:noProof/>
                <w:sz w:val="20"/>
                <w:lang w:eastAsia="en-AU"/>
              </w:rPr>
              <w:t>5</w:t>
            </w:r>
          </w:p>
        </w:tc>
        <w:tc>
          <w:tcPr>
            <w:tcW w:w="1225" w:type="dxa"/>
          </w:tcPr>
          <w:p w14:paraId="2C955717" w14:textId="77777777" w:rsidR="009A4875" w:rsidRPr="00C85FBA" w:rsidRDefault="009A4875" w:rsidP="009F3C4C">
            <w:pPr>
              <w:spacing w:line="240" w:lineRule="auto"/>
              <w:contextualSpacing/>
              <w:jc w:val="center"/>
              <w:rPr>
                <w:b/>
                <w:noProof/>
                <w:sz w:val="20"/>
                <w:lang w:eastAsia="en-AU"/>
              </w:rPr>
            </w:pPr>
            <w:r w:rsidRPr="00C85FBA">
              <w:rPr>
                <w:sz w:val="20"/>
              </w:rPr>
              <w:t>0.442</w:t>
            </w:r>
          </w:p>
        </w:tc>
        <w:tc>
          <w:tcPr>
            <w:tcW w:w="2130" w:type="dxa"/>
            <w:vAlign w:val="bottom"/>
          </w:tcPr>
          <w:p w14:paraId="783ADA31" w14:textId="77777777" w:rsidR="009A4875" w:rsidRPr="00C85FBA" w:rsidRDefault="009A4875" w:rsidP="009F3C4C">
            <w:pPr>
              <w:spacing w:line="240" w:lineRule="auto"/>
              <w:contextualSpacing/>
              <w:jc w:val="center"/>
              <w:rPr>
                <w:b/>
                <w:noProof/>
                <w:sz w:val="20"/>
                <w:lang w:eastAsia="en-AU"/>
              </w:rPr>
            </w:pPr>
            <w:r w:rsidRPr="00C85FBA">
              <w:rPr>
                <w:rFonts w:cs="Calibri"/>
                <w:sz w:val="20"/>
              </w:rPr>
              <w:t>0.810</w:t>
            </w:r>
          </w:p>
        </w:tc>
      </w:tr>
      <w:tr w:rsidR="009A4875" w:rsidRPr="00C85FBA" w14:paraId="59C74462" w14:textId="77777777" w:rsidTr="009F3C4C">
        <w:trPr>
          <w:trHeight w:val="283"/>
          <w:jc w:val="center"/>
        </w:trPr>
        <w:tc>
          <w:tcPr>
            <w:tcW w:w="2324" w:type="dxa"/>
          </w:tcPr>
          <w:p w14:paraId="74593936" w14:textId="77777777" w:rsidR="009A4875" w:rsidRPr="00C85FBA" w:rsidRDefault="009A4875" w:rsidP="009F3C4C">
            <w:pPr>
              <w:spacing w:line="240" w:lineRule="auto"/>
              <w:contextualSpacing/>
              <w:jc w:val="left"/>
              <w:rPr>
                <w:bCs/>
                <w:noProof/>
                <w:sz w:val="20"/>
                <w:lang w:eastAsia="en-AU"/>
              </w:rPr>
            </w:pPr>
            <w:r w:rsidRPr="00C85FBA">
              <w:rPr>
                <w:bCs/>
                <w:noProof/>
                <w:sz w:val="20"/>
                <w:lang w:eastAsia="en-AU"/>
              </w:rPr>
              <w:t>Residuals</w:t>
            </w:r>
          </w:p>
        </w:tc>
        <w:tc>
          <w:tcPr>
            <w:tcW w:w="593" w:type="dxa"/>
          </w:tcPr>
          <w:p w14:paraId="1DF4C435" w14:textId="77777777" w:rsidR="009A4875" w:rsidRPr="00C85FBA" w:rsidRDefault="009A4875" w:rsidP="009F3C4C">
            <w:pPr>
              <w:spacing w:line="240" w:lineRule="auto"/>
              <w:contextualSpacing/>
              <w:jc w:val="center"/>
              <w:rPr>
                <w:bCs/>
                <w:noProof/>
                <w:sz w:val="20"/>
                <w:lang w:eastAsia="en-AU"/>
              </w:rPr>
            </w:pPr>
            <w:r w:rsidRPr="00C85FBA">
              <w:rPr>
                <w:bCs/>
                <w:noProof/>
                <w:sz w:val="20"/>
                <w:lang w:eastAsia="en-AU"/>
              </w:rPr>
              <w:t>36</w:t>
            </w:r>
          </w:p>
        </w:tc>
        <w:tc>
          <w:tcPr>
            <w:tcW w:w="1225" w:type="dxa"/>
          </w:tcPr>
          <w:p w14:paraId="5217D4D5" w14:textId="77777777" w:rsidR="009A4875" w:rsidRPr="00C85FBA" w:rsidRDefault="009A4875" w:rsidP="009F3C4C">
            <w:pPr>
              <w:spacing w:line="240" w:lineRule="auto"/>
              <w:contextualSpacing/>
              <w:jc w:val="center"/>
              <w:rPr>
                <w:b/>
                <w:noProof/>
                <w:sz w:val="20"/>
                <w:lang w:eastAsia="en-AU"/>
              </w:rPr>
            </w:pPr>
          </w:p>
        </w:tc>
        <w:tc>
          <w:tcPr>
            <w:tcW w:w="2130" w:type="dxa"/>
            <w:vAlign w:val="bottom"/>
          </w:tcPr>
          <w:p w14:paraId="774CD654" w14:textId="77777777" w:rsidR="009A4875" w:rsidRPr="00C85FBA" w:rsidRDefault="009A4875" w:rsidP="009F3C4C">
            <w:pPr>
              <w:spacing w:line="240" w:lineRule="auto"/>
              <w:contextualSpacing/>
              <w:jc w:val="center"/>
              <w:rPr>
                <w:b/>
                <w:noProof/>
                <w:sz w:val="20"/>
                <w:lang w:eastAsia="en-AU"/>
              </w:rPr>
            </w:pPr>
          </w:p>
        </w:tc>
      </w:tr>
      <w:tr w:rsidR="009A4875" w:rsidRPr="00C85FBA" w14:paraId="09B8611E" w14:textId="77777777" w:rsidTr="009F3C4C">
        <w:trPr>
          <w:trHeight w:val="283"/>
          <w:jc w:val="center"/>
        </w:trPr>
        <w:tc>
          <w:tcPr>
            <w:tcW w:w="2324" w:type="dxa"/>
            <w:tcBorders>
              <w:bottom w:val="single" w:sz="4" w:space="0" w:color="auto"/>
            </w:tcBorders>
          </w:tcPr>
          <w:p w14:paraId="4C9744C8" w14:textId="77777777" w:rsidR="009A4875" w:rsidRPr="00C85FBA" w:rsidRDefault="009A4875" w:rsidP="009F3C4C">
            <w:pPr>
              <w:spacing w:line="240" w:lineRule="auto"/>
              <w:contextualSpacing/>
              <w:jc w:val="left"/>
              <w:rPr>
                <w:b/>
                <w:noProof/>
                <w:sz w:val="20"/>
                <w:lang w:eastAsia="en-AU"/>
              </w:rPr>
            </w:pPr>
          </w:p>
        </w:tc>
        <w:tc>
          <w:tcPr>
            <w:tcW w:w="593" w:type="dxa"/>
            <w:tcBorders>
              <w:bottom w:val="single" w:sz="4" w:space="0" w:color="auto"/>
            </w:tcBorders>
          </w:tcPr>
          <w:p w14:paraId="62369D0C" w14:textId="77777777" w:rsidR="009A4875" w:rsidRPr="00C85FBA" w:rsidRDefault="009A4875" w:rsidP="009F3C4C">
            <w:pPr>
              <w:spacing w:line="240" w:lineRule="auto"/>
              <w:contextualSpacing/>
              <w:jc w:val="center"/>
              <w:rPr>
                <w:b/>
                <w:noProof/>
                <w:sz w:val="20"/>
                <w:lang w:eastAsia="en-AU"/>
              </w:rPr>
            </w:pPr>
          </w:p>
        </w:tc>
        <w:tc>
          <w:tcPr>
            <w:tcW w:w="1225" w:type="dxa"/>
            <w:tcBorders>
              <w:bottom w:val="single" w:sz="4" w:space="0" w:color="auto"/>
            </w:tcBorders>
          </w:tcPr>
          <w:p w14:paraId="6433C0E1" w14:textId="77777777" w:rsidR="009A4875" w:rsidRPr="00C85FBA" w:rsidRDefault="009A4875" w:rsidP="009F3C4C">
            <w:pPr>
              <w:spacing w:line="240" w:lineRule="auto"/>
              <w:contextualSpacing/>
              <w:jc w:val="center"/>
              <w:rPr>
                <w:b/>
                <w:noProof/>
                <w:sz w:val="20"/>
                <w:lang w:eastAsia="en-AU"/>
              </w:rPr>
            </w:pPr>
          </w:p>
        </w:tc>
        <w:tc>
          <w:tcPr>
            <w:tcW w:w="2130" w:type="dxa"/>
            <w:tcBorders>
              <w:bottom w:val="single" w:sz="4" w:space="0" w:color="auto"/>
            </w:tcBorders>
          </w:tcPr>
          <w:p w14:paraId="307B6AAE" w14:textId="77777777" w:rsidR="009A4875" w:rsidRPr="00C85FBA" w:rsidRDefault="009A4875" w:rsidP="009F3C4C">
            <w:pPr>
              <w:spacing w:line="240" w:lineRule="auto"/>
              <w:contextualSpacing/>
              <w:jc w:val="center"/>
              <w:rPr>
                <w:b/>
                <w:noProof/>
                <w:sz w:val="20"/>
                <w:lang w:eastAsia="en-AU"/>
              </w:rPr>
            </w:pPr>
          </w:p>
        </w:tc>
      </w:tr>
      <w:tr w:rsidR="009A4875" w:rsidRPr="00C85FBA" w14:paraId="38F7C1F0" w14:textId="77777777" w:rsidTr="009F3C4C">
        <w:trPr>
          <w:trHeight w:val="283"/>
          <w:jc w:val="center"/>
        </w:trPr>
        <w:tc>
          <w:tcPr>
            <w:tcW w:w="2324" w:type="dxa"/>
            <w:tcBorders>
              <w:top w:val="single" w:sz="4" w:space="0" w:color="auto"/>
              <w:bottom w:val="single" w:sz="4" w:space="0" w:color="auto"/>
            </w:tcBorders>
          </w:tcPr>
          <w:p w14:paraId="01726F74" w14:textId="77777777" w:rsidR="009A4875" w:rsidRPr="00C85FBA" w:rsidRDefault="009A4875" w:rsidP="009F3C4C">
            <w:pPr>
              <w:spacing w:line="240" w:lineRule="auto"/>
              <w:contextualSpacing/>
              <w:jc w:val="center"/>
              <w:rPr>
                <w:b/>
                <w:noProof/>
                <w:sz w:val="20"/>
                <w:lang w:eastAsia="en-AU"/>
              </w:rPr>
            </w:pPr>
            <w:r w:rsidRPr="00C85FBA">
              <w:rPr>
                <w:b/>
                <w:noProof/>
                <w:sz w:val="20"/>
                <w:lang w:eastAsia="en-AU"/>
              </w:rPr>
              <w:t>Pairwise comparisons</w:t>
            </w:r>
          </w:p>
          <w:p w14:paraId="1E2A676B" w14:textId="77777777" w:rsidR="009A4875" w:rsidRPr="00C85FBA" w:rsidRDefault="009A4875" w:rsidP="009F3C4C">
            <w:pPr>
              <w:spacing w:line="240" w:lineRule="auto"/>
              <w:contextualSpacing/>
              <w:jc w:val="center"/>
              <w:rPr>
                <w:bCs/>
                <w:noProof/>
                <w:sz w:val="20"/>
                <w:lang w:eastAsia="en-AU"/>
              </w:rPr>
            </w:pPr>
            <w:r w:rsidRPr="00C85FBA">
              <w:rPr>
                <w:bCs/>
                <w:noProof/>
                <w:sz w:val="20"/>
                <w:lang w:eastAsia="en-AU"/>
              </w:rPr>
              <w:t>(between years)</w:t>
            </w:r>
          </w:p>
        </w:tc>
        <w:tc>
          <w:tcPr>
            <w:tcW w:w="593" w:type="dxa"/>
            <w:tcBorders>
              <w:top w:val="single" w:sz="4" w:space="0" w:color="auto"/>
              <w:bottom w:val="single" w:sz="4" w:space="0" w:color="auto"/>
            </w:tcBorders>
          </w:tcPr>
          <w:p w14:paraId="5BCE4924" w14:textId="77777777" w:rsidR="009A4875" w:rsidRPr="00C85FBA" w:rsidRDefault="009A4875" w:rsidP="009F3C4C">
            <w:pPr>
              <w:spacing w:line="240" w:lineRule="auto"/>
              <w:contextualSpacing/>
              <w:jc w:val="center"/>
              <w:rPr>
                <w:b/>
                <w:i/>
                <w:noProof/>
                <w:sz w:val="20"/>
                <w:lang w:eastAsia="en-AU"/>
              </w:rPr>
            </w:pPr>
          </w:p>
        </w:tc>
        <w:tc>
          <w:tcPr>
            <w:tcW w:w="1225" w:type="dxa"/>
            <w:tcBorders>
              <w:top w:val="single" w:sz="4" w:space="0" w:color="auto"/>
              <w:bottom w:val="single" w:sz="4" w:space="0" w:color="auto"/>
            </w:tcBorders>
          </w:tcPr>
          <w:p w14:paraId="13D8C42F" w14:textId="77777777" w:rsidR="009A4875" w:rsidRPr="00C85FBA" w:rsidRDefault="009A4875" w:rsidP="009F3C4C">
            <w:pPr>
              <w:spacing w:line="240" w:lineRule="auto"/>
              <w:contextualSpacing/>
              <w:jc w:val="center"/>
              <w:rPr>
                <w:b/>
                <w:noProof/>
                <w:sz w:val="20"/>
                <w:lang w:eastAsia="en-AU"/>
              </w:rPr>
            </w:pPr>
            <w:r w:rsidRPr="00C85FBA">
              <w:rPr>
                <w:b/>
                <w:i/>
                <w:noProof/>
                <w:sz w:val="20"/>
                <w:lang w:eastAsia="en-AU"/>
              </w:rPr>
              <w:t>t</w:t>
            </w:r>
          </w:p>
        </w:tc>
        <w:tc>
          <w:tcPr>
            <w:tcW w:w="2130" w:type="dxa"/>
            <w:tcBorders>
              <w:top w:val="single" w:sz="4" w:space="0" w:color="auto"/>
              <w:bottom w:val="single" w:sz="4" w:space="0" w:color="auto"/>
            </w:tcBorders>
          </w:tcPr>
          <w:p w14:paraId="7DEAEFA0" w14:textId="77777777" w:rsidR="009A4875" w:rsidRPr="00C85FBA" w:rsidRDefault="009A4875" w:rsidP="009F3C4C">
            <w:pPr>
              <w:spacing w:line="240" w:lineRule="auto"/>
              <w:contextualSpacing/>
              <w:jc w:val="center"/>
              <w:rPr>
                <w:b/>
                <w:noProof/>
                <w:sz w:val="20"/>
                <w:lang w:eastAsia="en-AU"/>
              </w:rPr>
            </w:pPr>
            <w:r w:rsidRPr="00C85FBA">
              <w:rPr>
                <w:b/>
                <w:i/>
                <w:noProof/>
                <w:sz w:val="20"/>
                <w:lang w:eastAsia="en-AU"/>
              </w:rPr>
              <w:t>p</w:t>
            </w:r>
            <w:r w:rsidRPr="00C85FBA">
              <w:rPr>
                <w:b/>
                <w:noProof/>
                <w:sz w:val="20"/>
                <w:lang w:eastAsia="en-AU"/>
              </w:rPr>
              <w:t xml:space="preserve"> value</w:t>
            </w:r>
          </w:p>
        </w:tc>
      </w:tr>
      <w:tr w:rsidR="009A4875" w:rsidRPr="00C85FBA" w14:paraId="028FD95D" w14:textId="77777777" w:rsidTr="009F3C4C">
        <w:trPr>
          <w:trHeight w:val="283"/>
          <w:jc w:val="center"/>
        </w:trPr>
        <w:tc>
          <w:tcPr>
            <w:tcW w:w="2324" w:type="dxa"/>
            <w:tcBorders>
              <w:top w:val="single" w:sz="4" w:space="0" w:color="auto"/>
            </w:tcBorders>
            <w:vAlign w:val="bottom"/>
          </w:tcPr>
          <w:p w14:paraId="13D7F4EC" w14:textId="77777777" w:rsidR="009A4875" w:rsidRPr="00C85FBA" w:rsidRDefault="009A4875" w:rsidP="009F3C4C">
            <w:pPr>
              <w:spacing w:line="240" w:lineRule="auto"/>
              <w:contextualSpacing/>
              <w:jc w:val="center"/>
              <w:rPr>
                <w:sz w:val="20"/>
              </w:rPr>
            </w:pPr>
            <w:r w:rsidRPr="00C85FBA">
              <w:rPr>
                <w:rFonts w:cs="Calibri"/>
                <w:sz w:val="20"/>
              </w:rPr>
              <w:t>2013, 2014</w:t>
            </w:r>
          </w:p>
        </w:tc>
        <w:tc>
          <w:tcPr>
            <w:tcW w:w="593" w:type="dxa"/>
            <w:tcBorders>
              <w:top w:val="single" w:sz="4" w:space="0" w:color="auto"/>
            </w:tcBorders>
          </w:tcPr>
          <w:p w14:paraId="5EDBC851" w14:textId="77777777" w:rsidR="009A4875" w:rsidRPr="00C85FBA" w:rsidRDefault="009A4875" w:rsidP="009F3C4C">
            <w:pPr>
              <w:spacing w:line="240" w:lineRule="auto"/>
              <w:contextualSpacing/>
              <w:jc w:val="center"/>
              <w:rPr>
                <w:sz w:val="20"/>
              </w:rPr>
            </w:pPr>
          </w:p>
        </w:tc>
        <w:tc>
          <w:tcPr>
            <w:tcW w:w="1225" w:type="dxa"/>
            <w:tcBorders>
              <w:top w:val="single" w:sz="4" w:space="0" w:color="auto"/>
            </w:tcBorders>
          </w:tcPr>
          <w:p w14:paraId="30A0A950" w14:textId="77777777" w:rsidR="009A4875" w:rsidRPr="00C85FBA" w:rsidRDefault="009A4875" w:rsidP="009F3C4C">
            <w:pPr>
              <w:spacing w:line="240" w:lineRule="auto"/>
              <w:contextualSpacing/>
              <w:jc w:val="center"/>
              <w:rPr>
                <w:sz w:val="20"/>
              </w:rPr>
            </w:pPr>
            <w:r w:rsidRPr="00C85FBA">
              <w:rPr>
                <w:sz w:val="20"/>
              </w:rPr>
              <w:t>0.334</w:t>
            </w:r>
          </w:p>
        </w:tc>
        <w:tc>
          <w:tcPr>
            <w:tcW w:w="2130" w:type="dxa"/>
            <w:tcBorders>
              <w:top w:val="single" w:sz="4" w:space="0" w:color="auto"/>
            </w:tcBorders>
          </w:tcPr>
          <w:p w14:paraId="1E8C2C65" w14:textId="77777777" w:rsidR="009A4875" w:rsidRPr="00C85FBA" w:rsidRDefault="009A4875" w:rsidP="009F3C4C">
            <w:pPr>
              <w:spacing w:line="240" w:lineRule="auto"/>
              <w:contextualSpacing/>
              <w:jc w:val="center"/>
              <w:rPr>
                <w:sz w:val="20"/>
              </w:rPr>
            </w:pPr>
            <w:r w:rsidRPr="00C85FBA">
              <w:rPr>
                <w:sz w:val="20"/>
              </w:rPr>
              <w:t>0.744</w:t>
            </w:r>
          </w:p>
        </w:tc>
      </w:tr>
      <w:tr w:rsidR="009A4875" w:rsidRPr="00C85FBA" w14:paraId="03DD2E45" w14:textId="77777777" w:rsidTr="009F3C4C">
        <w:trPr>
          <w:trHeight w:val="283"/>
          <w:jc w:val="center"/>
        </w:trPr>
        <w:tc>
          <w:tcPr>
            <w:tcW w:w="2324" w:type="dxa"/>
            <w:vAlign w:val="bottom"/>
          </w:tcPr>
          <w:p w14:paraId="639280E0" w14:textId="77777777" w:rsidR="009A4875" w:rsidRPr="00C85FBA" w:rsidRDefault="009A4875" w:rsidP="009F3C4C">
            <w:pPr>
              <w:spacing w:line="240" w:lineRule="auto"/>
              <w:contextualSpacing/>
              <w:jc w:val="center"/>
              <w:rPr>
                <w:b/>
                <w:noProof/>
                <w:sz w:val="20"/>
                <w:highlight w:val="yellow"/>
                <w:lang w:eastAsia="en-AU"/>
              </w:rPr>
            </w:pPr>
            <w:r w:rsidRPr="00C85FBA">
              <w:rPr>
                <w:rFonts w:cs="Calibri"/>
                <w:sz w:val="20"/>
              </w:rPr>
              <w:t>2013, 2015</w:t>
            </w:r>
          </w:p>
        </w:tc>
        <w:tc>
          <w:tcPr>
            <w:tcW w:w="593" w:type="dxa"/>
          </w:tcPr>
          <w:p w14:paraId="06670525" w14:textId="77777777" w:rsidR="009A4875" w:rsidRPr="00C85FBA" w:rsidRDefault="009A4875" w:rsidP="009F3C4C">
            <w:pPr>
              <w:spacing w:line="240" w:lineRule="auto"/>
              <w:contextualSpacing/>
              <w:jc w:val="center"/>
              <w:rPr>
                <w:sz w:val="20"/>
              </w:rPr>
            </w:pPr>
          </w:p>
        </w:tc>
        <w:tc>
          <w:tcPr>
            <w:tcW w:w="1225" w:type="dxa"/>
          </w:tcPr>
          <w:p w14:paraId="393D18E9" w14:textId="77777777" w:rsidR="009A4875" w:rsidRPr="00C85FBA" w:rsidRDefault="009A4875" w:rsidP="009F3C4C">
            <w:pPr>
              <w:spacing w:line="240" w:lineRule="auto"/>
              <w:contextualSpacing/>
              <w:jc w:val="center"/>
              <w:rPr>
                <w:b/>
                <w:noProof/>
                <w:sz w:val="20"/>
                <w:lang w:eastAsia="en-AU"/>
              </w:rPr>
            </w:pPr>
            <w:r w:rsidRPr="00C85FBA">
              <w:rPr>
                <w:sz w:val="20"/>
              </w:rPr>
              <w:t>1.401</w:t>
            </w:r>
          </w:p>
        </w:tc>
        <w:tc>
          <w:tcPr>
            <w:tcW w:w="2130" w:type="dxa"/>
          </w:tcPr>
          <w:p w14:paraId="77F16C85" w14:textId="77777777" w:rsidR="009A4875" w:rsidRPr="00C85FBA" w:rsidRDefault="009A4875" w:rsidP="009F3C4C">
            <w:pPr>
              <w:spacing w:line="240" w:lineRule="auto"/>
              <w:contextualSpacing/>
              <w:jc w:val="center"/>
              <w:rPr>
                <w:noProof/>
                <w:sz w:val="20"/>
                <w:lang w:eastAsia="en-AU"/>
              </w:rPr>
            </w:pPr>
            <w:r w:rsidRPr="00C85FBA">
              <w:rPr>
                <w:sz w:val="20"/>
              </w:rPr>
              <w:t>0.193</w:t>
            </w:r>
          </w:p>
        </w:tc>
      </w:tr>
      <w:tr w:rsidR="009A4875" w:rsidRPr="00C85FBA" w14:paraId="3255FDD4" w14:textId="77777777" w:rsidTr="009F3C4C">
        <w:trPr>
          <w:trHeight w:val="283"/>
          <w:jc w:val="center"/>
        </w:trPr>
        <w:tc>
          <w:tcPr>
            <w:tcW w:w="2324" w:type="dxa"/>
            <w:vAlign w:val="bottom"/>
          </w:tcPr>
          <w:p w14:paraId="5744BB99" w14:textId="77777777" w:rsidR="009A4875" w:rsidRPr="00C85FBA" w:rsidRDefault="009A4875" w:rsidP="009F3C4C">
            <w:pPr>
              <w:spacing w:line="240" w:lineRule="auto"/>
              <w:contextualSpacing/>
              <w:jc w:val="center"/>
              <w:rPr>
                <w:b/>
                <w:noProof/>
                <w:sz w:val="20"/>
                <w:highlight w:val="yellow"/>
                <w:lang w:eastAsia="en-AU"/>
              </w:rPr>
            </w:pPr>
            <w:r w:rsidRPr="00C85FBA">
              <w:rPr>
                <w:rFonts w:cs="Calibri"/>
                <w:sz w:val="20"/>
              </w:rPr>
              <w:t>2013, 2016</w:t>
            </w:r>
          </w:p>
        </w:tc>
        <w:tc>
          <w:tcPr>
            <w:tcW w:w="593" w:type="dxa"/>
          </w:tcPr>
          <w:p w14:paraId="02DDAEB5" w14:textId="77777777" w:rsidR="009A4875" w:rsidRPr="00C85FBA" w:rsidRDefault="009A4875" w:rsidP="009F3C4C">
            <w:pPr>
              <w:spacing w:line="240" w:lineRule="auto"/>
              <w:contextualSpacing/>
              <w:jc w:val="center"/>
              <w:rPr>
                <w:sz w:val="20"/>
              </w:rPr>
            </w:pPr>
          </w:p>
        </w:tc>
        <w:tc>
          <w:tcPr>
            <w:tcW w:w="1225" w:type="dxa"/>
          </w:tcPr>
          <w:p w14:paraId="0D840C3B" w14:textId="77777777" w:rsidR="009A4875" w:rsidRPr="00C85FBA" w:rsidRDefault="009A4875" w:rsidP="009F3C4C">
            <w:pPr>
              <w:spacing w:line="240" w:lineRule="auto"/>
              <w:contextualSpacing/>
              <w:jc w:val="center"/>
              <w:rPr>
                <w:b/>
                <w:noProof/>
                <w:sz w:val="20"/>
                <w:lang w:eastAsia="en-AU"/>
              </w:rPr>
            </w:pPr>
            <w:r w:rsidRPr="00C85FBA">
              <w:rPr>
                <w:sz w:val="20"/>
              </w:rPr>
              <w:t>1.925</w:t>
            </w:r>
          </w:p>
        </w:tc>
        <w:tc>
          <w:tcPr>
            <w:tcW w:w="2130" w:type="dxa"/>
          </w:tcPr>
          <w:p w14:paraId="1DD5E8F0" w14:textId="77777777" w:rsidR="009A4875" w:rsidRPr="00C85FBA" w:rsidRDefault="009A4875" w:rsidP="009F3C4C">
            <w:pPr>
              <w:spacing w:line="240" w:lineRule="auto"/>
              <w:contextualSpacing/>
              <w:jc w:val="center"/>
              <w:rPr>
                <w:noProof/>
                <w:sz w:val="20"/>
                <w:lang w:eastAsia="en-AU"/>
              </w:rPr>
            </w:pPr>
            <w:r w:rsidRPr="00C85FBA">
              <w:rPr>
                <w:sz w:val="20"/>
              </w:rPr>
              <w:t>0.097</w:t>
            </w:r>
          </w:p>
        </w:tc>
      </w:tr>
      <w:tr w:rsidR="009A4875" w:rsidRPr="00C85FBA" w14:paraId="52336572" w14:textId="77777777" w:rsidTr="009F3C4C">
        <w:trPr>
          <w:trHeight w:val="283"/>
          <w:jc w:val="center"/>
        </w:trPr>
        <w:tc>
          <w:tcPr>
            <w:tcW w:w="2324" w:type="dxa"/>
            <w:vAlign w:val="bottom"/>
          </w:tcPr>
          <w:p w14:paraId="27F78229" w14:textId="77777777" w:rsidR="009A4875" w:rsidRPr="00C85FBA" w:rsidRDefault="009A4875" w:rsidP="009F3C4C">
            <w:pPr>
              <w:spacing w:line="240" w:lineRule="auto"/>
              <w:contextualSpacing/>
              <w:jc w:val="center"/>
              <w:rPr>
                <w:b/>
                <w:noProof/>
                <w:sz w:val="20"/>
                <w:highlight w:val="yellow"/>
                <w:lang w:eastAsia="en-AU"/>
              </w:rPr>
            </w:pPr>
            <w:r w:rsidRPr="00C85FBA">
              <w:rPr>
                <w:rFonts w:cs="Calibri"/>
                <w:sz w:val="20"/>
              </w:rPr>
              <w:t>2013, 2017</w:t>
            </w:r>
          </w:p>
        </w:tc>
        <w:tc>
          <w:tcPr>
            <w:tcW w:w="593" w:type="dxa"/>
          </w:tcPr>
          <w:p w14:paraId="5D49380F" w14:textId="77777777" w:rsidR="009A4875" w:rsidRPr="00C85FBA" w:rsidRDefault="009A4875" w:rsidP="009F3C4C">
            <w:pPr>
              <w:spacing w:line="240" w:lineRule="auto"/>
              <w:contextualSpacing/>
              <w:jc w:val="center"/>
              <w:rPr>
                <w:sz w:val="20"/>
              </w:rPr>
            </w:pPr>
          </w:p>
        </w:tc>
        <w:tc>
          <w:tcPr>
            <w:tcW w:w="1225" w:type="dxa"/>
          </w:tcPr>
          <w:p w14:paraId="5CF87722" w14:textId="77777777" w:rsidR="009A4875" w:rsidRPr="00C85FBA" w:rsidRDefault="009A4875" w:rsidP="009F3C4C">
            <w:pPr>
              <w:spacing w:line="240" w:lineRule="auto"/>
              <w:contextualSpacing/>
              <w:jc w:val="center"/>
              <w:rPr>
                <w:b/>
                <w:noProof/>
                <w:sz w:val="20"/>
                <w:lang w:eastAsia="en-AU"/>
              </w:rPr>
            </w:pPr>
            <w:r w:rsidRPr="00C85FBA">
              <w:rPr>
                <w:sz w:val="20"/>
              </w:rPr>
              <w:t>0.450</w:t>
            </w:r>
          </w:p>
        </w:tc>
        <w:tc>
          <w:tcPr>
            <w:tcW w:w="2130" w:type="dxa"/>
          </w:tcPr>
          <w:p w14:paraId="42FF2B78" w14:textId="77777777" w:rsidR="009A4875" w:rsidRPr="00C85FBA" w:rsidRDefault="009A4875" w:rsidP="009F3C4C">
            <w:pPr>
              <w:spacing w:line="240" w:lineRule="auto"/>
              <w:contextualSpacing/>
              <w:jc w:val="center"/>
              <w:rPr>
                <w:noProof/>
                <w:sz w:val="20"/>
                <w:lang w:eastAsia="en-AU"/>
              </w:rPr>
            </w:pPr>
            <w:r w:rsidRPr="00C85FBA">
              <w:rPr>
                <w:sz w:val="20"/>
              </w:rPr>
              <w:t>0.657</w:t>
            </w:r>
          </w:p>
        </w:tc>
      </w:tr>
      <w:tr w:rsidR="009A4875" w:rsidRPr="00C85FBA" w14:paraId="030DFE7B" w14:textId="77777777" w:rsidTr="009F3C4C">
        <w:trPr>
          <w:trHeight w:val="283"/>
          <w:jc w:val="center"/>
        </w:trPr>
        <w:tc>
          <w:tcPr>
            <w:tcW w:w="2324" w:type="dxa"/>
            <w:vAlign w:val="bottom"/>
          </w:tcPr>
          <w:p w14:paraId="18C7B1DD" w14:textId="77777777" w:rsidR="009A4875" w:rsidRPr="00C85FBA" w:rsidRDefault="009A4875" w:rsidP="009F3C4C">
            <w:pPr>
              <w:spacing w:line="240" w:lineRule="auto"/>
              <w:contextualSpacing/>
              <w:jc w:val="center"/>
              <w:rPr>
                <w:b/>
                <w:noProof/>
                <w:sz w:val="20"/>
                <w:highlight w:val="yellow"/>
                <w:lang w:eastAsia="en-AU"/>
              </w:rPr>
            </w:pPr>
            <w:r w:rsidRPr="00C85FBA">
              <w:rPr>
                <w:rFonts w:cs="Calibri"/>
                <w:sz w:val="20"/>
              </w:rPr>
              <w:t>2013, 2019</w:t>
            </w:r>
          </w:p>
        </w:tc>
        <w:tc>
          <w:tcPr>
            <w:tcW w:w="593" w:type="dxa"/>
          </w:tcPr>
          <w:p w14:paraId="3FFF30E5" w14:textId="77777777" w:rsidR="009A4875" w:rsidRPr="00C85FBA" w:rsidRDefault="009A4875" w:rsidP="009F3C4C">
            <w:pPr>
              <w:spacing w:line="240" w:lineRule="auto"/>
              <w:contextualSpacing/>
              <w:jc w:val="center"/>
              <w:rPr>
                <w:sz w:val="20"/>
              </w:rPr>
            </w:pPr>
          </w:p>
        </w:tc>
        <w:tc>
          <w:tcPr>
            <w:tcW w:w="1225" w:type="dxa"/>
          </w:tcPr>
          <w:p w14:paraId="3C039137" w14:textId="77777777" w:rsidR="009A4875" w:rsidRPr="00C85FBA" w:rsidRDefault="009A4875" w:rsidP="009F3C4C">
            <w:pPr>
              <w:spacing w:line="240" w:lineRule="auto"/>
              <w:contextualSpacing/>
              <w:jc w:val="center"/>
              <w:rPr>
                <w:b/>
                <w:noProof/>
                <w:sz w:val="20"/>
                <w:lang w:eastAsia="en-AU"/>
              </w:rPr>
            </w:pPr>
            <w:r w:rsidRPr="00C85FBA">
              <w:rPr>
                <w:sz w:val="20"/>
              </w:rPr>
              <w:t>1.624</w:t>
            </w:r>
          </w:p>
        </w:tc>
        <w:tc>
          <w:tcPr>
            <w:tcW w:w="2130" w:type="dxa"/>
          </w:tcPr>
          <w:p w14:paraId="6FE6C484" w14:textId="77777777" w:rsidR="009A4875" w:rsidRPr="00311F99" w:rsidRDefault="009A4875" w:rsidP="009F3C4C">
            <w:pPr>
              <w:spacing w:line="240" w:lineRule="auto"/>
              <w:contextualSpacing/>
              <w:jc w:val="center"/>
              <w:rPr>
                <w:b/>
                <w:bCs/>
                <w:noProof/>
                <w:sz w:val="20"/>
                <w:lang w:eastAsia="en-AU"/>
              </w:rPr>
            </w:pPr>
            <w:r w:rsidRPr="00311F99">
              <w:rPr>
                <w:b/>
                <w:bCs/>
                <w:sz w:val="20"/>
              </w:rPr>
              <w:t>0.037</w:t>
            </w:r>
          </w:p>
        </w:tc>
      </w:tr>
      <w:tr w:rsidR="009A4875" w:rsidRPr="00C85FBA" w14:paraId="11C08B4F" w14:textId="77777777" w:rsidTr="009F3C4C">
        <w:trPr>
          <w:trHeight w:val="283"/>
          <w:jc w:val="center"/>
        </w:trPr>
        <w:tc>
          <w:tcPr>
            <w:tcW w:w="2324" w:type="dxa"/>
            <w:vAlign w:val="bottom"/>
          </w:tcPr>
          <w:p w14:paraId="4AE87858" w14:textId="77777777" w:rsidR="009A4875" w:rsidRPr="00C85FBA" w:rsidRDefault="009A4875" w:rsidP="009F3C4C">
            <w:pPr>
              <w:spacing w:line="240" w:lineRule="auto"/>
              <w:contextualSpacing/>
              <w:jc w:val="center"/>
              <w:rPr>
                <w:b/>
                <w:noProof/>
                <w:sz w:val="20"/>
                <w:highlight w:val="yellow"/>
                <w:lang w:eastAsia="en-AU"/>
              </w:rPr>
            </w:pPr>
            <w:r w:rsidRPr="00C85FBA">
              <w:rPr>
                <w:rFonts w:cs="Calibri"/>
                <w:sz w:val="20"/>
              </w:rPr>
              <w:t>2013, 2020</w:t>
            </w:r>
          </w:p>
        </w:tc>
        <w:tc>
          <w:tcPr>
            <w:tcW w:w="593" w:type="dxa"/>
          </w:tcPr>
          <w:p w14:paraId="535DA2A2" w14:textId="77777777" w:rsidR="009A4875" w:rsidRPr="00C85FBA" w:rsidRDefault="009A4875" w:rsidP="009F3C4C">
            <w:pPr>
              <w:spacing w:line="240" w:lineRule="auto"/>
              <w:contextualSpacing/>
              <w:jc w:val="center"/>
              <w:rPr>
                <w:sz w:val="20"/>
              </w:rPr>
            </w:pPr>
          </w:p>
        </w:tc>
        <w:tc>
          <w:tcPr>
            <w:tcW w:w="1225" w:type="dxa"/>
          </w:tcPr>
          <w:p w14:paraId="4A350973" w14:textId="77777777" w:rsidR="009A4875" w:rsidRPr="00C85FBA" w:rsidRDefault="009A4875" w:rsidP="009F3C4C">
            <w:pPr>
              <w:spacing w:line="240" w:lineRule="auto"/>
              <w:contextualSpacing/>
              <w:jc w:val="center"/>
              <w:rPr>
                <w:b/>
                <w:noProof/>
                <w:sz w:val="20"/>
                <w:lang w:eastAsia="en-AU"/>
              </w:rPr>
            </w:pPr>
            <w:r w:rsidRPr="00C85FBA">
              <w:rPr>
                <w:sz w:val="20"/>
              </w:rPr>
              <w:t>1.901</w:t>
            </w:r>
          </w:p>
        </w:tc>
        <w:tc>
          <w:tcPr>
            <w:tcW w:w="2130" w:type="dxa"/>
          </w:tcPr>
          <w:p w14:paraId="6FB8707E" w14:textId="77777777" w:rsidR="009A4875" w:rsidRPr="00C85FBA" w:rsidRDefault="009A4875" w:rsidP="009F3C4C">
            <w:pPr>
              <w:spacing w:line="240" w:lineRule="auto"/>
              <w:contextualSpacing/>
              <w:jc w:val="center"/>
              <w:rPr>
                <w:noProof/>
                <w:sz w:val="20"/>
                <w:lang w:eastAsia="en-AU"/>
              </w:rPr>
            </w:pPr>
            <w:r w:rsidRPr="00C85FBA">
              <w:rPr>
                <w:sz w:val="20"/>
              </w:rPr>
              <w:t>0.081</w:t>
            </w:r>
          </w:p>
        </w:tc>
      </w:tr>
      <w:tr w:rsidR="009A4875" w:rsidRPr="00C85FBA" w14:paraId="4B771D84" w14:textId="77777777" w:rsidTr="009F3C4C">
        <w:trPr>
          <w:trHeight w:val="283"/>
          <w:jc w:val="center"/>
        </w:trPr>
        <w:tc>
          <w:tcPr>
            <w:tcW w:w="2324" w:type="dxa"/>
            <w:vAlign w:val="bottom"/>
          </w:tcPr>
          <w:p w14:paraId="22AD2127" w14:textId="77777777" w:rsidR="009A4875" w:rsidRPr="00C85FBA" w:rsidRDefault="009A4875" w:rsidP="009F3C4C">
            <w:pPr>
              <w:spacing w:line="240" w:lineRule="auto"/>
              <w:contextualSpacing/>
              <w:jc w:val="center"/>
              <w:rPr>
                <w:sz w:val="20"/>
              </w:rPr>
            </w:pPr>
            <w:r w:rsidRPr="00C85FBA">
              <w:rPr>
                <w:rFonts w:cs="Calibri"/>
                <w:sz w:val="20"/>
              </w:rPr>
              <w:t>2014, 2015</w:t>
            </w:r>
          </w:p>
        </w:tc>
        <w:tc>
          <w:tcPr>
            <w:tcW w:w="593" w:type="dxa"/>
          </w:tcPr>
          <w:p w14:paraId="66DDABA2" w14:textId="77777777" w:rsidR="009A4875" w:rsidRPr="00C85FBA" w:rsidRDefault="009A4875" w:rsidP="009F3C4C">
            <w:pPr>
              <w:spacing w:line="240" w:lineRule="auto"/>
              <w:contextualSpacing/>
              <w:jc w:val="center"/>
              <w:rPr>
                <w:sz w:val="20"/>
              </w:rPr>
            </w:pPr>
          </w:p>
        </w:tc>
        <w:tc>
          <w:tcPr>
            <w:tcW w:w="1225" w:type="dxa"/>
          </w:tcPr>
          <w:p w14:paraId="610E5737" w14:textId="77777777" w:rsidR="009A4875" w:rsidRPr="00C85FBA" w:rsidRDefault="009A4875" w:rsidP="009F3C4C">
            <w:pPr>
              <w:spacing w:line="240" w:lineRule="auto"/>
              <w:contextualSpacing/>
              <w:jc w:val="center"/>
              <w:rPr>
                <w:sz w:val="20"/>
              </w:rPr>
            </w:pPr>
            <w:r w:rsidRPr="00C85FBA">
              <w:rPr>
                <w:sz w:val="20"/>
              </w:rPr>
              <w:t>2.023</w:t>
            </w:r>
          </w:p>
        </w:tc>
        <w:tc>
          <w:tcPr>
            <w:tcW w:w="2130" w:type="dxa"/>
          </w:tcPr>
          <w:p w14:paraId="7E34D25C" w14:textId="77777777" w:rsidR="009A4875" w:rsidRPr="00C85FBA" w:rsidRDefault="009A4875" w:rsidP="009F3C4C">
            <w:pPr>
              <w:spacing w:line="240" w:lineRule="auto"/>
              <w:contextualSpacing/>
              <w:jc w:val="center"/>
              <w:rPr>
                <w:sz w:val="20"/>
                <w:highlight w:val="yellow"/>
              </w:rPr>
            </w:pPr>
            <w:r w:rsidRPr="00C85FBA">
              <w:rPr>
                <w:sz w:val="20"/>
              </w:rPr>
              <w:t>0.059</w:t>
            </w:r>
          </w:p>
        </w:tc>
      </w:tr>
      <w:tr w:rsidR="009A4875" w:rsidRPr="00C85FBA" w14:paraId="7F1DF725" w14:textId="77777777" w:rsidTr="009F3C4C">
        <w:trPr>
          <w:trHeight w:val="283"/>
          <w:jc w:val="center"/>
        </w:trPr>
        <w:tc>
          <w:tcPr>
            <w:tcW w:w="2324" w:type="dxa"/>
            <w:vAlign w:val="bottom"/>
          </w:tcPr>
          <w:p w14:paraId="33B421CD" w14:textId="77777777" w:rsidR="009A4875" w:rsidRPr="00C85FBA" w:rsidRDefault="009A4875" w:rsidP="009F3C4C">
            <w:pPr>
              <w:spacing w:line="240" w:lineRule="auto"/>
              <w:contextualSpacing/>
              <w:jc w:val="center"/>
              <w:rPr>
                <w:sz w:val="20"/>
              </w:rPr>
            </w:pPr>
            <w:r w:rsidRPr="00C85FBA">
              <w:rPr>
                <w:rFonts w:cs="Calibri"/>
                <w:sz w:val="20"/>
              </w:rPr>
              <w:t>2014, 2016</w:t>
            </w:r>
          </w:p>
        </w:tc>
        <w:tc>
          <w:tcPr>
            <w:tcW w:w="593" w:type="dxa"/>
          </w:tcPr>
          <w:p w14:paraId="20818EF0" w14:textId="77777777" w:rsidR="009A4875" w:rsidRPr="00C85FBA" w:rsidRDefault="009A4875" w:rsidP="009F3C4C">
            <w:pPr>
              <w:spacing w:line="240" w:lineRule="auto"/>
              <w:contextualSpacing/>
              <w:jc w:val="center"/>
              <w:rPr>
                <w:sz w:val="20"/>
              </w:rPr>
            </w:pPr>
          </w:p>
        </w:tc>
        <w:tc>
          <w:tcPr>
            <w:tcW w:w="1225" w:type="dxa"/>
          </w:tcPr>
          <w:p w14:paraId="25556262" w14:textId="77777777" w:rsidR="009A4875" w:rsidRPr="00C85FBA" w:rsidRDefault="009A4875" w:rsidP="009F3C4C">
            <w:pPr>
              <w:spacing w:line="240" w:lineRule="auto"/>
              <w:contextualSpacing/>
              <w:jc w:val="center"/>
              <w:rPr>
                <w:sz w:val="20"/>
              </w:rPr>
            </w:pPr>
            <w:r w:rsidRPr="00C85FBA">
              <w:rPr>
                <w:sz w:val="20"/>
              </w:rPr>
              <w:t>2.939</w:t>
            </w:r>
          </w:p>
        </w:tc>
        <w:tc>
          <w:tcPr>
            <w:tcW w:w="2130" w:type="dxa"/>
          </w:tcPr>
          <w:p w14:paraId="57AC113B" w14:textId="77777777" w:rsidR="009A4875" w:rsidRPr="00350336" w:rsidRDefault="009A4875" w:rsidP="009F3C4C">
            <w:pPr>
              <w:spacing w:line="240" w:lineRule="auto"/>
              <w:contextualSpacing/>
              <w:jc w:val="center"/>
              <w:rPr>
                <w:b/>
                <w:bCs/>
                <w:sz w:val="20"/>
                <w:highlight w:val="yellow"/>
              </w:rPr>
            </w:pPr>
            <w:r w:rsidRPr="00350336">
              <w:rPr>
                <w:b/>
                <w:bCs/>
                <w:sz w:val="20"/>
              </w:rPr>
              <w:t>0.011</w:t>
            </w:r>
          </w:p>
        </w:tc>
      </w:tr>
      <w:tr w:rsidR="009A4875" w:rsidRPr="00C85FBA" w14:paraId="40098927" w14:textId="77777777" w:rsidTr="009F3C4C">
        <w:trPr>
          <w:trHeight w:val="283"/>
          <w:jc w:val="center"/>
        </w:trPr>
        <w:tc>
          <w:tcPr>
            <w:tcW w:w="2324" w:type="dxa"/>
            <w:vAlign w:val="bottom"/>
          </w:tcPr>
          <w:p w14:paraId="3B9F4A2A" w14:textId="77777777" w:rsidR="009A4875" w:rsidRPr="00C85FBA" w:rsidRDefault="009A4875" w:rsidP="009F3C4C">
            <w:pPr>
              <w:spacing w:line="240" w:lineRule="auto"/>
              <w:contextualSpacing/>
              <w:jc w:val="center"/>
              <w:rPr>
                <w:sz w:val="20"/>
              </w:rPr>
            </w:pPr>
            <w:r w:rsidRPr="00C85FBA">
              <w:rPr>
                <w:rFonts w:cs="Calibri"/>
                <w:sz w:val="20"/>
              </w:rPr>
              <w:t>2014, 2017</w:t>
            </w:r>
          </w:p>
        </w:tc>
        <w:tc>
          <w:tcPr>
            <w:tcW w:w="593" w:type="dxa"/>
          </w:tcPr>
          <w:p w14:paraId="68ED13AF" w14:textId="77777777" w:rsidR="009A4875" w:rsidRPr="00C85FBA" w:rsidRDefault="009A4875" w:rsidP="009F3C4C">
            <w:pPr>
              <w:spacing w:line="240" w:lineRule="auto"/>
              <w:contextualSpacing/>
              <w:jc w:val="center"/>
              <w:rPr>
                <w:sz w:val="20"/>
              </w:rPr>
            </w:pPr>
          </w:p>
        </w:tc>
        <w:tc>
          <w:tcPr>
            <w:tcW w:w="1225" w:type="dxa"/>
          </w:tcPr>
          <w:p w14:paraId="6A190606" w14:textId="77777777" w:rsidR="009A4875" w:rsidRPr="00C85FBA" w:rsidRDefault="009A4875" w:rsidP="009F3C4C">
            <w:pPr>
              <w:spacing w:line="240" w:lineRule="auto"/>
              <w:contextualSpacing/>
              <w:jc w:val="center"/>
              <w:rPr>
                <w:sz w:val="20"/>
              </w:rPr>
            </w:pPr>
            <w:r w:rsidRPr="00C85FBA">
              <w:rPr>
                <w:sz w:val="20"/>
              </w:rPr>
              <w:t>0.346</w:t>
            </w:r>
          </w:p>
        </w:tc>
        <w:tc>
          <w:tcPr>
            <w:tcW w:w="2130" w:type="dxa"/>
          </w:tcPr>
          <w:p w14:paraId="5D091222" w14:textId="77777777" w:rsidR="009A4875" w:rsidRPr="00C85FBA" w:rsidRDefault="009A4875" w:rsidP="009F3C4C">
            <w:pPr>
              <w:spacing w:line="240" w:lineRule="auto"/>
              <w:contextualSpacing/>
              <w:jc w:val="center"/>
              <w:rPr>
                <w:sz w:val="20"/>
                <w:highlight w:val="yellow"/>
              </w:rPr>
            </w:pPr>
            <w:r w:rsidRPr="00C85FBA">
              <w:rPr>
                <w:sz w:val="20"/>
              </w:rPr>
              <w:t>0.738</w:t>
            </w:r>
          </w:p>
        </w:tc>
      </w:tr>
      <w:tr w:rsidR="009A4875" w:rsidRPr="00C85FBA" w14:paraId="64C1212E" w14:textId="77777777" w:rsidTr="009F3C4C">
        <w:trPr>
          <w:trHeight w:val="283"/>
          <w:jc w:val="center"/>
        </w:trPr>
        <w:tc>
          <w:tcPr>
            <w:tcW w:w="2324" w:type="dxa"/>
            <w:vAlign w:val="bottom"/>
          </w:tcPr>
          <w:p w14:paraId="48DF7F19" w14:textId="77777777" w:rsidR="009A4875" w:rsidRPr="00C85FBA" w:rsidRDefault="009A4875" w:rsidP="009F3C4C">
            <w:pPr>
              <w:spacing w:line="240" w:lineRule="auto"/>
              <w:contextualSpacing/>
              <w:jc w:val="center"/>
              <w:rPr>
                <w:sz w:val="20"/>
              </w:rPr>
            </w:pPr>
            <w:r w:rsidRPr="00C85FBA">
              <w:rPr>
                <w:rFonts w:cs="Calibri"/>
                <w:sz w:val="20"/>
              </w:rPr>
              <w:t>2014, 2019</w:t>
            </w:r>
          </w:p>
        </w:tc>
        <w:tc>
          <w:tcPr>
            <w:tcW w:w="593" w:type="dxa"/>
          </w:tcPr>
          <w:p w14:paraId="411BCB6E" w14:textId="77777777" w:rsidR="009A4875" w:rsidRPr="00C85FBA" w:rsidRDefault="009A4875" w:rsidP="009F3C4C">
            <w:pPr>
              <w:spacing w:line="240" w:lineRule="auto"/>
              <w:contextualSpacing/>
              <w:jc w:val="center"/>
              <w:rPr>
                <w:sz w:val="20"/>
              </w:rPr>
            </w:pPr>
          </w:p>
        </w:tc>
        <w:tc>
          <w:tcPr>
            <w:tcW w:w="1225" w:type="dxa"/>
          </w:tcPr>
          <w:p w14:paraId="625823A2" w14:textId="77777777" w:rsidR="009A4875" w:rsidRPr="00C85FBA" w:rsidRDefault="009A4875" w:rsidP="009F3C4C">
            <w:pPr>
              <w:spacing w:line="240" w:lineRule="auto"/>
              <w:contextualSpacing/>
              <w:jc w:val="center"/>
              <w:rPr>
                <w:sz w:val="20"/>
              </w:rPr>
            </w:pPr>
            <w:r w:rsidRPr="00C85FBA">
              <w:rPr>
                <w:sz w:val="20"/>
              </w:rPr>
              <w:t>2.893</w:t>
            </w:r>
          </w:p>
        </w:tc>
        <w:tc>
          <w:tcPr>
            <w:tcW w:w="2130" w:type="dxa"/>
          </w:tcPr>
          <w:p w14:paraId="6A5BF489" w14:textId="77777777" w:rsidR="009A4875" w:rsidRPr="00311F99" w:rsidRDefault="009A4875" w:rsidP="009F3C4C">
            <w:pPr>
              <w:spacing w:line="240" w:lineRule="auto"/>
              <w:contextualSpacing/>
              <w:jc w:val="center"/>
              <w:rPr>
                <w:b/>
                <w:bCs/>
                <w:sz w:val="20"/>
                <w:highlight w:val="yellow"/>
              </w:rPr>
            </w:pPr>
            <w:r w:rsidRPr="00311F99">
              <w:rPr>
                <w:b/>
                <w:bCs/>
                <w:sz w:val="20"/>
              </w:rPr>
              <w:t>0.020</w:t>
            </w:r>
          </w:p>
        </w:tc>
      </w:tr>
      <w:tr w:rsidR="009A4875" w:rsidRPr="00C85FBA" w14:paraId="6334E3FF" w14:textId="77777777" w:rsidTr="009F3C4C">
        <w:trPr>
          <w:trHeight w:val="283"/>
          <w:jc w:val="center"/>
        </w:trPr>
        <w:tc>
          <w:tcPr>
            <w:tcW w:w="2324" w:type="dxa"/>
            <w:vAlign w:val="bottom"/>
          </w:tcPr>
          <w:p w14:paraId="6022D3C0" w14:textId="77777777" w:rsidR="009A4875" w:rsidRPr="00C85FBA" w:rsidRDefault="009A4875" w:rsidP="009F3C4C">
            <w:pPr>
              <w:spacing w:line="240" w:lineRule="auto"/>
              <w:contextualSpacing/>
              <w:jc w:val="center"/>
              <w:rPr>
                <w:sz w:val="20"/>
              </w:rPr>
            </w:pPr>
            <w:r w:rsidRPr="00C85FBA">
              <w:rPr>
                <w:rFonts w:cs="Calibri"/>
                <w:sz w:val="20"/>
              </w:rPr>
              <w:t>2014, 2020</w:t>
            </w:r>
          </w:p>
        </w:tc>
        <w:tc>
          <w:tcPr>
            <w:tcW w:w="593" w:type="dxa"/>
          </w:tcPr>
          <w:p w14:paraId="33225820" w14:textId="77777777" w:rsidR="009A4875" w:rsidRPr="00C85FBA" w:rsidRDefault="009A4875" w:rsidP="009F3C4C">
            <w:pPr>
              <w:spacing w:line="240" w:lineRule="auto"/>
              <w:contextualSpacing/>
              <w:jc w:val="center"/>
              <w:rPr>
                <w:sz w:val="20"/>
              </w:rPr>
            </w:pPr>
          </w:p>
        </w:tc>
        <w:tc>
          <w:tcPr>
            <w:tcW w:w="1225" w:type="dxa"/>
          </w:tcPr>
          <w:p w14:paraId="479B8244" w14:textId="77777777" w:rsidR="009A4875" w:rsidRPr="00C85FBA" w:rsidRDefault="009A4875" w:rsidP="009F3C4C">
            <w:pPr>
              <w:spacing w:line="240" w:lineRule="auto"/>
              <w:contextualSpacing/>
              <w:jc w:val="center"/>
              <w:rPr>
                <w:sz w:val="20"/>
              </w:rPr>
            </w:pPr>
            <w:r w:rsidRPr="00C85FBA">
              <w:rPr>
                <w:sz w:val="20"/>
              </w:rPr>
              <w:t>3.522</w:t>
            </w:r>
          </w:p>
        </w:tc>
        <w:tc>
          <w:tcPr>
            <w:tcW w:w="2130" w:type="dxa"/>
          </w:tcPr>
          <w:p w14:paraId="33E13ED9" w14:textId="77777777" w:rsidR="009A4875" w:rsidRPr="00350336" w:rsidRDefault="009A4875" w:rsidP="009F3C4C">
            <w:pPr>
              <w:spacing w:line="240" w:lineRule="auto"/>
              <w:contextualSpacing/>
              <w:jc w:val="center"/>
              <w:rPr>
                <w:b/>
                <w:bCs/>
                <w:sz w:val="20"/>
                <w:highlight w:val="yellow"/>
              </w:rPr>
            </w:pPr>
            <w:r w:rsidRPr="00350336">
              <w:rPr>
                <w:b/>
                <w:bCs/>
                <w:sz w:val="20"/>
              </w:rPr>
              <w:t>0.005</w:t>
            </w:r>
          </w:p>
        </w:tc>
      </w:tr>
      <w:tr w:rsidR="009A4875" w:rsidRPr="00C85FBA" w14:paraId="1A919E15" w14:textId="77777777" w:rsidTr="009F3C4C">
        <w:trPr>
          <w:trHeight w:val="283"/>
          <w:jc w:val="center"/>
        </w:trPr>
        <w:tc>
          <w:tcPr>
            <w:tcW w:w="2324" w:type="dxa"/>
            <w:vAlign w:val="bottom"/>
          </w:tcPr>
          <w:p w14:paraId="7F1B8D51" w14:textId="77777777" w:rsidR="009A4875" w:rsidRPr="00C85FBA" w:rsidRDefault="009A4875" w:rsidP="009F3C4C">
            <w:pPr>
              <w:spacing w:line="240" w:lineRule="auto"/>
              <w:contextualSpacing/>
              <w:jc w:val="center"/>
              <w:rPr>
                <w:sz w:val="20"/>
              </w:rPr>
            </w:pPr>
            <w:r w:rsidRPr="00C85FBA">
              <w:rPr>
                <w:rFonts w:cs="Calibri"/>
                <w:sz w:val="20"/>
              </w:rPr>
              <w:t>2015, 2016</w:t>
            </w:r>
          </w:p>
        </w:tc>
        <w:tc>
          <w:tcPr>
            <w:tcW w:w="593" w:type="dxa"/>
          </w:tcPr>
          <w:p w14:paraId="5F095AE7" w14:textId="77777777" w:rsidR="009A4875" w:rsidRPr="00C85FBA" w:rsidRDefault="009A4875" w:rsidP="009F3C4C">
            <w:pPr>
              <w:spacing w:line="240" w:lineRule="auto"/>
              <w:contextualSpacing/>
              <w:jc w:val="center"/>
              <w:rPr>
                <w:sz w:val="20"/>
              </w:rPr>
            </w:pPr>
          </w:p>
        </w:tc>
        <w:tc>
          <w:tcPr>
            <w:tcW w:w="1225" w:type="dxa"/>
          </w:tcPr>
          <w:p w14:paraId="04F14123" w14:textId="77777777" w:rsidR="009A4875" w:rsidRPr="00C85FBA" w:rsidRDefault="009A4875" w:rsidP="009F3C4C">
            <w:pPr>
              <w:spacing w:line="240" w:lineRule="auto"/>
              <w:contextualSpacing/>
              <w:jc w:val="center"/>
              <w:rPr>
                <w:sz w:val="20"/>
              </w:rPr>
            </w:pPr>
            <w:r w:rsidRPr="00C85FBA">
              <w:rPr>
                <w:sz w:val="20"/>
              </w:rPr>
              <w:t>0.718</w:t>
            </w:r>
          </w:p>
        </w:tc>
        <w:tc>
          <w:tcPr>
            <w:tcW w:w="2130" w:type="dxa"/>
          </w:tcPr>
          <w:p w14:paraId="365CA0CD" w14:textId="77777777" w:rsidR="009A4875" w:rsidRPr="00C85FBA" w:rsidRDefault="009A4875" w:rsidP="009F3C4C">
            <w:pPr>
              <w:spacing w:line="240" w:lineRule="auto"/>
              <w:contextualSpacing/>
              <w:jc w:val="center"/>
              <w:rPr>
                <w:sz w:val="20"/>
                <w:highlight w:val="yellow"/>
              </w:rPr>
            </w:pPr>
            <w:r w:rsidRPr="00C85FBA">
              <w:rPr>
                <w:sz w:val="20"/>
              </w:rPr>
              <w:t>0.466</w:t>
            </w:r>
          </w:p>
        </w:tc>
      </w:tr>
      <w:tr w:rsidR="009A4875" w:rsidRPr="00C85FBA" w14:paraId="1BB63868" w14:textId="77777777" w:rsidTr="009F3C4C">
        <w:trPr>
          <w:trHeight w:val="283"/>
          <w:jc w:val="center"/>
        </w:trPr>
        <w:tc>
          <w:tcPr>
            <w:tcW w:w="2324" w:type="dxa"/>
            <w:vAlign w:val="bottom"/>
          </w:tcPr>
          <w:p w14:paraId="5F6A5BA7" w14:textId="77777777" w:rsidR="009A4875" w:rsidRPr="00C85FBA" w:rsidRDefault="009A4875" w:rsidP="009F3C4C">
            <w:pPr>
              <w:spacing w:line="240" w:lineRule="auto"/>
              <w:contextualSpacing/>
              <w:jc w:val="center"/>
              <w:rPr>
                <w:b/>
                <w:noProof/>
                <w:sz w:val="20"/>
                <w:highlight w:val="yellow"/>
                <w:lang w:eastAsia="en-AU"/>
              </w:rPr>
            </w:pPr>
            <w:r w:rsidRPr="00C85FBA">
              <w:rPr>
                <w:rFonts w:cs="Calibri"/>
                <w:sz w:val="20"/>
              </w:rPr>
              <w:t>2015, 2017</w:t>
            </w:r>
          </w:p>
        </w:tc>
        <w:tc>
          <w:tcPr>
            <w:tcW w:w="593" w:type="dxa"/>
          </w:tcPr>
          <w:p w14:paraId="0E4AEF36" w14:textId="77777777" w:rsidR="009A4875" w:rsidRPr="00C85FBA" w:rsidRDefault="009A4875" w:rsidP="009F3C4C">
            <w:pPr>
              <w:spacing w:line="240" w:lineRule="auto"/>
              <w:contextualSpacing/>
              <w:jc w:val="center"/>
              <w:rPr>
                <w:sz w:val="20"/>
              </w:rPr>
            </w:pPr>
          </w:p>
        </w:tc>
        <w:tc>
          <w:tcPr>
            <w:tcW w:w="1225" w:type="dxa"/>
          </w:tcPr>
          <w:p w14:paraId="6BC7A06A" w14:textId="77777777" w:rsidR="009A4875" w:rsidRPr="00C85FBA" w:rsidRDefault="009A4875" w:rsidP="009F3C4C">
            <w:pPr>
              <w:spacing w:line="240" w:lineRule="auto"/>
              <w:contextualSpacing/>
              <w:jc w:val="center"/>
              <w:rPr>
                <w:b/>
                <w:noProof/>
                <w:sz w:val="20"/>
                <w:lang w:eastAsia="en-AU"/>
              </w:rPr>
            </w:pPr>
            <w:r w:rsidRPr="00C85FBA">
              <w:rPr>
                <w:sz w:val="20"/>
              </w:rPr>
              <w:t>1.666</w:t>
            </w:r>
          </w:p>
        </w:tc>
        <w:tc>
          <w:tcPr>
            <w:tcW w:w="2130" w:type="dxa"/>
          </w:tcPr>
          <w:p w14:paraId="6461EC61" w14:textId="77777777" w:rsidR="009A4875" w:rsidRPr="00C85FBA" w:rsidRDefault="009A4875" w:rsidP="009F3C4C">
            <w:pPr>
              <w:spacing w:line="240" w:lineRule="auto"/>
              <w:contextualSpacing/>
              <w:jc w:val="center"/>
              <w:rPr>
                <w:noProof/>
                <w:sz w:val="20"/>
                <w:lang w:eastAsia="en-AU"/>
              </w:rPr>
            </w:pPr>
            <w:r w:rsidRPr="00C85FBA">
              <w:rPr>
                <w:sz w:val="20"/>
              </w:rPr>
              <w:t>0.124</w:t>
            </w:r>
          </w:p>
        </w:tc>
      </w:tr>
      <w:tr w:rsidR="009A4875" w:rsidRPr="00C85FBA" w14:paraId="0E65C0E7" w14:textId="77777777" w:rsidTr="009F3C4C">
        <w:trPr>
          <w:trHeight w:val="283"/>
          <w:jc w:val="center"/>
        </w:trPr>
        <w:tc>
          <w:tcPr>
            <w:tcW w:w="2324" w:type="dxa"/>
            <w:vAlign w:val="bottom"/>
          </w:tcPr>
          <w:p w14:paraId="389EA83A" w14:textId="77777777" w:rsidR="009A4875" w:rsidRPr="00C85FBA" w:rsidRDefault="009A4875" w:rsidP="009F3C4C">
            <w:pPr>
              <w:spacing w:line="240" w:lineRule="auto"/>
              <w:contextualSpacing/>
              <w:jc w:val="center"/>
              <w:rPr>
                <w:b/>
                <w:noProof/>
                <w:sz w:val="20"/>
                <w:highlight w:val="yellow"/>
                <w:lang w:eastAsia="en-AU"/>
              </w:rPr>
            </w:pPr>
            <w:r w:rsidRPr="00C85FBA">
              <w:rPr>
                <w:rFonts w:cs="Calibri"/>
                <w:sz w:val="20"/>
              </w:rPr>
              <w:t>2015, 2019</w:t>
            </w:r>
          </w:p>
        </w:tc>
        <w:tc>
          <w:tcPr>
            <w:tcW w:w="593" w:type="dxa"/>
          </w:tcPr>
          <w:p w14:paraId="39A8869F" w14:textId="77777777" w:rsidR="009A4875" w:rsidRPr="00C85FBA" w:rsidRDefault="009A4875" w:rsidP="009F3C4C">
            <w:pPr>
              <w:spacing w:line="240" w:lineRule="auto"/>
              <w:contextualSpacing/>
              <w:jc w:val="center"/>
              <w:rPr>
                <w:sz w:val="20"/>
              </w:rPr>
            </w:pPr>
          </w:p>
        </w:tc>
        <w:tc>
          <w:tcPr>
            <w:tcW w:w="1225" w:type="dxa"/>
          </w:tcPr>
          <w:p w14:paraId="11415B87" w14:textId="77777777" w:rsidR="009A4875" w:rsidRPr="00C85FBA" w:rsidRDefault="009A4875" w:rsidP="009F3C4C">
            <w:pPr>
              <w:spacing w:line="240" w:lineRule="auto"/>
              <w:contextualSpacing/>
              <w:jc w:val="center"/>
              <w:rPr>
                <w:b/>
                <w:noProof/>
                <w:sz w:val="20"/>
                <w:lang w:eastAsia="en-AU"/>
              </w:rPr>
            </w:pPr>
            <w:r w:rsidRPr="00C85FBA">
              <w:rPr>
                <w:sz w:val="20"/>
              </w:rPr>
              <w:t>0.533</w:t>
            </w:r>
          </w:p>
        </w:tc>
        <w:tc>
          <w:tcPr>
            <w:tcW w:w="2130" w:type="dxa"/>
          </w:tcPr>
          <w:p w14:paraId="136114C0" w14:textId="77777777" w:rsidR="009A4875" w:rsidRPr="00C85FBA" w:rsidRDefault="009A4875" w:rsidP="009F3C4C">
            <w:pPr>
              <w:spacing w:line="240" w:lineRule="auto"/>
              <w:contextualSpacing/>
              <w:jc w:val="center"/>
              <w:rPr>
                <w:noProof/>
                <w:sz w:val="20"/>
                <w:lang w:eastAsia="en-AU"/>
              </w:rPr>
            </w:pPr>
            <w:r w:rsidRPr="00C85FBA">
              <w:rPr>
                <w:sz w:val="20"/>
              </w:rPr>
              <w:t>0.566</w:t>
            </w:r>
          </w:p>
        </w:tc>
      </w:tr>
      <w:tr w:rsidR="009A4875" w:rsidRPr="00C85FBA" w14:paraId="780E5DE5" w14:textId="77777777" w:rsidTr="009F3C4C">
        <w:trPr>
          <w:trHeight w:val="283"/>
          <w:jc w:val="center"/>
        </w:trPr>
        <w:tc>
          <w:tcPr>
            <w:tcW w:w="2324" w:type="dxa"/>
            <w:vAlign w:val="bottom"/>
          </w:tcPr>
          <w:p w14:paraId="70A60567" w14:textId="77777777" w:rsidR="009A4875" w:rsidRPr="00C85FBA" w:rsidRDefault="009A4875" w:rsidP="009F3C4C">
            <w:pPr>
              <w:spacing w:line="240" w:lineRule="auto"/>
              <w:contextualSpacing/>
              <w:jc w:val="center"/>
              <w:rPr>
                <w:b/>
                <w:noProof/>
                <w:sz w:val="20"/>
                <w:highlight w:val="yellow"/>
                <w:lang w:eastAsia="en-AU"/>
              </w:rPr>
            </w:pPr>
            <w:r w:rsidRPr="00C85FBA">
              <w:rPr>
                <w:rFonts w:cs="Calibri"/>
                <w:sz w:val="20"/>
              </w:rPr>
              <w:t>2015, 2020</w:t>
            </w:r>
          </w:p>
        </w:tc>
        <w:tc>
          <w:tcPr>
            <w:tcW w:w="593" w:type="dxa"/>
          </w:tcPr>
          <w:p w14:paraId="2C2A360F" w14:textId="77777777" w:rsidR="009A4875" w:rsidRPr="00C85FBA" w:rsidRDefault="009A4875" w:rsidP="009F3C4C">
            <w:pPr>
              <w:spacing w:line="240" w:lineRule="auto"/>
              <w:contextualSpacing/>
              <w:jc w:val="center"/>
              <w:rPr>
                <w:sz w:val="20"/>
              </w:rPr>
            </w:pPr>
          </w:p>
        </w:tc>
        <w:tc>
          <w:tcPr>
            <w:tcW w:w="1225" w:type="dxa"/>
          </w:tcPr>
          <w:p w14:paraId="6A6897D1" w14:textId="77777777" w:rsidR="009A4875" w:rsidRPr="00C85FBA" w:rsidRDefault="009A4875" w:rsidP="009F3C4C">
            <w:pPr>
              <w:spacing w:line="240" w:lineRule="auto"/>
              <w:contextualSpacing/>
              <w:jc w:val="center"/>
              <w:rPr>
                <w:b/>
                <w:noProof/>
                <w:sz w:val="20"/>
                <w:lang w:eastAsia="en-AU"/>
              </w:rPr>
            </w:pPr>
            <w:r w:rsidRPr="00C85FBA">
              <w:rPr>
                <w:sz w:val="20"/>
              </w:rPr>
              <w:t>1.429</w:t>
            </w:r>
          </w:p>
        </w:tc>
        <w:tc>
          <w:tcPr>
            <w:tcW w:w="2130" w:type="dxa"/>
          </w:tcPr>
          <w:p w14:paraId="499519DF" w14:textId="77777777" w:rsidR="009A4875" w:rsidRPr="00C85FBA" w:rsidRDefault="009A4875" w:rsidP="009F3C4C">
            <w:pPr>
              <w:spacing w:line="240" w:lineRule="auto"/>
              <w:contextualSpacing/>
              <w:jc w:val="center"/>
              <w:rPr>
                <w:noProof/>
                <w:sz w:val="20"/>
                <w:lang w:eastAsia="en-AU"/>
              </w:rPr>
            </w:pPr>
            <w:r w:rsidRPr="00C85FBA">
              <w:rPr>
                <w:sz w:val="20"/>
              </w:rPr>
              <w:t>0.176</w:t>
            </w:r>
          </w:p>
        </w:tc>
      </w:tr>
      <w:tr w:rsidR="009A4875" w:rsidRPr="00C85FBA" w14:paraId="3E5F58C6" w14:textId="77777777" w:rsidTr="009F3C4C">
        <w:trPr>
          <w:trHeight w:val="283"/>
          <w:jc w:val="center"/>
        </w:trPr>
        <w:tc>
          <w:tcPr>
            <w:tcW w:w="2324" w:type="dxa"/>
            <w:vAlign w:val="bottom"/>
          </w:tcPr>
          <w:p w14:paraId="5A350AE2" w14:textId="77777777" w:rsidR="009A4875" w:rsidRPr="00C85FBA" w:rsidRDefault="009A4875" w:rsidP="009F3C4C">
            <w:pPr>
              <w:spacing w:line="240" w:lineRule="auto"/>
              <w:contextualSpacing/>
              <w:jc w:val="center"/>
              <w:rPr>
                <w:b/>
                <w:noProof/>
                <w:sz w:val="20"/>
                <w:highlight w:val="yellow"/>
                <w:lang w:eastAsia="en-AU"/>
              </w:rPr>
            </w:pPr>
            <w:r w:rsidRPr="00C85FBA">
              <w:rPr>
                <w:rFonts w:cs="Calibri"/>
                <w:sz w:val="20"/>
              </w:rPr>
              <w:t>2016, 2017</w:t>
            </w:r>
          </w:p>
        </w:tc>
        <w:tc>
          <w:tcPr>
            <w:tcW w:w="593" w:type="dxa"/>
          </w:tcPr>
          <w:p w14:paraId="3FEF6122" w14:textId="77777777" w:rsidR="009A4875" w:rsidRPr="00C85FBA" w:rsidRDefault="009A4875" w:rsidP="009F3C4C">
            <w:pPr>
              <w:spacing w:line="240" w:lineRule="auto"/>
              <w:contextualSpacing/>
              <w:jc w:val="center"/>
              <w:rPr>
                <w:sz w:val="20"/>
              </w:rPr>
            </w:pPr>
          </w:p>
        </w:tc>
        <w:tc>
          <w:tcPr>
            <w:tcW w:w="1225" w:type="dxa"/>
          </w:tcPr>
          <w:p w14:paraId="5D6E37CE" w14:textId="77777777" w:rsidR="009A4875" w:rsidRPr="00C85FBA" w:rsidRDefault="009A4875" w:rsidP="009F3C4C">
            <w:pPr>
              <w:spacing w:line="240" w:lineRule="auto"/>
              <w:contextualSpacing/>
              <w:jc w:val="center"/>
              <w:rPr>
                <w:b/>
                <w:noProof/>
                <w:sz w:val="20"/>
                <w:lang w:eastAsia="en-AU"/>
              </w:rPr>
            </w:pPr>
            <w:r w:rsidRPr="00C85FBA">
              <w:rPr>
                <w:sz w:val="20"/>
              </w:rPr>
              <w:t>2.594</w:t>
            </w:r>
          </w:p>
        </w:tc>
        <w:tc>
          <w:tcPr>
            <w:tcW w:w="2130" w:type="dxa"/>
          </w:tcPr>
          <w:p w14:paraId="685FCD99" w14:textId="77777777" w:rsidR="009A4875" w:rsidRPr="00311F99" w:rsidRDefault="009A4875" w:rsidP="009F3C4C">
            <w:pPr>
              <w:spacing w:line="240" w:lineRule="auto"/>
              <w:contextualSpacing/>
              <w:jc w:val="center"/>
              <w:rPr>
                <w:b/>
                <w:bCs/>
                <w:noProof/>
                <w:sz w:val="20"/>
                <w:lang w:eastAsia="en-AU"/>
              </w:rPr>
            </w:pPr>
            <w:r w:rsidRPr="00311F99">
              <w:rPr>
                <w:b/>
                <w:bCs/>
                <w:sz w:val="20"/>
              </w:rPr>
              <w:t>0.030</w:t>
            </w:r>
          </w:p>
        </w:tc>
      </w:tr>
      <w:tr w:rsidR="009A4875" w:rsidRPr="00C85FBA" w14:paraId="0AA1AD5E" w14:textId="77777777" w:rsidTr="009F3C4C">
        <w:trPr>
          <w:trHeight w:val="283"/>
          <w:jc w:val="center"/>
        </w:trPr>
        <w:tc>
          <w:tcPr>
            <w:tcW w:w="2324" w:type="dxa"/>
            <w:vAlign w:val="bottom"/>
          </w:tcPr>
          <w:p w14:paraId="6ADD76DF" w14:textId="77777777" w:rsidR="009A4875" w:rsidRPr="00C85FBA" w:rsidRDefault="009A4875" w:rsidP="009F3C4C">
            <w:pPr>
              <w:spacing w:line="240" w:lineRule="auto"/>
              <w:contextualSpacing/>
              <w:jc w:val="center"/>
              <w:rPr>
                <w:b/>
                <w:noProof/>
                <w:sz w:val="20"/>
                <w:highlight w:val="yellow"/>
                <w:lang w:eastAsia="en-AU"/>
              </w:rPr>
            </w:pPr>
            <w:r w:rsidRPr="00C85FBA">
              <w:rPr>
                <w:rFonts w:cs="Calibri"/>
                <w:sz w:val="20"/>
              </w:rPr>
              <w:t>2016, 2019</w:t>
            </w:r>
          </w:p>
        </w:tc>
        <w:tc>
          <w:tcPr>
            <w:tcW w:w="593" w:type="dxa"/>
          </w:tcPr>
          <w:p w14:paraId="4D264C23" w14:textId="77777777" w:rsidR="009A4875" w:rsidRPr="00C85FBA" w:rsidRDefault="009A4875" w:rsidP="009F3C4C">
            <w:pPr>
              <w:spacing w:line="240" w:lineRule="auto"/>
              <w:contextualSpacing/>
              <w:jc w:val="center"/>
              <w:rPr>
                <w:sz w:val="20"/>
              </w:rPr>
            </w:pPr>
          </w:p>
        </w:tc>
        <w:tc>
          <w:tcPr>
            <w:tcW w:w="1225" w:type="dxa"/>
          </w:tcPr>
          <w:p w14:paraId="5143AFC2" w14:textId="77777777" w:rsidR="009A4875" w:rsidRPr="00C85FBA" w:rsidRDefault="009A4875" w:rsidP="009F3C4C">
            <w:pPr>
              <w:spacing w:line="240" w:lineRule="auto"/>
              <w:contextualSpacing/>
              <w:jc w:val="center"/>
              <w:rPr>
                <w:b/>
                <w:noProof/>
                <w:sz w:val="20"/>
                <w:lang w:eastAsia="en-AU"/>
              </w:rPr>
            </w:pPr>
            <w:r w:rsidRPr="00C85FBA">
              <w:rPr>
                <w:sz w:val="20"/>
              </w:rPr>
              <w:t>0.303</w:t>
            </w:r>
          </w:p>
        </w:tc>
        <w:tc>
          <w:tcPr>
            <w:tcW w:w="2130" w:type="dxa"/>
          </w:tcPr>
          <w:p w14:paraId="2CBA8589" w14:textId="77777777" w:rsidR="009A4875" w:rsidRPr="00C85FBA" w:rsidRDefault="009A4875" w:rsidP="009F3C4C">
            <w:pPr>
              <w:spacing w:line="240" w:lineRule="auto"/>
              <w:contextualSpacing/>
              <w:jc w:val="center"/>
              <w:rPr>
                <w:noProof/>
                <w:sz w:val="20"/>
                <w:lang w:eastAsia="en-AU"/>
              </w:rPr>
            </w:pPr>
            <w:r w:rsidRPr="00C85FBA">
              <w:rPr>
                <w:sz w:val="20"/>
              </w:rPr>
              <w:t>0.867</w:t>
            </w:r>
          </w:p>
        </w:tc>
      </w:tr>
      <w:tr w:rsidR="009A4875" w:rsidRPr="00C85FBA" w14:paraId="1890FE05" w14:textId="77777777" w:rsidTr="009F3C4C">
        <w:trPr>
          <w:trHeight w:val="283"/>
          <w:jc w:val="center"/>
        </w:trPr>
        <w:tc>
          <w:tcPr>
            <w:tcW w:w="2324" w:type="dxa"/>
            <w:vAlign w:val="bottom"/>
          </w:tcPr>
          <w:p w14:paraId="7784A565" w14:textId="77777777" w:rsidR="009A4875" w:rsidRPr="00C85FBA" w:rsidRDefault="009A4875" w:rsidP="009F3C4C">
            <w:pPr>
              <w:spacing w:line="240" w:lineRule="auto"/>
              <w:contextualSpacing/>
              <w:jc w:val="center"/>
              <w:rPr>
                <w:b/>
                <w:noProof/>
                <w:sz w:val="20"/>
                <w:highlight w:val="yellow"/>
                <w:lang w:eastAsia="en-AU"/>
              </w:rPr>
            </w:pPr>
            <w:r w:rsidRPr="00C85FBA">
              <w:rPr>
                <w:rFonts w:cs="Calibri"/>
                <w:sz w:val="20"/>
              </w:rPr>
              <w:t>2016, 2020</w:t>
            </w:r>
          </w:p>
        </w:tc>
        <w:tc>
          <w:tcPr>
            <w:tcW w:w="593" w:type="dxa"/>
          </w:tcPr>
          <w:p w14:paraId="36CA0103" w14:textId="77777777" w:rsidR="009A4875" w:rsidRPr="00C85FBA" w:rsidRDefault="009A4875" w:rsidP="009F3C4C">
            <w:pPr>
              <w:spacing w:line="240" w:lineRule="auto"/>
              <w:contextualSpacing/>
              <w:jc w:val="center"/>
              <w:rPr>
                <w:sz w:val="20"/>
              </w:rPr>
            </w:pPr>
          </w:p>
        </w:tc>
        <w:tc>
          <w:tcPr>
            <w:tcW w:w="1225" w:type="dxa"/>
          </w:tcPr>
          <w:p w14:paraId="7E95AA86" w14:textId="77777777" w:rsidR="009A4875" w:rsidRPr="00C85FBA" w:rsidRDefault="009A4875" w:rsidP="009F3C4C">
            <w:pPr>
              <w:spacing w:line="240" w:lineRule="auto"/>
              <w:contextualSpacing/>
              <w:jc w:val="center"/>
              <w:rPr>
                <w:b/>
                <w:noProof/>
                <w:sz w:val="20"/>
                <w:lang w:eastAsia="en-AU"/>
              </w:rPr>
            </w:pPr>
            <w:r w:rsidRPr="00C85FBA">
              <w:rPr>
                <w:sz w:val="20"/>
              </w:rPr>
              <w:t>0.830</w:t>
            </w:r>
          </w:p>
        </w:tc>
        <w:tc>
          <w:tcPr>
            <w:tcW w:w="2130" w:type="dxa"/>
          </w:tcPr>
          <w:p w14:paraId="4EBBE019" w14:textId="77777777" w:rsidR="009A4875" w:rsidRPr="00C85FBA" w:rsidRDefault="009A4875" w:rsidP="009F3C4C">
            <w:pPr>
              <w:spacing w:line="240" w:lineRule="auto"/>
              <w:contextualSpacing/>
              <w:jc w:val="center"/>
              <w:rPr>
                <w:noProof/>
                <w:sz w:val="20"/>
                <w:lang w:eastAsia="en-AU"/>
              </w:rPr>
            </w:pPr>
            <w:r w:rsidRPr="00C85FBA">
              <w:rPr>
                <w:sz w:val="20"/>
              </w:rPr>
              <w:t>0.435</w:t>
            </w:r>
          </w:p>
        </w:tc>
      </w:tr>
      <w:tr w:rsidR="009A4875" w:rsidRPr="00C85FBA" w14:paraId="69F17D20" w14:textId="77777777" w:rsidTr="009F3C4C">
        <w:trPr>
          <w:trHeight w:val="283"/>
          <w:jc w:val="center"/>
        </w:trPr>
        <w:tc>
          <w:tcPr>
            <w:tcW w:w="2324" w:type="dxa"/>
            <w:vAlign w:val="bottom"/>
          </w:tcPr>
          <w:p w14:paraId="0D6DBE9E" w14:textId="77777777" w:rsidR="009A4875" w:rsidRPr="00C85FBA" w:rsidRDefault="009A4875" w:rsidP="009F3C4C">
            <w:pPr>
              <w:spacing w:line="240" w:lineRule="auto"/>
              <w:contextualSpacing/>
              <w:jc w:val="center"/>
              <w:rPr>
                <w:b/>
                <w:noProof/>
                <w:sz w:val="20"/>
                <w:highlight w:val="yellow"/>
                <w:lang w:eastAsia="en-AU"/>
              </w:rPr>
            </w:pPr>
            <w:r w:rsidRPr="00C85FBA">
              <w:rPr>
                <w:rFonts w:cs="Calibri"/>
                <w:sz w:val="20"/>
              </w:rPr>
              <w:t>2017, 2019</w:t>
            </w:r>
          </w:p>
        </w:tc>
        <w:tc>
          <w:tcPr>
            <w:tcW w:w="593" w:type="dxa"/>
          </w:tcPr>
          <w:p w14:paraId="46365ABC" w14:textId="77777777" w:rsidR="009A4875" w:rsidRPr="00C85FBA" w:rsidRDefault="009A4875" w:rsidP="009F3C4C">
            <w:pPr>
              <w:spacing w:line="240" w:lineRule="auto"/>
              <w:contextualSpacing/>
              <w:jc w:val="center"/>
              <w:rPr>
                <w:sz w:val="20"/>
              </w:rPr>
            </w:pPr>
          </w:p>
        </w:tc>
        <w:tc>
          <w:tcPr>
            <w:tcW w:w="1225" w:type="dxa"/>
          </w:tcPr>
          <w:p w14:paraId="2E43C600" w14:textId="77777777" w:rsidR="009A4875" w:rsidRPr="00C85FBA" w:rsidRDefault="009A4875" w:rsidP="009F3C4C">
            <w:pPr>
              <w:spacing w:line="240" w:lineRule="auto"/>
              <w:contextualSpacing/>
              <w:jc w:val="center"/>
              <w:rPr>
                <w:b/>
                <w:noProof/>
                <w:sz w:val="20"/>
                <w:lang w:eastAsia="en-AU"/>
              </w:rPr>
            </w:pPr>
            <w:r w:rsidRPr="00C85FBA">
              <w:rPr>
                <w:sz w:val="20"/>
              </w:rPr>
              <w:t>2.695</w:t>
            </w:r>
          </w:p>
        </w:tc>
        <w:tc>
          <w:tcPr>
            <w:tcW w:w="2130" w:type="dxa"/>
          </w:tcPr>
          <w:p w14:paraId="790FB075" w14:textId="77777777" w:rsidR="009A4875" w:rsidRPr="00311F99" w:rsidRDefault="009A4875" w:rsidP="009F3C4C">
            <w:pPr>
              <w:spacing w:line="240" w:lineRule="auto"/>
              <w:contextualSpacing/>
              <w:jc w:val="center"/>
              <w:rPr>
                <w:b/>
                <w:bCs/>
                <w:noProof/>
                <w:sz w:val="20"/>
                <w:lang w:eastAsia="en-AU"/>
              </w:rPr>
            </w:pPr>
            <w:r w:rsidRPr="00311F99">
              <w:rPr>
                <w:b/>
                <w:bCs/>
                <w:sz w:val="20"/>
              </w:rPr>
              <w:t>0.029</w:t>
            </w:r>
          </w:p>
        </w:tc>
      </w:tr>
      <w:tr w:rsidR="009A4875" w:rsidRPr="00C85FBA" w14:paraId="5FF38E92" w14:textId="77777777" w:rsidTr="009F3C4C">
        <w:trPr>
          <w:trHeight w:val="283"/>
          <w:jc w:val="center"/>
        </w:trPr>
        <w:tc>
          <w:tcPr>
            <w:tcW w:w="2324" w:type="dxa"/>
            <w:vAlign w:val="bottom"/>
          </w:tcPr>
          <w:p w14:paraId="705A21F1" w14:textId="77777777" w:rsidR="009A4875" w:rsidRPr="00C85FBA" w:rsidRDefault="009A4875" w:rsidP="009F3C4C">
            <w:pPr>
              <w:spacing w:line="240" w:lineRule="auto"/>
              <w:contextualSpacing/>
              <w:jc w:val="center"/>
              <w:rPr>
                <w:b/>
                <w:noProof/>
                <w:sz w:val="20"/>
                <w:highlight w:val="yellow"/>
                <w:lang w:eastAsia="en-AU"/>
              </w:rPr>
            </w:pPr>
            <w:r w:rsidRPr="00C85FBA">
              <w:rPr>
                <w:rFonts w:cs="Calibri"/>
                <w:sz w:val="20"/>
              </w:rPr>
              <w:t>2017, 2020</w:t>
            </w:r>
          </w:p>
        </w:tc>
        <w:tc>
          <w:tcPr>
            <w:tcW w:w="593" w:type="dxa"/>
          </w:tcPr>
          <w:p w14:paraId="4CD51B47" w14:textId="77777777" w:rsidR="009A4875" w:rsidRPr="00C85FBA" w:rsidRDefault="009A4875" w:rsidP="009F3C4C">
            <w:pPr>
              <w:spacing w:line="240" w:lineRule="auto"/>
              <w:contextualSpacing/>
              <w:jc w:val="center"/>
              <w:rPr>
                <w:sz w:val="20"/>
              </w:rPr>
            </w:pPr>
          </w:p>
        </w:tc>
        <w:tc>
          <w:tcPr>
            <w:tcW w:w="1225" w:type="dxa"/>
          </w:tcPr>
          <w:p w14:paraId="26844F08" w14:textId="77777777" w:rsidR="009A4875" w:rsidRPr="00C85FBA" w:rsidRDefault="009A4875" w:rsidP="009F3C4C">
            <w:pPr>
              <w:spacing w:line="240" w:lineRule="auto"/>
              <w:contextualSpacing/>
              <w:jc w:val="center"/>
              <w:rPr>
                <w:b/>
                <w:noProof/>
                <w:sz w:val="20"/>
                <w:lang w:eastAsia="en-AU"/>
              </w:rPr>
            </w:pPr>
            <w:r w:rsidRPr="00C85FBA">
              <w:rPr>
                <w:sz w:val="20"/>
              </w:rPr>
              <w:t>3.139</w:t>
            </w:r>
          </w:p>
        </w:tc>
        <w:tc>
          <w:tcPr>
            <w:tcW w:w="2130" w:type="dxa"/>
          </w:tcPr>
          <w:p w14:paraId="3CD8B063" w14:textId="77777777" w:rsidR="009A4875" w:rsidRPr="00350336" w:rsidRDefault="009A4875" w:rsidP="009F3C4C">
            <w:pPr>
              <w:spacing w:line="240" w:lineRule="auto"/>
              <w:contextualSpacing/>
              <w:jc w:val="center"/>
              <w:rPr>
                <w:b/>
                <w:bCs/>
                <w:noProof/>
                <w:sz w:val="20"/>
                <w:lang w:eastAsia="en-AU"/>
              </w:rPr>
            </w:pPr>
            <w:r w:rsidRPr="00350336">
              <w:rPr>
                <w:b/>
                <w:bCs/>
                <w:sz w:val="20"/>
              </w:rPr>
              <w:t>0.011</w:t>
            </w:r>
          </w:p>
        </w:tc>
      </w:tr>
      <w:tr w:rsidR="009A4875" w:rsidRPr="00C85FBA" w14:paraId="7B66124E" w14:textId="77777777" w:rsidTr="009F3C4C">
        <w:trPr>
          <w:trHeight w:val="283"/>
          <w:jc w:val="center"/>
        </w:trPr>
        <w:tc>
          <w:tcPr>
            <w:tcW w:w="2324" w:type="dxa"/>
            <w:tcBorders>
              <w:bottom w:val="single" w:sz="4" w:space="0" w:color="auto"/>
            </w:tcBorders>
            <w:vAlign w:val="bottom"/>
          </w:tcPr>
          <w:p w14:paraId="1DB15141" w14:textId="77777777" w:rsidR="009A4875" w:rsidRPr="00C85FBA" w:rsidRDefault="009A4875" w:rsidP="009F3C4C">
            <w:pPr>
              <w:spacing w:line="240" w:lineRule="auto"/>
              <w:contextualSpacing/>
              <w:jc w:val="center"/>
              <w:rPr>
                <w:b/>
                <w:noProof/>
                <w:sz w:val="20"/>
                <w:highlight w:val="yellow"/>
                <w:lang w:eastAsia="en-AU"/>
              </w:rPr>
            </w:pPr>
            <w:r w:rsidRPr="00C85FBA">
              <w:rPr>
                <w:rFonts w:cs="Calibri"/>
                <w:sz w:val="20"/>
              </w:rPr>
              <w:t>2019, 2020</w:t>
            </w:r>
          </w:p>
        </w:tc>
        <w:tc>
          <w:tcPr>
            <w:tcW w:w="593" w:type="dxa"/>
            <w:tcBorders>
              <w:bottom w:val="single" w:sz="4" w:space="0" w:color="auto"/>
            </w:tcBorders>
          </w:tcPr>
          <w:p w14:paraId="3686F8C4" w14:textId="77777777" w:rsidR="009A4875" w:rsidRPr="00C85FBA" w:rsidRDefault="009A4875" w:rsidP="009F3C4C">
            <w:pPr>
              <w:spacing w:line="240" w:lineRule="auto"/>
              <w:contextualSpacing/>
              <w:jc w:val="center"/>
              <w:rPr>
                <w:sz w:val="20"/>
              </w:rPr>
            </w:pPr>
          </w:p>
        </w:tc>
        <w:tc>
          <w:tcPr>
            <w:tcW w:w="1225" w:type="dxa"/>
            <w:tcBorders>
              <w:bottom w:val="single" w:sz="4" w:space="0" w:color="auto"/>
            </w:tcBorders>
          </w:tcPr>
          <w:p w14:paraId="73023BFC" w14:textId="77777777" w:rsidR="009A4875" w:rsidRPr="00C85FBA" w:rsidRDefault="009A4875" w:rsidP="009F3C4C">
            <w:pPr>
              <w:spacing w:line="240" w:lineRule="auto"/>
              <w:contextualSpacing/>
              <w:jc w:val="center"/>
              <w:rPr>
                <w:b/>
                <w:noProof/>
                <w:sz w:val="20"/>
                <w:lang w:eastAsia="en-AU"/>
              </w:rPr>
            </w:pPr>
            <w:r w:rsidRPr="00C85FBA">
              <w:rPr>
                <w:sz w:val="20"/>
              </w:rPr>
              <w:t>1.129</w:t>
            </w:r>
          </w:p>
        </w:tc>
        <w:tc>
          <w:tcPr>
            <w:tcW w:w="2130" w:type="dxa"/>
            <w:tcBorders>
              <w:bottom w:val="single" w:sz="4" w:space="0" w:color="auto"/>
            </w:tcBorders>
          </w:tcPr>
          <w:p w14:paraId="37C42902" w14:textId="77777777" w:rsidR="009A4875" w:rsidRPr="00C85FBA" w:rsidRDefault="009A4875" w:rsidP="009F3C4C">
            <w:pPr>
              <w:spacing w:line="240" w:lineRule="auto"/>
              <w:contextualSpacing/>
              <w:jc w:val="center"/>
              <w:rPr>
                <w:b/>
                <w:noProof/>
                <w:sz w:val="20"/>
                <w:lang w:eastAsia="en-AU"/>
              </w:rPr>
            </w:pPr>
            <w:r w:rsidRPr="00C85FBA">
              <w:rPr>
                <w:sz w:val="20"/>
              </w:rPr>
              <w:t>0.318</w:t>
            </w:r>
          </w:p>
        </w:tc>
      </w:tr>
    </w:tbl>
    <w:p w14:paraId="25D212A9" w14:textId="77777777" w:rsidR="007F69C2" w:rsidRDefault="007F69C2" w:rsidP="007F69C2"/>
    <w:p w14:paraId="5A48ABA0" w14:textId="77777777" w:rsidR="00656EBF" w:rsidRDefault="00656EBF" w:rsidP="00002263">
      <w:pPr>
        <w:pStyle w:val="Caption"/>
      </w:pPr>
      <w:bookmarkStart w:id="401" w:name="_Ref876903"/>
      <w:bookmarkStart w:id="402" w:name="_Toc3558398"/>
    </w:p>
    <w:p w14:paraId="0CB904D6" w14:textId="77777777" w:rsidR="00656EBF" w:rsidRDefault="00656EBF">
      <w:pPr>
        <w:spacing w:before="0" w:after="160" w:line="259" w:lineRule="auto"/>
        <w:jc w:val="left"/>
        <w:rPr>
          <w:b/>
          <w:bCs/>
          <w:color w:val="auto"/>
          <w:sz w:val="20"/>
          <w:szCs w:val="18"/>
        </w:rPr>
      </w:pPr>
      <w:r>
        <w:br w:type="page"/>
      </w:r>
    </w:p>
    <w:p w14:paraId="07229765" w14:textId="5384B5DA" w:rsidR="00002263" w:rsidRDefault="00002263" w:rsidP="00002263">
      <w:pPr>
        <w:pStyle w:val="Caption"/>
      </w:pPr>
      <w:r>
        <w:t>Table</w:t>
      </w:r>
      <w:bookmarkEnd w:id="401"/>
      <w:r>
        <w:rPr>
          <w:noProof/>
        </w:rPr>
        <w:t xml:space="preserve"> D17</w:t>
      </w:r>
      <w:r>
        <w:t>.</w:t>
      </w:r>
      <w:r w:rsidRPr="00641F42">
        <w:t xml:space="preserve"> </w:t>
      </w:r>
      <w:r>
        <w:t xml:space="preserve">PERMANOVA pairwise comparison test results </w:t>
      </w:r>
      <w:r w:rsidRPr="00641F42">
        <w:t xml:space="preserve">for </w:t>
      </w:r>
      <w:r>
        <w:t>large</w:t>
      </w:r>
      <w:r w:rsidRPr="00641F42">
        <w:t>-</w:t>
      </w:r>
      <w:r>
        <w:t xml:space="preserve"> and small-</w:t>
      </w:r>
      <w:r w:rsidRPr="00641F42">
        <w:t xml:space="preserve">bodied fish </w:t>
      </w:r>
      <w:r>
        <w:t>assemblages</w:t>
      </w:r>
      <w:r w:rsidRPr="00641F42">
        <w:t xml:space="preserve"> in the gorge geomorphic zone of the </w:t>
      </w:r>
      <w:r w:rsidRPr="00607412">
        <w:t>L</w:t>
      </w:r>
      <w:r>
        <w:t xml:space="preserve">ower </w:t>
      </w:r>
      <w:r w:rsidRPr="00607412">
        <w:t>M</w:t>
      </w:r>
      <w:r>
        <w:t xml:space="preserve">urray </w:t>
      </w:r>
      <w:r w:rsidRPr="00607412">
        <w:t>R</w:t>
      </w:r>
      <w:r>
        <w:t>iver</w:t>
      </w:r>
      <w:r w:rsidRPr="00641F42">
        <w:t xml:space="preserve"> </w:t>
      </w:r>
      <w:r>
        <w:t>from autumn 2015–2020</w:t>
      </w:r>
      <w:r w:rsidRPr="00641F42">
        <w:t>.</w:t>
      </w:r>
      <w:bookmarkEnd w:id="402"/>
      <w:r>
        <w:t xml:space="preserve"> </w:t>
      </w:r>
      <w:r>
        <w:rPr>
          <w:i/>
        </w:rPr>
        <w:t>P</w:t>
      </w:r>
      <w:r>
        <w:t>-values presented in bold are significant comparisons, using Bonferroni corrected α = 0.0033 (</w:t>
      </w:r>
      <w:proofErr w:type="spellStart"/>
      <w:r>
        <w:t>Narum</w:t>
      </w:r>
      <w:proofErr w:type="spellEnd"/>
      <w:r>
        <w:t xml:space="preserve"> 2006) for comparisons between years (fifteen comparisons).  </w:t>
      </w:r>
    </w:p>
    <w:tbl>
      <w:tblPr>
        <w:tblW w:w="0" w:type="auto"/>
        <w:jc w:val="center"/>
        <w:tblLook w:val="04A0" w:firstRow="1" w:lastRow="0" w:firstColumn="1" w:lastColumn="0" w:noHBand="0" w:noVBand="1"/>
      </w:tblPr>
      <w:tblGrid>
        <w:gridCol w:w="2252"/>
        <w:gridCol w:w="887"/>
        <w:gridCol w:w="1073"/>
        <w:gridCol w:w="1073"/>
        <w:gridCol w:w="1073"/>
      </w:tblGrid>
      <w:tr w:rsidR="00002263" w:rsidRPr="00C01B82" w14:paraId="0FDF7EDD" w14:textId="77777777" w:rsidTr="009F3C4C">
        <w:trPr>
          <w:trHeight w:val="340"/>
          <w:jc w:val="center"/>
        </w:trPr>
        <w:tc>
          <w:tcPr>
            <w:tcW w:w="2252" w:type="dxa"/>
            <w:vMerge w:val="restart"/>
            <w:tcBorders>
              <w:top w:val="single" w:sz="4" w:space="0" w:color="auto"/>
              <w:bottom w:val="single" w:sz="4" w:space="0" w:color="auto"/>
            </w:tcBorders>
            <w:vAlign w:val="center"/>
          </w:tcPr>
          <w:p w14:paraId="5516A16E" w14:textId="77777777" w:rsidR="00002263" w:rsidRPr="00C01B82" w:rsidRDefault="00002263" w:rsidP="009F3C4C">
            <w:pPr>
              <w:spacing w:before="0" w:after="0"/>
              <w:jc w:val="left"/>
              <w:rPr>
                <w:b/>
                <w:sz w:val="20"/>
              </w:rPr>
            </w:pPr>
            <w:r w:rsidRPr="00C01B82">
              <w:rPr>
                <w:b/>
                <w:sz w:val="20"/>
              </w:rPr>
              <w:t>Comparison</w:t>
            </w:r>
          </w:p>
        </w:tc>
        <w:tc>
          <w:tcPr>
            <w:tcW w:w="1960" w:type="dxa"/>
            <w:gridSpan w:val="2"/>
            <w:tcBorders>
              <w:top w:val="single" w:sz="4" w:space="0" w:color="auto"/>
            </w:tcBorders>
          </w:tcPr>
          <w:p w14:paraId="603BEB73" w14:textId="77777777" w:rsidR="00002263" w:rsidRPr="00C01B82" w:rsidRDefault="00002263" w:rsidP="009F3C4C">
            <w:pPr>
              <w:spacing w:before="0" w:after="0"/>
              <w:jc w:val="center"/>
              <w:rPr>
                <w:b/>
                <w:sz w:val="20"/>
              </w:rPr>
            </w:pPr>
            <w:r w:rsidRPr="00C01B82">
              <w:rPr>
                <w:b/>
                <w:sz w:val="20"/>
              </w:rPr>
              <w:t>Large-bodied</w:t>
            </w:r>
          </w:p>
        </w:tc>
        <w:tc>
          <w:tcPr>
            <w:tcW w:w="2146" w:type="dxa"/>
            <w:gridSpan w:val="2"/>
            <w:tcBorders>
              <w:top w:val="single" w:sz="4" w:space="0" w:color="auto"/>
            </w:tcBorders>
          </w:tcPr>
          <w:p w14:paraId="75C48998" w14:textId="77777777" w:rsidR="00002263" w:rsidRPr="00C01B82" w:rsidRDefault="00002263" w:rsidP="009F3C4C">
            <w:pPr>
              <w:spacing w:before="0" w:after="0"/>
              <w:jc w:val="center"/>
              <w:rPr>
                <w:b/>
                <w:sz w:val="20"/>
              </w:rPr>
            </w:pPr>
            <w:r w:rsidRPr="00C01B82">
              <w:rPr>
                <w:b/>
                <w:sz w:val="20"/>
              </w:rPr>
              <w:t>Small-bodied</w:t>
            </w:r>
          </w:p>
        </w:tc>
      </w:tr>
      <w:tr w:rsidR="00002263" w:rsidRPr="00C01B82" w14:paraId="69FC28A5" w14:textId="77777777" w:rsidTr="009F3C4C">
        <w:trPr>
          <w:trHeight w:val="340"/>
          <w:jc w:val="center"/>
        </w:trPr>
        <w:tc>
          <w:tcPr>
            <w:tcW w:w="2252" w:type="dxa"/>
            <w:vMerge/>
            <w:tcBorders>
              <w:bottom w:val="single" w:sz="4" w:space="0" w:color="auto"/>
            </w:tcBorders>
          </w:tcPr>
          <w:p w14:paraId="0C129478" w14:textId="77777777" w:rsidR="00002263" w:rsidRPr="00C01B82" w:rsidRDefault="00002263" w:rsidP="009F3C4C">
            <w:pPr>
              <w:spacing w:before="0" w:after="0"/>
              <w:rPr>
                <w:sz w:val="20"/>
              </w:rPr>
            </w:pPr>
          </w:p>
        </w:tc>
        <w:tc>
          <w:tcPr>
            <w:tcW w:w="887" w:type="dxa"/>
            <w:tcBorders>
              <w:bottom w:val="single" w:sz="4" w:space="0" w:color="auto"/>
            </w:tcBorders>
          </w:tcPr>
          <w:p w14:paraId="3FD66B34" w14:textId="77777777" w:rsidR="00002263" w:rsidRPr="00C01B82" w:rsidRDefault="00002263" w:rsidP="009F3C4C">
            <w:pPr>
              <w:spacing w:before="0" w:after="0"/>
              <w:rPr>
                <w:i/>
                <w:sz w:val="20"/>
              </w:rPr>
            </w:pPr>
            <w:r w:rsidRPr="00C01B82">
              <w:rPr>
                <w:i/>
                <w:sz w:val="20"/>
              </w:rPr>
              <w:t>t</w:t>
            </w:r>
          </w:p>
        </w:tc>
        <w:tc>
          <w:tcPr>
            <w:tcW w:w="1073" w:type="dxa"/>
            <w:tcBorders>
              <w:bottom w:val="single" w:sz="4" w:space="0" w:color="auto"/>
            </w:tcBorders>
          </w:tcPr>
          <w:p w14:paraId="1FDB78CB" w14:textId="77777777" w:rsidR="00002263" w:rsidRPr="00C01B82" w:rsidRDefault="00002263" w:rsidP="009F3C4C">
            <w:pPr>
              <w:spacing w:before="0" w:after="0"/>
              <w:rPr>
                <w:i/>
                <w:sz w:val="20"/>
              </w:rPr>
            </w:pPr>
            <w:r w:rsidRPr="00C01B82">
              <w:rPr>
                <w:i/>
                <w:sz w:val="20"/>
              </w:rPr>
              <w:t>P (perm)</w:t>
            </w:r>
          </w:p>
        </w:tc>
        <w:tc>
          <w:tcPr>
            <w:tcW w:w="1073" w:type="dxa"/>
            <w:tcBorders>
              <w:bottom w:val="single" w:sz="4" w:space="0" w:color="auto"/>
            </w:tcBorders>
          </w:tcPr>
          <w:p w14:paraId="41B5C17D" w14:textId="77777777" w:rsidR="00002263" w:rsidRPr="00C01B82" w:rsidRDefault="00002263" w:rsidP="009F3C4C">
            <w:pPr>
              <w:spacing w:before="0" w:after="0"/>
              <w:rPr>
                <w:i/>
                <w:sz w:val="20"/>
              </w:rPr>
            </w:pPr>
            <w:r w:rsidRPr="00C01B82">
              <w:rPr>
                <w:i/>
                <w:sz w:val="20"/>
              </w:rPr>
              <w:t>t</w:t>
            </w:r>
          </w:p>
        </w:tc>
        <w:tc>
          <w:tcPr>
            <w:tcW w:w="1073" w:type="dxa"/>
            <w:tcBorders>
              <w:bottom w:val="single" w:sz="4" w:space="0" w:color="auto"/>
            </w:tcBorders>
          </w:tcPr>
          <w:p w14:paraId="74CCA5A9" w14:textId="77777777" w:rsidR="00002263" w:rsidRPr="00C01B82" w:rsidRDefault="00002263" w:rsidP="009F3C4C">
            <w:pPr>
              <w:spacing w:before="0" w:after="0"/>
              <w:rPr>
                <w:i/>
                <w:sz w:val="20"/>
              </w:rPr>
            </w:pPr>
            <w:r w:rsidRPr="00C01B82">
              <w:rPr>
                <w:i/>
                <w:sz w:val="20"/>
              </w:rPr>
              <w:t>P (perm)</w:t>
            </w:r>
          </w:p>
        </w:tc>
      </w:tr>
      <w:tr w:rsidR="00002263" w:rsidRPr="00C01B82" w14:paraId="483F9763" w14:textId="77777777" w:rsidTr="009F3C4C">
        <w:trPr>
          <w:trHeight w:val="340"/>
          <w:jc w:val="center"/>
        </w:trPr>
        <w:tc>
          <w:tcPr>
            <w:tcW w:w="2252" w:type="dxa"/>
            <w:tcBorders>
              <w:top w:val="single" w:sz="4" w:space="0" w:color="auto"/>
            </w:tcBorders>
          </w:tcPr>
          <w:p w14:paraId="09B043A5" w14:textId="77777777" w:rsidR="00002263" w:rsidRPr="00C01B82" w:rsidRDefault="00002263" w:rsidP="009F3C4C">
            <w:pPr>
              <w:spacing w:before="0" w:after="0"/>
              <w:rPr>
                <w:sz w:val="20"/>
              </w:rPr>
            </w:pPr>
            <w:r w:rsidRPr="00C01B82">
              <w:rPr>
                <w:sz w:val="20"/>
              </w:rPr>
              <w:t>2015 vs. 2016</w:t>
            </w:r>
          </w:p>
        </w:tc>
        <w:tc>
          <w:tcPr>
            <w:tcW w:w="887" w:type="dxa"/>
            <w:tcBorders>
              <w:top w:val="single" w:sz="4" w:space="0" w:color="auto"/>
            </w:tcBorders>
          </w:tcPr>
          <w:p w14:paraId="4A1FD487" w14:textId="77777777" w:rsidR="00002263" w:rsidRPr="00C01B82" w:rsidRDefault="00002263" w:rsidP="009F3C4C">
            <w:pPr>
              <w:spacing w:before="0" w:after="0"/>
              <w:rPr>
                <w:sz w:val="20"/>
              </w:rPr>
            </w:pPr>
            <w:r w:rsidRPr="00C01B82">
              <w:rPr>
                <w:sz w:val="20"/>
              </w:rPr>
              <w:t>2.0305</w:t>
            </w:r>
          </w:p>
        </w:tc>
        <w:tc>
          <w:tcPr>
            <w:tcW w:w="1073" w:type="dxa"/>
            <w:tcBorders>
              <w:top w:val="single" w:sz="4" w:space="0" w:color="auto"/>
            </w:tcBorders>
          </w:tcPr>
          <w:p w14:paraId="422912BD" w14:textId="77777777" w:rsidR="00002263" w:rsidRPr="00C01B82" w:rsidRDefault="00002263" w:rsidP="009F3C4C">
            <w:pPr>
              <w:spacing w:before="0" w:after="0"/>
              <w:rPr>
                <w:sz w:val="20"/>
              </w:rPr>
            </w:pPr>
            <w:r w:rsidRPr="00C01B82">
              <w:rPr>
                <w:sz w:val="20"/>
              </w:rPr>
              <w:t>0.0065</w:t>
            </w:r>
          </w:p>
        </w:tc>
        <w:tc>
          <w:tcPr>
            <w:tcW w:w="1073" w:type="dxa"/>
            <w:tcBorders>
              <w:top w:val="single" w:sz="4" w:space="0" w:color="auto"/>
            </w:tcBorders>
          </w:tcPr>
          <w:p w14:paraId="3CC0B261" w14:textId="77777777" w:rsidR="00002263" w:rsidRPr="00C01B82" w:rsidRDefault="00002263" w:rsidP="009F3C4C">
            <w:pPr>
              <w:spacing w:before="0" w:after="0"/>
              <w:rPr>
                <w:sz w:val="20"/>
              </w:rPr>
            </w:pPr>
            <w:r w:rsidRPr="00C01B82">
              <w:rPr>
                <w:sz w:val="20"/>
              </w:rPr>
              <w:t>1.1526</w:t>
            </w:r>
          </w:p>
        </w:tc>
        <w:tc>
          <w:tcPr>
            <w:tcW w:w="1073" w:type="dxa"/>
            <w:tcBorders>
              <w:top w:val="single" w:sz="4" w:space="0" w:color="auto"/>
            </w:tcBorders>
          </w:tcPr>
          <w:p w14:paraId="47880549" w14:textId="77777777" w:rsidR="00002263" w:rsidRPr="00C01B82" w:rsidRDefault="00002263" w:rsidP="009F3C4C">
            <w:pPr>
              <w:spacing w:before="0" w:after="0"/>
              <w:rPr>
                <w:sz w:val="20"/>
              </w:rPr>
            </w:pPr>
            <w:r w:rsidRPr="00C01B82">
              <w:rPr>
                <w:sz w:val="20"/>
              </w:rPr>
              <w:t>0.2541</w:t>
            </w:r>
          </w:p>
        </w:tc>
      </w:tr>
      <w:tr w:rsidR="00002263" w:rsidRPr="00C01B82" w14:paraId="73C42C0A" w14:textId="77777777" w:rsidTr="009F3C4C">
        <w:trPr>
          <w:trHeight w:val="340"/>
          <w:jc w:val="center"/>
        </w:trPr>
        <w:tc>
          <w:tcPr>
            <w:tcW w:w="2252" w:type="dxa"/>
          </w:tcPr>
          <w:p w14:paraId="4A9F90F3" w14:textId="77777777" w:rsidR="00002263" w:rsidRPr="00C01B82" w:rsidRDefault="00002263" w:rsidP="009F3C4C">
            <w:pPr>
              <w:spacing w:before="0" w:after="0"/>
              <w:rPr>
                <w:sz w:val="20"/>
              </w:rPr>
            </w:pPr>
            <w:r w:rsidRPr="00C01B82">
              <w:rPr>
                <w:sz w:val="20"/>
              </w:rPr>
              <w:t>2015 vs. 2017</w:t>
            </w:r>
          </w:p>
        </w:tc>
        <w:tc>
          <w:tcPr>
            <w:tcW w:w="887" w:type="dxa"/>
          </w:tcPr>
          <w:p w14:paraId="668887E7" w14:textId="77777777" w:rsidR="00002263" w:rsidRPr="00C01B82" w:rsidRDefault="00002263" w:rsidP="009F3C4C">
            <w:pPr>
              <w:spacing w:before="0" w:after="0"/>
              <w:rPr>
                <w:sz w:val="20"/>
              </w:rPr>
            </w:pPr>
            <w:r w:rsidRPr="00C01B82">
              <w:rPr>
                <w:sz w:val="20"/>
              </w:rPr>
              <w:t>3.5839</w:t>
            </w:r>
          </w:p>
        </w:tc>
        <w:tc>
          <w:tcPr>
            <w:tcW w:w="1073" w:type="dxa"/>
          </w:tcPr>
          <w:p w14:paraId="1ED289A7" w14:textId="77777777" w:rsidR="00002263" w:rsidRPr="00C01B82" w:rsidRDefault="00002263" w:rsidP="009F3C4C">
            <w:pPr>
              <w:spacing w:before="0" w:after="0"/>
              <w:rPr>
                <w:b/>
                <w:sz w:val="20"/>
              </w:rPr>
            </w:pPr>
            <w:r w:rsidRPr="00C01B82">
              <w:rPr>
                <w:b/>
                <w:sz w:val="20"/>
              </w:rPr>
              <w:t>0.0006</w:t>
            </w:r>
          </w:p>
        </w:tc>
        <w:tc>
          <w:tcPr>
            <w:tcW w:w="1073" w:type="dxa"/>
          </w:tcPr>
          <w:p w14:paraId="0DF79241" w14:textId="77777777" w:rsidR="00002263" w:rsidRPr="00C01B82" w:rsidRDefault="00002263" w:rsidP="009F3C4C">
            <w:pPr>
              <w:spacing w:before="0" w:after="0"/>
              <w:rPr>
                <w:sz w:val="20"/>
              </w:rPr>
            </w:pPr>
            <w:r w:rsidRPr="00C01B82">
              <w:rPr>
                <w:sz w:val="20"/>
              </w:rPr>
              <w:t>2.0765</w:t>
            </w:r>
          </w:p>
        </w:tc>
        <w:tc>
          <w:tcPr>
            <w:tcW w:w="1073" w:type="dxa"/>
          </w:tcPr>
          <w:p w14:paraId="6DB27F22" w14:textId="77777777" w:rsidR="00002263" w:rsidRPr="00C01B82" w:rsidRDefault="00002263" w:rsidP="009F3C4C">
            <w:pPr>
              <w:spacing w:before="0" w:after="0"/>
              <w:rPr>
                <w:sz w:val="20"/>
              </w:rPr>
            </w:pPr>
            <w:r w:rsidRPr="00C01B82">
              <w:rPr>
                <w:sz w:val="20"/>
              </w:rPr>
              <w:t>0.0125</w:t>
            </w:r>
          </w:p>
        </w:tc>
      </w:tr>
      <w:tr w:rsidR="00002263" w:rsidRPr="00C01B82" w14:paraId="04029062" w14:textId="77777777" w:rsidTr="009F3C4C">
        <w:trPr>
          <w:trHeight w:val="340"/>
          <w:jc w:val="center"/>
        </w:trPr>
        <w:tc>
          <w:tcPr>
            <w:tcW w:w="2252" w:type="dxa"/>
          </w:tcPr>
          <w:p w14:paraId="47DA8307" w14:textId="77777777" w:rsidR="00002263" w:rsidRPr="00C01B82" w:rsidRDefault="00002263" w:rsidP="009F3C4C">
            <w:pPr>
              <w:spacing w:before="0" w:after="0"/>
              <w:rPr>
                <w:sz w:val="20"/>
              </w:rPr>
            </w:pPr>
            <w:r w:rsidRPr="00C01B82">
              <w:rPr>
                <w:sz w:val="20"/>
              </w:rPr>
              <w:t>2015 vs. 2018</w:t>
            </w:r>
          </w:p>
        </w:tc>
        <w:tc>
          <w:tcPr>
            <w:tcW w:w="887" w:type="dxa"/>
          </w:tcPr>
          <w:p w14:paraId="24E18613" w14:textId="77777777" w:rsidR="00002263" w:rsidRPr="00C01B82" w:rsidRDefault="00002263" w:rsidP="009F3C4C">
            <w:pPr>
              <w:spacing w:before="0" w:after="0"/>
              <w:rPr>
                <w:sz w:val="20"/>
              </w:rPr>
            </w:pPr>
            <w:r w:rsidRPr="00C01B82">
              <w:rPr>
                <w:sz w:val="20"/>
              </w:rPr>
              <w:t>1.7638</w:t>
            </w:r>
          </w:p>
        </w:tc>
        <w:tc>
          <w:tcPr>
            <w:tcW w:w="1073" w:type="dxa"/>
          </w:tcPr>
          <w:p w14:paraId="7AE15B45" w14:textId="77777777" w:rsidR="00002263" w:rsidRPr="00C01B82" w:rsidRDefault="00002263" w:rsidP="009F3C4C">
            <w:pPr>
              <w:spacing w:before="0" w:after="0"/>
              <w:rPr>
                <w:sz w:val="20"/>
              </w:rPr>
            </w:pPr>
            <w:r w:rsidRPr="00C01B82">
              <w:rPr>
                <w:sz w:val="20"/>
              </w:rPr>
              <w:t>0.0400</w:t>
            </w:r>
          </w:p>
        </w:tc>
        <w:tc>
          <w:tcPr>
            <w:tcW w:w="1073" w:type="dxa"/>
          </w:tcPr>
          <w:p w14:paraId="32775423" w14:textId="77777777" w:rsidR="00002263" w:rsidRPr="00C01B82" w:rsidRDefault="00002263" w:rsidP="009F3C4C">
            <w:pPr>
              <w:spacing w:before="0" w:after="0"/>
              <w:rPr>
                <w:sz w:val="20"/>
              </w:rPr>
            </w:pPr>
            <w:r w:rsidRPr="00C01B82">
              <w:rPr>
                <w:sz w:val="20"/>
              </w:rPr>
              <w:t>1.2070</w:t>
            </w:r>
          </w:p>
        </w:tc>
        <w:tc>
          <w:tcPr>
            <w:tcW w:w="1073" w:type="dxa"/>
          </w:tcPr>
          <w:p w14:paraId="26E3961D" w14:textId="77777777" w:rsidR="00002263" w:rsidRPr="00C01B82" w:rsidRDefault="00002263" w:rsidP="009F3C4C">
            <w:pPr>
              <w:spacing w:before="0" w:after="0"/>
              <w:rPr>
                <w:sz w:val="20"/>
              </w:rPr>
            </w:pPr>
            <w:r w:rsidRPr="00C01B82">
              <w:rPr>
                <w:sz w:val="20"/>
              </w:rPr>
              <w:t>0.2185</w:t>
            </w:r>
          </w:p>
        </w:tc>
      </w:tr>
      <w:tr w:rsidR="00002263" w:rsidRPr="00C01B82" w14:paraId="1E68473F" w14:textId="77777777" w:rsidTr="009F3C4C">
        <w:trPr>
          <w:trHeight w:val="340"/>
          <w:jc w:val="center"/>
        </w:trPr>
        <w:tc>
          <w:tcPr>
            <w:tcW w:w="2252" w:type="dxa"/>
          </w:tcPr>
          <w:p w14:paraId="7169BBC4" w14:textId="77777777" w:rsidR="00002263" w:rsidRPr="00C01B82" w:rsidRDefault="00002263" w:rsidP="009F3C4C">
            <w:pPr>
              <w:spacing w:before="0" w:after="0"/>
              <w:rPr>
                <w:sz w:val="20"/>
              </w:rPr>
            </w:pPr>
            <w:r w:rsidRPr="00C01B82">
              <w:rPr>
                <w:sz w:val="20"/>
              </w:rPr>
              <w:t>2015 vs. 2019</w:t>
            </w:r>
          </w:p>
        </w:tc>
        <w:tc>
          <w:tcPr>
            <w:tcW w:w="887" w:type="dxa"/>
          </w:tcPr>
          <w:p w14:paraId="005548F1" w14:textId="77777777" w:rsidR="00002263" w:rsidRPr="00C01B82" w:rsidRDefault="00002263" w:rsidP="009F3C4C">
            <w:pPr>
              <w:spacing w:before="0" w:after="0"/>
              <w:rPr>
                <w:sz w:val="20"/>
              </w:rPr>
            </w:pPr>
            <w:r w:rsidRPr="00C01B82">
              <w:rPr>
                <w:sz w:val="20"/>
              </w:rPr>
              <w:t>1.2874</w:t>
            </w:r>
          </w:p>
        </w:tc>
        <w:tc>
          <w:tcPr>
            <w:tcW w:w="1073" w:type="dxa"/>
          </w:tcPr>
          <w:p w14:paraId="62DBE70B" w14:textId="77777777" w:rsidR="00002263" w:rsidRPr="00C01B82" w:rsidRDefault="00002263" w:rsidP="009F3C4C">
            <w:pPr>
              <w:spacing w:before="0" w:after="0"/>
              <w:rPr>
                <w:sz w:val="20"/>
              </w:rPr>
            </w:pPr>
            <w:r w:rsidRPr="00C01B82">
              <w:rPr>
                <w:sz w:val="20"/>
              </w:rPr>
              <w:t>0.1767</w:t>
            </w:r>
          </w:p>
        </w:tc>
        <w:tc>
          <w:tcPr>
            <w:tcW w:w="1073" w:type="dxa"/>
          </w:tcPr>
          <w:p w14:paraId="293B7242" w14:textId="77777777" w:rsidR="00002263" w:rsidRPr="00C01B82" w:rsidRDefault="00002263" w:rsidP="009F3C4C">
            <w:pPr>
              <w:spacing w:before="0" w:after="0"/>
              <w:rPr>
                <w:sz w:val="20"/>
              </w:rPr>
            </w:pPr>
            <w:r w:rsidRPr="00C01B82">
              <w:rPr>
                <w:sz w:val="20"/>
              </w:rPr>
              <w:t>1.0302</w:t>
            </w:r>
          </w:p>
        </w:tc>
        <w:tc>
          <w:tcPr>
            <w:tcW w:w="1073" w:type="dxa"/>
          </w:tcPr>
          <w:p w14:paraId="689B06FF" w14:textId="77777777" w:rsidR="00002263" w:rsidRPr="00C01B82" w:rsidRDefault="00002263" w:rsidP="009F3C4C">
            <w:pPr>
              <w:spacing w:before="0" w:after="0"/>
              <w:rPr>
                <w:sz w:val="20"/>
              </w:rPr>
            </w:pPr>
            <w:r w:rsidRPr="00C01B82">
              <w:rPr>
                <w:sz w:val="20"/>
              </w:rPr>
              <w:t>0.3419</w:t>
            </w:r>
          </w:p>
        </w:tc>
      </w:tr>
      <w:tr w:rsidR="00002263" w:rsidRPr="00C01B82" w14:paraId="44A2143B" w14:textId="77777777" w:rsidTr="009F3C4C">
        <w:trPr>
          <w:trHeight w:val="340"/>
          <w:jc w:val="center"/>
        </w:trPr>
        <w:tc>
          <w:tcPr>
            <w:tcW w:w="2252" w:type="dxa"/>
            <w:shd w:val="clear" w:color="auto" w:fill="auto"/>
          </w:tcPr>
          <w:p w14:paraId="2181F0DD" w14:textId="77777777" w:rsidR="00002263" w:rsidRPr="00C01B82" w:rsidRDefault="00002263" w:rsidP="009F3C4C">
            <w:pPr>
              <w:spacing w:before="0" w:after="0"/>
              <w:rPr>
                <w:sz w:val="20"/>
              </w:rPr>
            </w:pPr>
            <w:r w:rsidRPr="00C01B82">
              <w:rPr>
                <w:sz w:val="20"/>
              </w:rPr>
              <w:t>2015 vs. 2020</w:t>
            </w:r>
          </w:p>
        </w:tc>
        <w:tc>
          <w:tcPr>
            <w:tcW w:w="887" w:type="dxa"/>
            <w:shd w:val="clear" w:color="auto" w:fill="auto"/>
          </w:tcPr>
          <w:p w14:paraId="110211E0" w14:textId="77777777" w:rsidR="00002263" w:rsidRPr="00C01B82" w:rsidRDefault="00002263" w:rsidP="009F3C4C">
            <w:pPr>
              <w:spacing w:before="0" w:after="0"/>
              <w:rPr>
                <w:sz w:val="20"/>
              </w:rPr>
            </w:pPr>
            <w:r w:rsidRPr="00C01B82">
              <w:rPr>
                <w:sz w:val="20"/>
              </w:rPr>
              <w:t>1.3092</w:t>
            </w:r>
          </w:p>
        </w:tc>
        <w:tc>
          <w:tcPr>
            <w:tcW w:w="1073" w:type="dxa"/>
            <w:shd w:val="clear" w:color="auto" w:fill="auto"/>
          </w:tcPr>
          <w:p w14:paraId="17746BB6" w14:textId="77777777" w:rsidR="00002263" w:rsidRPr="00C01B82" w:rsidRDefault="00002263" w:rsidP="009F3C4C">
            <w:pPr>
              <w:spacing w:before="0" w:after="0"/>
              <w:rPr>
                <w:sz w:val="20"/>
              </w:rPr>
            </w:pPr>
            <w:r w:rsidRPr="00C01B82">
              <w:rPr>
                <w:sz w:val="20"/>
              </w:rPr>
              <w:t>0.1679</w:t>
            </w:r>
          </w:p>
        </w:tc>
        <w:tc>
          <w:tcPr>
            <w:tcW w:w="1073" w:type="dxa"/>
            <w:shd w:val="clear" w:color="auto" w:fill="auto"/>
          </w:tcPr>
          <w:p w14:paraId="6854D478" w14:textId="77777777" w:rsidR="00002263" w:rsidRPr="00C01B82" w:rsidRDefault="00002263" w:rsidP="009F3C4C">
            <w:pPr>
              <w:spacing w:before="0" w:after="0"/>
              <w:rPr>
                <w:sz w:val="20"/>
              </w:rPr>
            </w:pPr>
            <w:r w:rsidRPr="00C01B82">
              <w:rPr>
                <w:sz w:val="20"/>
              </w:rPr>
              <w:t>1.2146</w:t>
            </w:r>
          </w:p>
        </w:tc>
        <w:tc>
          <w:tcPr>
            <w:tcW w:w="1073" w:type="dxa"/>
            <w:shd w:val="clear" w:color="auto" w:fill="auto"/>
          </w:tcPr>
          <w:p w14:paraId="1967F802" w14:textId="77777777" w:rsidR="00002263" w:rsidRPr="00C01B82" w:rsidRDefault="00002263" w:rsidP="009F3C4C">
            <w:pPr>
              <w:spacing w:before="0" w:after="0"/>
              <w:rPr>
                <w:sz w:val="20"/>
              </w:rPr>
            </w:pPr>
            <w:r w:rsidRPr="00C01B82">
              <w:rPr>
                <w:sz w:val="20"/>
              </w:rPr>
              <w:t>0.2132</w:t>
            </w:r>
          </w:p>
        </w:tc>
      </w:tr>
      <w:tr w:rsidR="00002263" w:rsidRPr="00C01B82" w14:paraId="1B09DD24" w14:textId="77777777" w:rsidTr="009F3C4C">
        <w:trPr>
          <w:trHeight w:val="340"/>
          <w:jc w:val="center"/>
        </w:trPr>
        <w:tc>
          <w:tcPr>
            <w:tcW w:w="2252" w:type="dxa"/>
            <w:shd w:val="clear" w:color="auto" w:fill="auto"/>
          </w:tcPr>
          <w:p w14:paraId="18EEFB6B" w14:textId="77777777" w:rsidR="00002263" w:rsidRPr="00C01B82" w:rsidRDefault="00002263" w:rsidP="009F3C4C">
            <w:pPr>
              <w:spacing w:before="0" w:after="0"/>
              <w:rPr>
                <w:sz w:val="20"/>
              </w:rPr>
            </w:pPr>
            <w:r w:rsidRPr="00C01B82">
              <w:rPr>
                <w:sz w:val="20"/>
              </w:rPr>
              <w:t>2016 vs. 2017</w:t>
            </w:r>
          </w:p>
        </w:tc>
        <w:tc>
          <w:tcPr>
            <w:tcW w:w="887" w:type="dxa"/>
            <w:shd w:val="clear" w:color="auto" w:fill="auto"/>
          </w:tcPr>
          <w:p w14:paraId="23300580" w14:textId="77777777" w:rsidR="00002263" w:rsidRPr="00C01B82" w:rsidRDefault="00002263" w:rsidP="009F3C4C">
            <w:pPr>
              <w:spacing w:before="0" w:after="0"/>
              <w:rPr>
                <w:sz w:val="20"/>
              </w:rPr>
            </w:pPr>
            <w:r w:rsidRPr="00C01B82">
              <w:rPr>
                <w:sz w:val="20"/>
              </w:rPr>
              <w:t>2.2942</w:t>
            </w:r>
          </w:p>
        </w:tc>
        <w:tc>
          <w:tcPr>
            <w:tcW w:w="1073" w:type="dxa"/>
            <w:shd w:val="clear" w:color="auto" w:fill="auto"/>
          </w:tcPr>
          <w:p w14:paraId="044FB9E0" w14:textId="77777777" w:rsidR="00002263" w:rsidRPr="00C01B82" w:rsidRDefault="00002263" w:rsidP="009F3C4C">
            <w:pPr>
              <w:spacing w:before="0" w:after="0"/>
              <w:rPr>
                <w:sz w:val="20"/>
              </w:rPr>
            </w:pPr>
            <w:r w:rsidRPr="00C01B82">
              <w:rPr>
                <w:sz w:val="20"/>
              </w:rPr>
              <w:t>0.0036</w:t>
            </w:r>
          </w:p>
        </w:tc>
        <w:tc>
          <w:tcPr>
            <w:tcW w:w="1073" w:type="dxa"/>
            <w:shd w:val="clear" w:color="auto" w:fill="auto"/>
          </w:tcPr>
          <w:p w14:paraId="019A6699" w14:textId="77777777" w:rsidR="00002263" w:rsidRPr="00C01B82" w:rsidRDefault="00002263" w:rsidP="009F3C4C">
            <w:pPr>
              <w:spacing w:before="0" w:after="0"/>
              <w:rPr>
                <w:sz w:val="20"/>
              </w:rPr>
            </w:pPr>
            <w:r w:rsidRPr="00C01B82">
              <w:rPr>
                <w:sz w:val="20"/>
              </w:rPr>
              <w:t>3.7883</w:t>
            </w:r>
          </w:p>
        </w:tc>
        <w:tc>
          <w:tcPr>
            <w:tcW w:w="1073" w:type="dxa"/>
            <w:shd w:val="clear" w:color="auto" w:fill="auto"/>
          </w:tcPr>
          <w:p w14:paraId="1B5EB31B" w14:textId="77777777" w:rsidR="00002263" w:rsidRPr="00C01B82" w:rsidRDefault="00002263" w:rsidP="009F3C4C">
            <w:pPr>
              <w:spacing w:before="0" w:after="0"/>
              <w:rPr>
                <w:b/>
                <w:sz w:val="20"/>
              </w:rPr>
            </w:pPr>
            <w:r w:rsidRPr="00C01B82">
              <w:rPr>
                <w:b/>
                <w:sz w:val="20"/>
              </w:rPr>
              <w:t>0.0002</w:t>
            </w:r>
          </w:p>
        </w:tc>
      </w:tr>
      <w:tr w:rsidR="00002263" w:rsidRPr="00C01B82" w14:paraId="3C339A86" w14:textId="77777777" w:rsidTr="009F3C4C">
        <w:trPr>
          <w:trHeight w:val="340"/>
          <w:jc w:val="center"/>
        </w:trPr>
        <w:tc>
          <w:tcPr>
            <w:tcW w:w="2252" w:type="dxa"/>
            <w:shd w:val="clear" w:color="auto" w:fill="auto"/>
          </w:tcPr>
          <w:p w14:paraId="6475743F" w14:textId="77777777" w:rsidR="00002263" w:rsidRPr="00C01B82" w:rsidRDefault="00002263" w:rsidP="009F3C4C">
            <w:pPr>
              <w:spacing w:before="0" w:after="0"/>
              <w:rPr>
                <w:sz w:val="20"/>
              </w:rPr>
            </w:pPr>
            <w:r w:rsidRPr="00C01B82">
              <w:rPr>
                <w:sz w:val="20"/>
              </w:rPr>
              <w:t>2016 vs. 2018</w:t>
            </w:r>
          </w:p>
        </w:tc>
        <w:tc>
          <w:tcPr>
            <w:tcW w:w="887" w:type="dxa"/>
            <w:shd w:val="clear" w:color="auto" w:fill="auto"/>
          </w:tcPr>
          <w:p w14:paraId="08F985FF" w14:textId="77777777" w:rsidR="00002263" w:rsidRPr="00C01B82" w:rsidRDefault="00002263" w:rsidP="009F3C4C">
            <w:pPr>
              <w:spacing w:before="0" w:after="0"/>
              <w:rPr>
                <w:sz w:val="20"/>
              </w:rPr>
            </w:pPr>
            <w:r w:rsidRPr="00C01B82">
              <w:rPr>
                <w:sz w:val="20"/>
              </w:rPr>
              <w:t>1.7945</w:t>
            </w:r>
          </w:p>
        </w:tc>
        <w:tc>
          <w:tcPr>
            <w:tcW w:w="1073" w:type="dxa"/>
            <w:shd w:val="clear" w:color="auto" w:fill="auto"/>
          </w:tcPr>
          <w:p w14:paraId="67962F0C" w14:textId="77777777" w:rsidR="00002263" w:rsidRPr="00C01B82" w:rsidRDefault="00002263" w:rsidP="009F3C4C">
            <w:pPr>
              <w:spacing w:before="0" w:after="0"/>
              <w:rPr>
                <w:sz w:val="20"/>
              </w:rPr>
            </w:pPr>
            <w:r w:rsidRPr="00C01B82">
              <w:rPr>
                <w:sz w:val="20"/>
              </w:rPr>
              <w:t>0.0289</w:t>
            </w:r>
          </w:p>
        </w:tc>
        <w:tc>
          <w:tcPr>
            <w:tcW w:w="1073" w:type="dxa"/>
            <w:shd w:val="clear" w:color="auto" w:fill="auto"/>
          </w:tcPr>
          <w:p w14:paraId="0797CE08" w14:textId="77777777" w:rsidR="00002263" w:rsidRPr="00C01B82" w:rsidRDefault="00002263" w:rsidP="009F3C4C">
            <w:pPr>
              <w:spacing w:before="0" w:after="0"/>
              <w:rPr>
                <w:sz w:val="20"/>
              </w:rPr>
            </w:pPr>
            <w:r w:rsidRPr="00C01B82">
              <w:rPr>
                <w:sz w:val="20"/>
              </w:rPr>
              <w:t>0.8127</w:t>
            </w:r>
          </w:p>
        </w:tc>
        <w:tc>
          <w:tcPr>
            <w:tcW w:w="1073" w:type="dxa"/>
            <w:shd w:val="clear" w:color="auto" w:fill="auto"/>
          </w:tcPr>
          <w:p w14:paraId="65C7C73F" w14:textId="77777777" w:rsidR="00002263" w:rsidRPr="00C01B82" w:rsidRDefault="00002263" w:rsidP="009F3C4C">
            <w:pPr>
              <w:spacing w:before="0" w:after="0"/>
              <w:rPr>
                <w:sz w:val="20"/>
              </w:rPr>
            </w:pPr>
            <w:r w:rsidRPr="00C01B82">
              <w:rPr>
                <w:sz w:val="20"/>
              </w:rPr>
              <w:t>0.5881</w:t>
            </w:r>
          </w:p>
        </w:tc>
      </w:tr>
      <w:tr w:rsidR="00002263" w:rsidRPr="00C01B82" w14:paraId="3D55D14C" w14:textId="77777777" w:rsidTr="009F3C4C">
        <w:trPr>
          <w:trHeight w:val="340"/>
          <w:jc w:val="center"/>
        </w:trPr>
        <w:tc>
          <w:tcPr>
            <w:tcW w:w="2252" w:type="dxa"/>
            <w:shd w:val="clear" w:color="auto" w:fill="auto"/>
          </w:tcPr>
          <w:p w14:paraId="22BBC9F8" w14:textId="77777777" w:rsidR="00002263" w:rsidRPr="00C01B82" w:rsidRDefault="00002263" w:rsidP="009F3C4C">
            <w:pPr>
              <w:spacing w:before="0" w:after="0"/>
              <w:rPr>
                <w:sz w:val="20"/>
              </w:rPr>
            </w:pPr>
            <w:r w:rsidRPr="00C01B82">
              <w:rPr>
                <w:sz w:val="20"/>
              </w:rPr>
              <w:t>2016 vs. 2019</w:t>
            </w:r>
          </w:p>
        </w:tc>
        <w:tc>
          <w:tcPr>
            <w:tcW w:w="887" w:type="dxa"/>
            <w:shd w:val="clear" w:color="auto" w:fill="auto"/>
          </w:tcPr>
          <w:p w14:paraId="193FE6EB" w14:textId="77777777" w:rsidR="00002263" w:rsidRPr="00C01B82" w:rsidRDefault="00002263" w:rsidP="009F3C4C">
            <w:pPr>
              <w:spacing w:before="0" w:after="0"/>
              <w:rPr>
                <w:sz w:val="20"/>
              </w:rPr>
            </w:pPr>
            <w:r w:rsidRPr="00C01B82">
              <w:rPr>
                <w:sz w:val="20"/>
              </w:rPr>
              <w:t>1.6992</w:t>
            </w:r>
          </w:p>
        </w:tc>
        <w:tc>
          <w:tcPr>
            <w:tcW w:w="1073" w:type="dxa"/>
            <w:shd w:val="clear" w:color="auto" w:fill="auto"/>
          </w:tcPr>
          <w:p w14:paraId="438A8536" w14:textId="77777777" w:rsidR="00002263" w:rsidRPr="00C01B82" w:rsidRDefault="00002263" w:rsidP="009F3C4C">
            <w:pPr>
              <w:spacing w:before="0" w:after="0"/>
              <w:rPr>
                <w:sz w:val="20"/>
              </w:rPr>
            </w:pPr>
            <w:r w:rsidRPr="00C01B82">
              <w:rPr>
                <w:sz w:val="20"/>
              </w:rPr>
              <w:t>0.0421</w:t>
            </w:r>
          </w:p>
        </w:tc>
        <w:tc>
          <w:tcPr>
            <w:tcW w:w="1073" w:type="dxa"/>
            <w:shd w:val="clear" w:color="auto" w:fill="auto"/>
          </w:tcPr>
          <w:p w14:paraId="3425392B" w14:textId="77777777" w:rsidR="00002263" w:rsidRPr="00C01B82" w:rsidRDefault="00002263" w:rsidP="009F3C4C">
            <w:pPr>
              <w:spacing w:before="0" w:after="0"/>
              <w:rPr>
                <w:sz w:val="20"/>
              </w:rPr>
            </w:pPr>
            <w:r w:rsidRPr="00C01B82">
              <w:rPr>
                <w:sz w:val="20"/>
              </w:rPr>
              <w:t>1.7025</w:t>
            </w:r>
          </w:p>
        </w:tc>
        <w:tc>
          <w:tcPr>
            <w:tcW w:w="1073" w:type="dxa"/>
            <w:shd w:val="clear" w:color="auto" w:fill="auto"/>
          </w:tcPr>
          <w:p w14:paraId="130EE437" w14:textId="77777777" w:rsidR="00002263" w:rsidRPr="00C01B82" w:rsidRDefault="00002263" w:rsidP="009F3C4C">
            <w:pPr>
              <w:spacing w:before="0" w:after="0"/>
              <w:rPr>
                <w:sz w:val="20"/>
              </w:rPr>
            </w:pPr>
            <w:r w:rsidRPr="00C01B82">
              <w:rPr>
                <w:sz w:val="20"/>
              </w:rPr>
              <w:t>0.0483</w:t>
            </w:r>
          </w:p>
        </w:tc>
      </w:tr>
      <w:tr w:rsidR="00002263" w:rsidRPr="00C01B82" w14:paraId="7EC6CCDA" w14:textId="77777777" w:rsidTr="009F3C4C">
        <w:trPr>
          <w:trHeight w:val="340"/>
          <w:jc w:val="center"/>
        </w:trPr>
        <w:tc>
          <w:tcPr>
            <w:tcW w:w="2252" w:type="dxa"/>
            <w:shd w:val="clear" w:color="auto" w:fill="auto"/>
          </w:tcPr>
          <w:p w14:paraId="204B16BF" w14:textId="77777777" w:rsidR="00002263" w:rsidRPr="00C01B82" w:rsidRDefault="00002263" w:rsidP="009F3C4C">
            <w:pPr>
              <w:spacing w:before="0" w:after="0"/>
              <w:rPr>
                <w:sz w:val="20"/>
              </w:rPr>
            </w:pPr>
            <w:r w:rsidRPr="00C01B82">
              <w:rPr>
                <w:sz w:val="20"/>
              </w:rPr>
              <w:t>2016 vs. 2020</w:t>
            </w:r>
          </w:p>
        </w:tc>
        <w:tc>
          <w:tcPr>
            <w:tcW w:w="887" w:type="dxa"/>
            <w:shd w:val="clear" w:color="auto" w:fill="auto"/>
          </w:tcPr>
          <w:p w14:paraId="7BB45175" w14:textId="77777777" w:rsidR="00002263" w:rsidRPr="00C01B82" w:rsidRDefault="00002263" w:rsidP="009F3C4C">
            <w:pPr>
              <w:spacing w:before="0" w:after="0"/>
              <w:rPr>
                <w:sz w:val="20"/>
              </w:rPr>
            </w:pPr>
            <w:r w:rsidRPr="00C01B82">
              <w:rPr>
                <w:sz w:val="20"/>
              </w:rPr>
              <w:t>2.4776</w:t>
            </w:r>
          </w:p>
        </w:tc>
        <w:tc>
          <w:tcPr>
            <w:tcW w:w="1073" w:type="dxa"/>
            <w:shd w:val="clear" w:color="auto" w:fill="auto"/>
          </w:tcPr>
          <w:p w14:paraId="4FA5FEEC" w14:textId="77777777" w:rsidR="00002263" w:rsidRPr="00C01B82" w:rsidRDefault="00002263" w:rsidP="009F3C4C">
            <w:pPr>
              <w:spacing w:before="0" w:after="0"/>
              <w:rPr>
                <w:sz w:val="20"/>
              </w:rPr>
            </w:pPr>
            <w:r w:rsidRPr="00C01B82">
              <w:rPr>
                <w:sz w:val="20"/>
              </w:rPr>
              <w:t>0.0043</w:t>
            </w:r>
          </w:p>
        </w:tc>
        <w:tc>
          <w:tcPr>
            <w:tcW w:w="1073" w:type="dxa"/>
            <w:shd w:val="clear" w:color="auto" w:fill="auto"/>
          </w:tcPr>
          <w:p w14:paraId="2E3182AC" w14:textId="77777777" w:rsidR="00002263" w:rsidRPr="00C01B82" w:rsidRDefault="00002263" w:rsidP="009F3C4C">
            <w:pPr>
              <w:spacing w:before="0" w:after="0"/>
              <w:rPr>
                <w:sz w:val="20"/>
              </w:rPr>
            </w:pPr>
            <w:r w:rsidRPr="00C01B82">
              <w:rPr>
                <w:sz w:val="20"/>
              </w:rPr>
              <w:t>2.2132</w:t>
            </w:r>
          </w:p>
        </w:tc>
        <w:tc>
          <w:tcPr>
            <w:tcW w:w="1073" w:type="dxa"/>
            <w:shd w:val="clear" w:color="auto" w:fill="auto"/>
          </w:tcPr>
          <w:p w14:paraId="3C6EB948" w14:textId="77777777" w:rsidR="00002263" w:rsidRPr="00C01B82" w:rsidRDefault="00002263" w:rsidP="009F3C4C">
            <w:pPr>
              <w:spacing w:before="0" w:after="0"/>
              <w:rPr>
                <w:sz w:val="20"/>
              </w:rPr>
            </w:pPr>
            <w:r w:rsidRPr="00C01B82">
              <w:rPr>
                <w:sz w:val="20"/>
              </w:rPr>
              <w:t>0.0100</w:t>
            </w:r>
          </w:p>
        </w:tc>
      </w:tr>
      <w:tr w:rsidR="00002263" w:rsidRPr="00C01B82" w14:paraId="2AE6D021" w14:textId="77777777" w:rsidTr="009F3C4C">
        <w:trPr>
          <w:trHeight w:val="340"/>
          <w:jc w:val="center"/>
        </w:trPr>
        <w:tc>
          <w:tcPr>
            <w:tcW w:w="2252" w:type="dxa"/>
            <w:shd w:val="clear" w:color="auto" w:fill="auto"/>
          </w:tcPr>
          <w:p w14:paraId="2BADD543" w14:textId="77777777" w:rsidR="00002263" w:rsidRPr="00C01B82" w:rsidRDefault="00002263" w:rsidP="009F3C4C">
            <w:pPr>
              <w:spacing w:before="0" w:after="0"/>
              <w:rPr>
                <w:sz w:val="20"/>
              </w:rPr>
            </w:pPr>
            <w:r w:rsidRPr="00C01B82">
              <w:rPr>
                <w:sz w:val="20"/>
              </w:rPr>
              <w:t>2017 vs. 2018</w:t>
            </w:r>
          </w:p>
        </w:tc>
        <w:tc>
          <w:tcPr>
            <w:tcW w:w="887" w:type="dxa"/>
            <w:shd w:val="clear" w:color="auto" w:fill="auto"/>
          </w:tcPr>
          <w:p w14:paraId="46DB2DCD" w14:textId="77777777" w:rsidR="00002263" w:rsidRPr="00C01B82" w:rsidRDefault="00002263" w:rsidP="009F3C4C">
            <w:pPr>
              <w:spacing w:before="0" w:after="0"/>
              <w:rPr>
                <w:sz w:val="20"/>
              </w:rPr>
            </w:pPr>
            <w:r w:rsidRPr="00C01B82">
              <w:rPr>
                <w:sz w:val="20"/>
              </w:rPr>
              <w:t>2.6821</w:t>
            </w:r>
          </w:p>
        </w:tc>
        <w:tc>
          <w:tcPr>
            <w:tcW w:w="1073" w:type="dxa"/>
            <w:shd w:val="clear" w:color="auto" w:fill="auto"/>
          </w:tcPr>
          <w:p w14:paraId="6178EFBB" w14:textId="77777777" w:rsidR="00002263" w:rsidRPr="00C01B82" w:rsidRDefault="00002263" w:rsidP="009F3C4C">
            <w:pPr>
              <w:spacing w:before="0" w:after="0"/>
              <w:rPr>
                <w:b/>
                <w:sz w:val="20"/>
              </w:rPr>
            </w:pPr>
            <w:r w:rsidRPr="00C01B82">
              <w:rPr>
                <w:b/>
                <w:sz w:val="20"/>
              </w:rPr>
              <w:t>0.0015</w:t>
            </w:r>
          </w:p>
        </w:tc>
        <w:tc>
          <w:tcPr>
            <w:tcW w:w="1073" w:type="dxa"/>
            <w:shd w:val="clear" w:color="auto" w:fill="auto"/>
          </w:tcPr>
          <w:p w14:paraId="7791C61A" w14:textId="77777777" w:rsidR="00002263" w:rsidRPr="00C01B82" w:rsidRDefault="00002263" w:rsidP="009F3C4C">
            <w:pPr>
              <w:spacing w:before="0" w:after="0"/>
              <w:rPr>
                <w:sz w:val="20"/>
              </w:rPr>
            </w:pPr>
            <w:r w:rsidRPr="00C01B82">
              <w:rPr>
                <w:sz w:val="20"/>
              </w:rPr>
              <w:t>3.1583</w:t>
            </w:r>
          </w:p>
        </w:tc>
        <w:tc>
          <w:tcPr>
            <w:tcW w:w="1073" w:type="dxa"/>
            <w:shd w:val="clear" w:color="auto" w:fill="auto"/>
          </w:tcPr>
          <w:p w14:paraId="2E69C63D" w14:textId="77777777" w:rsidR="00002263" w:rsidRPr="00C01B82" w:rsidRDefault="00002263" w:rsidP="009F3C4C">
            <w:pPr>
              <w:spacing w:before="0" w:after="0"/>
              <w:rPr>
                <w:b/>
                <w:sz w:val="20"/>
              </w:rPr>
            </w:pPr>
            <w:r w:rsidRPr="00C01B82">
              <w:rPr>
                <w:b/>
                <w:sz w:val="20"/>
              </w:rPr>
              <w:t>0.0007</w:t>
            </w:r>
          </w:p>
        </w:tc>
      </w:tr>
      <w:tr w:rsidR="00002263" w:rsidRPr="00C01B82" w14:paraId="41452B11" w14:textId="77777777" w:rsidTr="009F3C4C">
        <w:trPr>
          <w:trHeight w:val="340"/>
          <w:jc w:val="center"/>
        </w:trPr>
        <w:tc>
          <w:tcPr>
            <w:tcW w:w="2252" w:type="dxa"/>
            <w:shd w:val="clear" w:color="auto" w:fill="auto"/>
          </w:tcPr>
          <w:p w14:paraId="73CB3DC7" w14:textId="77777777" w:rsidR="00002263" w:rsidRPr="00C01B82" w:rsidRDefault="00002263" w:rsidP="009F3C4C">
            <w:pPr>
              <w:spacing w:before="0" w:after="0"/>
              <w:rPr>
                <w:sz w:val="20"/>
              </w:rPr>
            </w:pPr>
            <w:r w:rsidRPr="00C01B82">
              <w:rPr>
                <w:sz w:val="20"/>
              </w:rPr>
              <w:t>2017 vs. 2019</w:t>
            </w:r>
          </w:p>
        </w:tc>
        <w:tc>
          <w:tcPr>
            <w:tcW w:w="887" w:type="dxa"/>
            <w:shd w:val="clear" w:color="auto" w:fill="auto"/>
          </w:tcPr>
          <w:p w14:paraId="570DF98C" w14:textId="77777777" w:rsidR="00002263" w:rsidRPr="00C01B82" w:rsidRDefault="00002263" w:rsidP="009F3C4C">
            <w:pPr>
              <w:spacing w:before="0" w:after="0"/>
              <w:rPr>
                <w:sz w:val="20"/>
              </w:rPr>
            </w:pPr>
            <w:r w:rsidRPr="00C01B82">
              <w:rPr>
                <w:sz w:val="20"/>
              </w:rPr>
              <w:t>3.1843</w:t>
            </w:r>
          </w:p>
        </w:tc>
        <w:tc>
          <w:tcPr>
            <w:tcW w:w="1073" w:type="dxa"/>
            <w:shd w:val="clear" w:color="auto" w:fill="auto"/>
          </w:tcPr>
          <w:p w14:paraId="4E2B4C3F" w14:textId="77777777" w:rsidR="00002263" w:rsidRPr="00C01B82" w:rsidRDefault="00002263" w:rsidP="009F3C4C">
            <w:pPr>
              <w:spacing w:before="0" w:after="0"/>
              <w:rPr>
                <w:b/>
                <w:sz w:val="20"/>
              </w:rPr>
            </w:pPr>
            <w:r w:rsidRPr="00C01B82">
              <w:rPr>
                <w:b/>
                <w:sz w:val="20"/>
              </w:rPr>
              <w:t>0.0006</w:t>
            </w:r>
          </w:p>
        </w:tc>
        <w:tc>
          <w:tcPr>
            <w:tcW w:w="1073" w:type="dxa"/>
            <w:shd w:val="clear" w:color="auto" w:fill="auto"/>
          </w:tcPr>
          <w:p w14:paraId="6E18E54D" w14:textId="77777777" w:rsidR="00002263" w:rsidRPr="00C01B82" w:rsidRDefault="00002263" w:rsidP="009F3C4C">
            <w:pPr>
              <w:spacing w:before="0" w:after="0"/>
              <w:rPr>
                <w:sz w:val="20"/>
              </w:rPr>
            </w:pPr>
            <w:r w:rsidRPr="00C01B82">
              <w:rPr>
                <w:sz w:val="20"/>
              </w:rPr>
              <w:t>1.9555</w:t>
            </w:r>
          </w:p>
        </w:tc>
        <w:tc>
          <w:tcPr>
            <w:tcW w:w="1073" w:type="dxa"/>
            <w:shd w:val="clear" w:color="auto" w:fill="auto"/>
          </w:tcPr>
          <w:p w14:paraId="4C21A1B3" w14:textId="77777777" w:rsidR="00002263" w:rsidRPr="00C01B82" w:rsidRDefault="00002263" w:rsidP="009F3C4C">
            <w:pPr>
              <w:spacing w:before="0" w:after="0"/>
              <w:rPr>
                <w:sz w:val="20"/>
              </w:rPr>
            </w:pPr>
            <w:r w:rsidRPr="00C01B82">
              <w:rPr>
                <w:sz w:val="20"/>
              </w:rPr>
              <w:t>0.0170</w:t>
            </w:r>
          </w:p>
        </w:tc>
      </w:tr>
      <w:tr w:rsidR="00002263" w:rsidRPr="00C01B82" w14:paraId="173A8166" w14:textId="77777777" w:rsidTr="009F3C4C">
        <w:trPr>
          <w:trHeight w:val="340"/>
          <w:jc w:val="center"/>
        </w:trPr>
        <w:tc>
          <w:tcPr>
            <w:tcW w:w="2252" w:type="dxa"/>
            <w:shd w:val="clear" w:color="auto" w:fill="auto"/>
          </w:tcPr>
          <w:p w14:paraId="1591F941" w14:textId="77777777" w:rsidR="00002263" w:rsidRPr="00C01B82" w:rsidRDefault="00002263" w:rsidP="009F3C4C">
            <w:pPr>
              <w:spacing w:before="0" w:after="0"/>
              <w:rPr>
                <w:sz w:val="20"/>
              </w:rPr>
            </w:pPr>
            <w:r w:rsidRPr="00C01B82">
              <w:rPr>
                <w:sz w:val="20"/>
              </w:rPr>
              <w:t>2017 vs. 2020</w:t>
            </w:r>
          </w:p>
        </w:tc>
        <w:tc>
          <w:tcPr>
            <w:tcW w:w="887" w:type="dxa"/>
            <w:shd w:val="clear" w:color="auto" w:fill="auto"/>
          </w:tcPr>
          <w:p w14:paraId="1C13F06F" w14:textId="77777777" w:rsidR="00002263" w:rsidRPr="00C01B82" w:rsidRDefault="00002263" w:rsidP="009F3C4C">
            <w:pPr>
              <w:spacing w:before="0" w:after="0"/>
              <w:rPr>
                <w:sz w:val="20"/>
              </w:rPr>
            </w:pPr>
            <w:r w:rsidRPr="00C01B82">
              <w:rPr>
                <w:sz w:val="20"/>
              </w:rPr>
              <w:t>3.0791</w:t>
            </w:r>
          </w:p>
        </w:tc>
        <w:tc>
          <w:tcPr>
            <w:tcW w:w="1073" w:type="dxa"/>
            <w:shd w:val="clear" w:color="auto" w:fill="auto"/>
          </w:tcPr>
          <w:p w14:paraId="43FB802E" w14:textId="77777777" w:rsidR="00002263" w:rsidRPr="00C01B82" w:rsidRDefault="00002263" w:rsidP="009F3C4C">
            <w:pPr>
              <w:spacing w:before="0" w:after="0"/>
              <w:rPr>
                <w:b/>
                <w:sz w:val="20"/>
              </w:rPr>
            </w:pPr>
            <w:r w:rsidRPr="00C01B82">
              <w:rPr>
                <w:b/>
                <w:sz w:val="20"/>
              </w:rPr>
              <w:t>0.0004</w:t>
            </w:r>
          </w:p>
        </w:tc>
        <w:tc>
          <w:tcPr>
            <w:tcW w:w="1073" w:type="dxa"/>
            <w:shd w:val="clear" w:color="auto" w:fill="auto"/>
          </w:tcPr>
          <w:p w14:paraId="227144D9" w14:textId="77777777" w:rsidR="00002263" w:rsidRPr="00C01B82" w:rsidRDefault="00002263" w:rsidP="009F3C4C">
            <w:pPr>
              <w:spacing w:before="0" w:after="0"/>
              <w:rPr>
                <w:sz w:val="20"/>
              </w:rPr>
            </w:pPr>
            <w:r w:rsidRPr="00C01B82">
              <w:rPr>
                <w:sz w:val="20"/>
              </w:rPr>
              <w:t>2.8131</w:t>
            </w:r>
          </w:p>
        </w:tc>
        <w:tc>
          <w:tcPr>
            <w:tcW w:w="1073" w:type="dxa"/>
            <w:shd w:val="clear" w:color="auto" w:fill="auto"/>
          </w:tcPr>
          <w:p w14:paraId="6E6AEE07" w14:textId="77777777" w:rsidR="00002263" w:rsidRPr="00C01B82" w:rsidRDefault="00002263" w:rsidP="009F3C4C">
            <w:pPr>
              <w:spacing w:before="0" w:after="0"/>
              <w:rPr>
                <w:b/>
                <w:sz w:val="20"/>
              </w:rPr>
            </w:pPr>
            <w:r w:rsidRPr="00C01B82">
              <w:rPr>
                <w:b/>
                <w:sz w:val="20"/>
              </w:rPr>
              <w:t>0.0002</w:t>
            </w:r>
          </w:p>
        </w:tc>
      </w:tr>
      <w:tr w:rsidR="00002263" w:rsidRPr="00C01B82" w14:paraId="3CF67CC4" w14:textId="77777777" w:rsidTr="009F3C4C">
        <w:trPr>
          <w:trHeight w:val="340"/>
          <w:jc w:val="center"/>
        </w:trPr>
        <w:tc>
          <w:tcPr>
            <w:tcW w:w="2252" w:type="dxa"/>
            <w:shd w:val="clear" w:color="auto" w:fill="auto"/>
          </w:tcPr>
          <w:p w14:paraId="3A82ED76" w14:textId="77777777" w:rsidR="00002263" w:rsidRPr="00C01B82" w:rsidRDefault="00002263" w:rsidP="009F3C4C">
            <w:pPr>
              <w:spacing w:before="0" w:after="0"/>
              <w:rPr>
                <w:sz w:val="20"/>
              </w:rPr>
            </w:pPr>
            <w:r w:rsidRPr="00C01B82">
              <w:rPr>
                <w:sz w:val="20"/>
              </w:rPr>
              <w:t>2018 vs. 2019</w:t>
            </w:r>
          </w:p>
        </w:tc>
        <w:tc>
          <w:tcPr>
            <w:tcW w:w="887" w:type="dxa"/>
            <w:shd w:val="clear" w:color="auto" w:fill="auto"/>
          </w:tcPr>
          <w:p w14:paraId="4BDCA5AD" w14:textId="77777777" w:rsidR="00002263" w:rsidRPr="00C01B82" w:rsidRDefault="00002263" w:rsidP="009F3C4C">
            <w:pPr>
              <w:spacing w:before="0" w:after="0"/>
              <w:rPr>
                <w:sz w:val="20"/>
              </w:rPr>
            </w:pPr>
            <w:r w:rsidRPr="00C01B82">
              <w:rPr>
                <w:sz w:val="20"/>
              </w:rPr>
              <w:t>1.7619</w:t>
            </w:r>
          </w:p>
        </w:tc>
        <w:tc>
          <w:tcPr>
            <w:tcW w:w="1073" w:type="dxa"/>
            <w:shd w:val="clear" w:color="auto" w:fill="auto"/>
          </w:tcPr>
          <w:p w14:paraId="6ACCC792" w14:textId="77777777" w:rsidR="00002263" w:rsidRPr="00C01B82" w:rsidRDefault="00002263" w:rsidP="009F3C4C">
            <w:pPr>
              <w:spacing w:before="0" w:after="0"/>
              <w:rPr>
                <w:sz w:val="20"/>
              </w:rPr>
            </w:pPr>
            <w:r w:rsidRPr="00C01B82">
              <w:rPr>
                <w:sz w:val="20"/>
              </w:rPr>
              <w:t>0.0417</w:t>
            </w:r>
          </w:p>
        </w:tc>
        <w:tc>
          <w:tcPr>
            <w:tcW w:w="1073" w:type="dxa"/>
            <w:shd w:val="clear" w:color="auto" w:fill="auto"/>
          </w:tcPr>
          <w:p w14:paraId="4D111131" w14:textId="77777777" w:rsidR="00002263" w:rsidRPr="00C01B82" w:rsidRDefault="00002263" w:rsidP="009F3C4C">
            <w:pPr>
              <w:spacing w:before="0" w:after="0"/>
              <w:rPr>
                <w:sz w:val="20"/>
              </w:rPr>
            </w:pPr>
            <w:r w:rsidRPr="00C01B82">
              <w:rPr>
                <w:sz w:val="20"/>
              </w:rPr>
              <w:t>1.4932</w:t>
            </w:r>
          </w:p>
        </w:tc>
        <w:tc>
          <w:tcPr>
            <w:tcW w:w="1073" w:type="dxa"/>
            <w:shd w:val="clear" w:color="auto" w:fill="auto"/>
          </w:tcPr>
          <w:p w14:paraId="22CD6709" w14:textId="77777777" w:rsidR="00002263" w:rsidRPr="00C01B82" w:rsidRDefault="00002263" w:rsidP="009F3C4C">
            <w:pPr>
              <w:spacing w:before="0" w:after="0"/>
              <w:rPr>
                <w:sz w:val="20"/>
              </w:rPr>
            </w:pPr>
            <w:r w:rsidRPr="00C01B82">
              <w:rPr>
                <w:sz w:val="20"/>
              </w:rPr>
              <w:t>0.1031</w:t>
            </w:r>
          </w:p>
        </w:tc>
      </w:tr>
      <w:tr w:rsidR="00002263" w:rsidRPr="00C01B82" w14:paraId="01D93440" w14:textId="77777777" w:rsidTr="009F3C4C">
        <w:trPr>
          <w:trHeight w:val="340"/>
          <w:jc w:val="center"/>
        </w:trPr>
        <w:tc>
          <w:tcPr>
            <w:tcW w:w="2252" w:type="dxa"/>
            <w:shd w:val="clear" w:color="auto" w:fill="auto"/>
          </w:tcPr>
          <w:p w14:paraId="571D4365" w14:textId="77777777" w:rsidR="00002263" w:rsidRPr="00C01B82" w:rsidRDefault="00002263" w:rsidP="009F3C4C">
            <w:pPr>
              <w:spacing w:before="0" w:after="0"/>
              <w:rPr>
                <w:sz w:val="20"/>
              </w:rPr>
            </w:pPr>
            <w:r w:rsidRPr="00C01B82">
              <w:rPr>
                <w:sz w:val="20"/>
              </w:rPr>
              <w:t>2018 vs. 2020</w:t>
            </w:r>
          </w:p>
        </w:tc>
        <w:tc>
          <w:tcPr>
            <w:tcW w:w="887" w:type="dxa"/>
            <w:shd w:val="clear" w:color="auto" w:fill="auto"/>
          </w:tcPr>
          <w:p w14:paraId="18AF4B84" w14:textId="77777777" w:rsidR="00002263" w:rsidRPr="00C01B82" w:rsidRDefault="00002263" w:rsidP="009F3C4C">
            <w:pPr>
              <w:spacing w:before="0" w:after="0"/>
              <w:rPr>
                <w:sz w:val="20"/>
              </w:rPr>
            </w:pPr>
            <w:r w:rsidRPr="00C01B82">
              <w:rPr>
                <w:sz w:val="20"/>
              </w:rPr>
              <w:t>1.7910</w:t>
            </w:r>
          </w:p>
        </w:tc>
        <w:tc>
          <w:tcPr>
            <w:tcW w:w="1073" w:type="dxa"/>
            <w:shd w:val="clear" w:color="auto" w:fill="auto"/>
          </w:tcPr>
          <w:p w14:paraId="17F0C7EB" w14:textId="77777777" w:rsidR="00002263" w:rsidRPr="00C01B82" w:rsidRDefault="00002263" w:rsidP="009F3C4C">
            <w:pPr>
              <w:spacing w:before="0" w:after="0"/>
              <w:rPr>
                <w:sz w:val="20"/>
              </w:rPr>
            </w:pPr>
            <w:r w:rsidRPr="00C01B82">
              <w:rPr>
                <w:sz w:val="20"/>
              </w:rPr>
              <w:t>0.0387</w:t>
            </w:r>
          </w:p>
        </w:tc>
        <w:tc>
          <w:tcPr>
            <w:tcW w:w="1073" w:type="dxa"/>
            <w:shd w:val="clear" w:color="auto" w:fill="auto"/>
          </w:tcPr>
          <w:p w14:paraId="0B32485C" w14:textId="77777777" w:rsidR="00002263" w:rsidRPr="00C01B82" w:rsidRDefault="00002263" w:rsidP="009F3C4C">
            <w:pPr>
              <w:spacing w:before="0" w:after="0"/>
              <w:rPr>
                <w:sz w:val="20"/>
              </w:rPr>
            </w:pPr>
            <w:r w:rsidRPr="00C01B82">
              <w:rPr>
                <w:sz w:val="20"/>
              </w:rPr>
              <w:t>2.1635</w:t>
            </w:r>
          </w:p>
        </w:tc>
        <w:tc>
          <w:tcPr>
            <w:tcW w:w="1073" w:type="dxa"/>
            <w:shd w:val="clear" w:color="auto" w:fill="auto"/>
          </w:tcPr>
          <w:p w14:paraId="230E9790" w14:textId="77777777" w:rsidR="00002263" w:rsidRPr="00C01B82" w:rsidRDefault="00002263" w:rsidP="009F3C4C">
            <w:pPr>
              <w:spacing w:before="0" w:after="0"/>
              <w:rPr>
                <w:sz w:val="20"/>
              </w:rPr>
            </w:pPr>
            <w:r w:rsidRPr="00C01B82">
              <w:rPr>
                <w:sz w:val="20"/>
              </w:rPr>
              <w:t>0.0127</w:t>
            </w:r>
          </w:p>
        </w:tc>
      </w:tr>
      <w:tr w:rsidR="00002263" w:rsidRPr="00C01B82" w14:paraId="51E0AE7A" w14:textId="77777777" w:rsidTr="009F3C4C">
        <w:trPr>
          <w:trHeight w:val="340"/>
          <w:jc w:val="center"/>
        </w:trPr>
        <w:tc>
          <w:tcPr>
            <w:tcW w:w="2252" w:type="dxa"/>
            <w:tcBorders>
              <w:bottom w:val="single" w:sz="4" w:space="0" w:color="auto"/>
            </w:tcBorders>
            <w:shd w:val="clear" w:color="auto" w:fill="auto"/>
          </w:tcPr>
          <w:p w14:paraId="04B632ED" w14:textId="77777777" w:rsidR="00002263" w:rsidRPr="00C01B82" w:rsidRDefault="00002263" w:rsidP="009F3C4C">
            <w:pPr>
              <w:spacing w:before="0" w:after="0"/>
              <w:rPr>
                <w:sz w:val="20"/>
              </w:rPr>
            </w:pPr>
            <w:r w:rsidRPr="00C01B82">
              <w:rPr>
                <w:sz w:val="20"/>
              </w:rPr>
              <w:t>2019 vs. 2020</w:t>
            </w:r>
          </w:p>
        </w:tc>
        <w:tc>
          <w:tcPr>
            <w:tcW w:w="887" w:type="dxa"/>
            <w:tcBorders>
              <w:bottom w:val="single" w:sz="4" w:space="0" w:color="auto"/>
            </w:tcBorders>
            <w:shd w:val="clear" w:color="auto" w:fill="auto"/>
          </w:tcPr>
          <w:p w14:paraId="5CCC6000" w14:textId="77777777" w:rsidR="00002263" w:rsidRPr="00C01B82" w:rsidRDefault="00002263" w:rsidP="009F3C4C">
            <w:pPr>
              <w:spacing w:before="0" w:after="0"/>
              <w:rPr>
                <w:sz w:val="20"/>
              </w:rPr>
            </w:pPr>
            <w:r w:rsidRPr="00C01B82">
              <w:rPr>
                <w:sz w:val="20"/>
              </w:rPr>
              <w:t>1.4898</w:t>
            </w:r>
          </w:p>
        </w:tc>
        <w:tc>
          <w:tcPr>
            <w:tcW w:w="1073" w:type="dxa"/>
            <w:tcBorders>
              <w:bottom w:val="single" w:sz="4" w:space="0" w:color="auto"/>
            </w:tcBorders>
            <w:shd w:val="clear" w:color="auto" w:fill="auto"/>
          </w:tcPr>
          <w:p w14:paraId="278BCFC9" w14:textId="77777777" w:rsidR="00002263" w:rsidRPr="00C01B82" w:rsidRDefault="00002263" w:rsidP="009F3C4C">
            <w:pPr>
              <w:spacing w:before="0" w:after="0"/>
              <w:rPr>
                <w:sz w:val="20"/>
              </w:rPr>
            </w:pPr>
            <w:r w:rsidRPr="00C01B82">
              <w:rPr>
                <w:sz w:val="20"/>
              </w:rPr>
              <w:t>0.1118</w:t>
            </w:r>
          </w:p>
        </w:tc>
        <w:tc>
          <w:tcPr>
            <w:tcW w:w="1073" w:type="dxa"/>
            <w:tcBorders>
              <w:bottom w:val="single" w:sz="4" w:space="0" w:color="auto"/>
            </w:tcBorders>
            <w:shd w:val="clear" w:color="auto" w:fill="auto"/>
          </w:tcPr>
          <w:p w14:paraId="39AF1CE0" w14:textId="77777777" w:rsidR="00002263" w:rsidRPr="00C01B82" w:rsidRDefault="00002263" w:rsidP="009F3C4C">
            <w:pPr>
              <w:spacing w:before="0" w:after="0"/>
              <w:rPr>
                <w:sz w:val="20"/>
              </w:rPr>
            </w:pPr>
            <w:r w:rsidRPr="00C01B82">
              <w:rPr>
                <w:sz w:val="20"/>
              </w:rPr>
              <w:t>2.0557</w:t>
            </w:r>
          </w:p>
        </w:tc>
        <w:tc>
          <w:tcPr>
            <w:tcW w:w="1073" w:type="dxa"/>
            <w:tcBorders>
              <w:bottom w:val="single" w:sz="4" w:space="0" w:color="auto"/>
            </w:tcBorders>
            <w:shd w:val="clear" w:color="auto" w:fill="auto"/>
          </w:tcPr>
          <w:p w14:paraId="0DF38276" w14:textId="77777777" w:rsidR="00002263" w:rsidRPr="00C01B82" w:rsidRDefault="00002263" w:rsidP="009F3C4C">
            <w:pPr>
              <w:spacing w:before="0" w:after="0"/>
              <w:rPr>
                <w:sz w:val="20"/>
              </w:rPr>
            </w:pPr>
            <w:r w:rsidRPr="00C01B82">
              <w:rPr>
                <w:sz w:val="20"/>
              </w:rPr>
              <w:t>0.0129</w:t>
            </w:r>
          </w:p>
        </w:tc>
      </w:tr>
    </w:tbl>
    <w:p w14:paraId="33228073" w14:textId="2F9943FD" w:rsidR="00002263" w:rsidRDefault="00002263" w:rsidP="007F69C2">
      <w:pPr>
        <w:sectPr w:rsidR="00002263" w:rsidSect="005647FE">
          <w:pgSz w:w="11906" w:h="16838"/>
          <w:pgMar w:top="1440" w:right="1440" w:bottom="1440" w:left="1440" w:header="709" w:footer="709" w:gutter="0"/>
          <w:cols w:space="708"/>
          <w:docGrid w:linePitch="360"/>
        </w:sectPr>
      </w:pPr>
    </w:p>
    <w:p w14:paraId="4FAA2964" w14:textId="77777777" w:rsidR="001922D0" w:rsidRPr="00EA0232" w:rsidRDefault="001922D0" w:rsidP="00707C9D">
      <w:pPr>
        <w:pStyle w:val="Heading1"/>
        <w:numPr>
          <w:ilvl w:val="0"/>
          <w:numId w:val="0"/>
        </w:numPr>
        <w:ind w:left="851" w:hanging="851"/>
      </w:pPr>
      <w:bookmarkStart w:id="403" w:name="_Toc3558350"/>
      <w:bookmarkStart w:id="404" w:name="_Toc69309256"/>
      <w:r w:rsidRPr="00EA0232">
        <w:t>Acronyms</w:t>
      </w:r>
      <w:bookmarkEnd w:id="403"/>
      <w:bookmarkEnd w:id="404"/>
    </w:p>
    <w:tbl>
      <w:tblPr>
        <w:tblW w:w="0" w:type="auto"/>
        <w:tblInd w:w="91" w:type="dxa"/>
        <w:tblLayout w:type="fixed"/>
        <w:tblLook w:val="04A0" w:firstRow="1" w:lastRow="0" w:firstColumn="1" w:lastColumn="0" w:noHBand="0" w:noVBand="1"/>
      </w:tblPr>
      <w:tblGrid>
        <w:gridCol w:w="1327"/>
        <w:gridCol w:w="7602"/>
      </w:tblGrid>
      <w:tr w:rsidR="001922D0" w:rsidRPr="004E0E6F" w14:paraId="672281D1" w14:textId="77777777" w:rsidTr="00D632F9">
        <w:trPr>
          <w:trHeight w:val="300"/>
        </w:trPr>
        <w:tc>
          <w:tcPr>
            <w:tcW w:w="1327" w:type="dxa"/>
            <w:tcBorders>
              <w:top w:val="nil"/>
              <w:left w:val="nil"/>
              <w:bottom w:val="nil"/>
              <w:right w:val="nil"/>
            </w:tcBorders>
            <w:shd w:val="clear" w:color="auto" w:fill="auto"/>
            <w:noWrap/>
          </w:tcPr>
          <w:p w14:paraId="4E02B4DF"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AHD</w:t>
            </w:r>
          </w:p>
        </w:tc>
        <w:tc>
          <w:tcPr>
            <w:tcW w:w="7602" w:type="dxa"/>
            <w:tcBorders>
              <w:top w:val="nil"/>
              <w:left w:val="nil"/>
              <w:bottom w:val="nil"/>
              <w:right w:val="nil"/>
            </w:tcBorders>
            <w:shd w:val="clear" w:color="auto" w:fill="auto"/>
            <w:noWrap/>
          </w:tcPr>
          <w:p w14:paraId="58E1BD28" w14:textId="77777777" w:rsidR="001922D0" w:rsidRPr="004E0E6F" w:rsidRDefault="001922D0" w:rsidP="00D632F9">
            <w:pPr>
              <w:spacing w:after="0" w:line="240" w:lineRule="auto"/>
              <w:rPr>
                <w:rFonts w:cs="Calibri"/>
                <w:color w:val="222222"/>
                <w:sz w:val="19"/>
                <w:szCs w:val="19"/>
              </w:rPr>
            </w:pPr>
            <w:r w:rsidRPr="004E0E6F">
              <w:rPr>
                <w:rFonts w:cs="Calibri"/>
                <w:color w:val="222222"/>
                <w:sz w:val="19"/>
                <w:szCs w:val="19"/>
              </w:rPr>
              <w:t>Australian Height Datum</w:t>
            </w:r>
          </w:p>
        </w:tc>
      </w:tr>
      <w:tr w:rsidR="001922D0" w:rsidRPr="004E0E6F" w14:paraId="7802DBAB" w14:textId="77777777" w:rsidTr="00D632F9">
        <w:trPr>
          <w:trHeight w:val="300"/>
        </w:trPr>
        <w:tc>
          <w:tcPr>
            <w:tcW w:w="1327" w:type="dxa"/>
            <w:tcBorders>
              <w:top w:val="nil"/>
              <w:left w:val="nil"/>
              <w:bottom w:val="nil"/>
              <w:right w:val="nil"/>
            </w:tcBorders>
            <w:shd w:val="clear" w:color="auto" w:fill="auto"/>
            <w:noWrap/>
            <w:hideMark/>
          </w:tcPr>
          <w:p w14:paraId="31DB2A69"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CEW</w:t>
            </w:r>
          </w:p>
        </w:tc>
        <w:tc>
          <w:tcPr>
            <w:tcW w:w="7602" w:type="dxa"/>
            <w:tcBorders>
              <w:top w:val="nil"/>
              <w:left w:val="nil"/>
              <w:bottom w:val="nil"/>
              <w:right w:val="nil"/>
            </w:tcBorders>
            <w:shd w:val="clear" w:color="auto" w:fill="auto"/>
            <w:noWrap/>
            <w:hideMark/>
          </w:tcPr>
          <w:p w14:paraId="3FF6BECF" w14:textId="77777777" w:rsidR="001922D0" w:rsidRPr="004E0E6F" w:rsidRDefault="001922D0" w:rsidP="00D632F9">
            <w:pPr>
              <w:spacing w:after="0" w:line="240" w:lineRule="auto"/>
              <w:rPr>
                <w:rFonts w:cs="Calibri"/>
                <w:sz w:val="19"/>
                <w:szCs w:val="19"/>
              </w:rPr>
            </w:pPr>
            <w:r w:rsidRPr="004E0E6F">
              <w:rPr>
                <w:rFonts w:cs="Calibri"/>
                <w:sz w:val="19"/>
                <w:szCs w:val="19"/>
              </w:rPr>
              <w:t>Commonwealth environmental water</w:t>
            </w:r>
          </w:p>
        </w:tc>
      </w:tr>
      <w:tr w:rsidR="001922D0" w:rsidRPr="004E0E6F" w14:paraId="14293B53" w14:textId="77777777" w:rsidTr="00D632F9">
        <w:trPr>
          <w:trHeight w:val="300"/>
        </w:trPr>
        <w:tc>
          <w:tcPr>
            <w:tcW w:w="1327" w:type="dxa"/>
            <w:tcBorders>
              <w:top w:val="nil"/>
              <w:left w:val="nil"/>
              <w:bottom w:val="nil"/>
              <w:right w:val="nil"/>
            </w:tcBorders>
            <w:shd w:val="clear" w:color="auto" w:fill="auto"/>
            <w:noWrap/>
          </w:tcPr>
          <w:p w14:paraId="20B23279"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CEWO</w:t>
            </w:r>
          </w:p>
        </w:tc>
        <w:tc>
          <w:tcPr>
            <w:tcW w:w="7602" w:type="dxa"/>
            <w:tcBorders>
              <w:top w:val="nil"/>
              <w:left w:val="nil"/>
              <w:bottom w:val="nil"/>
              <w:right w:val="nil"/>
            </w:tcBorders>
            <w:shd w:val="clear" w:color="auto" w:fill="auto"/>
            <w:noWrap/>
          </w:tcPr>
          <w:p w14:paraId="6F470F77" w14:textId="77777777" w:rsidR="001922D0" w:rsidRPr="004E0E6F" w:rsidRDefault="001922D0" w:rsidP="00D632F9">
            <w:pPr>
              <w:spacing w:after="0" w:line="240" w:lineRule="auto"/>
              <w:rPr>
                <w:rFonts w:cs="Calibri"/>
                <w:sz w:val="19"/>
                <w:szCs w:val="19"/>
              </w:rPr>
            </w:pPr>
            <w:r w:rsidRPr="004E0E6F">
              <w:rPr>
                <w:rFonts w:cs="Calibri"/>
                <w:sz w:val="19"/>
                <w:szCs w:val="19"/>
              </w:rPr>
              <w:t>Commonwealth Environmental Water Office</w:t>
            </w:r>
          </w:p>
        </w:tc>
      </w:tr>
      <w:tr w:rsidR="00FE3EAD" w:rsidRPr="004E0E6F" w14:paraId="468082E2" w14:textId="77777777" w:rsidTr="00D632F9">
        <w:trPr>
          <w:trHeight w:val="300"/>
        </w:trPr>
        <w:tc>
          <w:tcPr>
            <w:tcW w:w="1327" w:type="dxa"/>
            <w:tcBorders>
              <w:top w:val="nil"/>
              <w:left w:val="nil"/>
              <w:bottom w:val="nil"/>
              <w:right w:val="nil"/>
            </w:tcBorders>
            <w:shd w:val="clear" w:color="auto" w:fill="auto"/>
            <w:noWrap/>
          </w:tcPr>
          <w:p w14:paraId="600BA351" w14:textId="40EB27C4" w:rsidR="00FE3EAD" w:rsidRPr="004E0E6F" w:rsidRDefault="00FE3EAD" w:rsidP="00D632F9">
            <w:pPr>
              <w:spacing w:after="0" w:line="240" w:lineRule="auto"/>
              <w:rPr>
                <w:rFonts w:cs="Calibri"/>
                <w:b/>
                <w:bCs/>
                <w:color w:val="E46D0A"/>
                <w:sz w:val="19"/>
                <w:szCs w:val="19"/>
              </w:rPr>
            </w:pPr>
            <w:r>
              <w:rPr>
                <w:rFonts w:cs="Calibri"/>
                <w:b/>
                <w:bCs/>
                <w:color w:val="E46D0A"/>
                <w:sz w:val="19"/>
                <w:szCs w:val="19"/>
              </w:rPr>
              <w:t>CLLMM</w:t>
            </w:r>
          </w:p>
        </w:tc>
        <w:tc>
          <w:tcPr>
            <w:tcW w:w="7602" w:type="dxa"/>
            <w:tcBorders>
              <w:top w:val="nil"/>
              <w:left w:val="nil"/>
              <w:bottom w:val="nil"/>
              <w:right w:val="nil"/>
            </w:tcBorders>
            <w:shd w:val="clear" w:color="auto" w:fill="auto"/>
            <w:noWrap/>
          </w:tcPr>
          <w:p w14:paraId="3985364A" w14:textId="0600D038" w:rsidR="00FE3EAD" w:rsidRPr="004E0E6F" w:rsidRDefault="00240C43" w:rsidP="00D632F9">
            <w:pPr>
              <w:spacing w:after="0" w:line="240" w:lineRule="auto"/>
              <w:rPr>
                <w:rFonts w:cs="Calibri"/>
                <w:sz w:val="19"/>
                <w:szCs w:val="19"/>
              </w:rPr>
            </w:pPr>
            <w:r>
              <w:rPr>
                <w:rFonts w:cs="Calibri"/>
                <w:sz w:val="19"/>
                <w:szCs w:val="19"/>
              </w:rPr>
              <w:t>Coorong, Lower Lakes and Murray Mouth</w:t>
            </w:r>
          </w:p>
        </w:tc>
      </w:tr>
      <w:tr w:rsidR="001922D0" w:rsidRPr="004E0E6F" w14:paraId="21E48A49" w14:textId="77777777" w:rsidTr="00D632F9">
        <w:trPr>
          <w:trHeight w:val="300"/>
        </w:trPr>
        <w:tc>
          <w:tcPr>
            <w:tcW w:w="1327" w:type="dxa"/>
            <w:tcBorders>
              <w:top w:val="nil"/>
              <w:left w:val="nil"/>
              <w:bottom w:val="nil"/>
              <w:right w:val="nil"/>
            </w:tcBorders>
            <w:shd w:val="clear" w:color="auto" w:fill="auto"/>
            <w:noWrap/>
          </w:tcPr>
          <w:p w14:paraId="0CD592A2"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DEW</w:t>
            </w:r>
          </w:p>
        </w:tc>
        <w:tc>
          <w:tcPr>
            <w:tcW w:w="7602" w:type="dxa"/>
            <w:tcBorders>
              <w:top w:val="nil"/>
              <w:left w:val="nil"/>
              <w:bottom w:val="nil"/>
              <w:right w:val="nil"/>
            </w:tcBorders>
            <w:shd w:val="clear" w:color="auto" w:fill="auto"/>
            <w:noWrap/>
          </w:tcPr>
          <w:p w14:paraId="7866FC28" w14:textId="77777777" w:rsidR="001922D0" w:rsidRPr="004E0E6F" w:rsidRDefault="001922D0" w:rsidP="00D632F9">
            <w:pPr>
              <w:spacing w:after="0" w:line="240" w:lineRule="auto"/>
              <w:rPr>
                <w:rFonts w:cs="Calibri"/>
                <w:sz w:val="19"/>
                <w:szCs w:val="19"/>
              </w:rPr>
            </w:pPr>
            <w:r w:rsidRPr="004E0E6F">
              <w:rPr>
                <w:rFonts w:cs="Calibri"/>
                <w:sz w:val="19"/>
                <w:szCs w:val="19"/>
              </w:rPr>
              <w:t>Department for Environment and Water</w:t>
            </w:r>
          </w:p>
        </w:tc>
      </w:tr>
      <w:tr w:rsidR="001922D0" w:rsidRPr="004E0E6F" w14:paraId="0F7759F3" w14:textId="77777777" w:rsidTr="00D632F9">
        <w:trPr>
          <w:trHeight w:val="300"/>
        </w:trPr>
        <w:tc>
          <w:tcPr>
            <w:tcW w:w="1327" w:type="dxa"/>
            <w:tcBorders>
              <w:top w:val="nil"/>
              <w:left w:val="nil"/>
              <w:bottom w:val="nil"/>
              <w:right w:val="nil"/>
            </w:tcBorders>
            <w:shd w:val="clear" w:color="auto" w:fill="auto"/>
            <w:noWrap/>
          </w:tcPr>
          <w:p w14:paraId="5799E0D2"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DOC</w:t>
            </w:r>
          </w:p>
        </w:tc>
        <w:tc>
          <w:tcPr>
            <w:tcW w:w="7602" w:type="dxa"/>
            <w:tcBorders>
              <w:top w:val="nil"/>
              <w:left w:val="nil"/>
              <w:bottom w:val="nil"/>
              <w:right w:val="nil"/>
            </w:tcBorders>
            <w:shd w:val="clear" w:color="auto" w:fill="auto"/>
            <w:noWrap/>
          </w:tcPr>
          <w:p w14:paraId="4552AB03" w14:textId="77777777" w:rsidR="001922D0" w:rsidRPr="004E0E6F" w:rsidRDefault="001922D0" w:rsidP="00D632F9">
            <w:pPr>
              <w:spacing w:after="0" w:line="240" w:lineRule="auto"/>
              <w:rPr>
                <w:rFonts w:cs="Calibri"/>
                <w:sz w:val="19"/>
                <w:szCs w:val="19"/>
              </w:rPr>
            </w:pPr>
            <w:r w:rsidRPr="004E0E6F">
              <w:rPr>
                <w:rFonts w:cs="Calibri"/>
                <w:sz w:val="19"/>
                <w:szCs w:val="19"/>
              </w:rPr>
              <w:t>Dissolved organic carbon</w:t>
            </w:r>
          </w:p>
        </w:tc>
      </w:tr>
      <w:tr w:rsidR="001922D0" w:rsidRPr="004E0E6F" w14:paraId="757316A8" w14:textId="77777777" w:rsidTr="00D632F9">
        <w:trPr>
          <w:trHeight w:val="300"/>
        </w:trPr>
        <w:tc>
          <w:tcPr>
            <w:tcW w:w="1327" w:type="dxa"/>
            <w:tcBorders>
              <w:top w:val="nil"/>
              <w:left w:val="nil"/>
              <w:bottom w:val="nil"/>
              <w:right w:val="nil"/>
            </w:tcBorders>
            <w:shd w:val="clear" w:color="auto" w:fill="auto"/>
            <w:noWrap/>
          </w:tcPr>
          <w:p w14:paraId="70C27A2B"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ENP</w:t>
            </w:r>
          </w:p>
        </w:tc>
        <w:tc>
          <w:tcPr>
            <w:tcW w:w="7602" w:type="dxa"/>
            <w:tcBorders>
              <w:top w:val="nil"/>
              <w:left w:val="nil"/>
              <w:bottom w:val="nil"/>
              <w:right w:val="nil"/>
            </w:tcBorders>
            <w:shd w:val="clear" w:color="auto" w:fill="auto"/>
            <w:noWrap/>
          </w:tcPr>
          <w:p w14:paraId="6FD5BAFB" w14:textId="77777777" w:rsidR="001922D0" w:rsidRPr="004E0E6F" w:rsidRDefault="001922D0" w:rsidP="00D632F9">
            <w:pPr>
              <w:spacing w:after="0" w:line="240" w:lineRule="auto"/>
              <w:rPr>
                <w:rFonts w:cs="Calibri"/>
                <w:sz w:val="19"/>
                <w:szCs w:val="19"/>
              </w:rPr>
            </w:pPr>
            <w:r w:rsidRPr="004E0E6F">
              <w:rPr>
                <w:rFonts w:cs="Calibri"/>
                <w:sz w:val="19"/>
                <w:szCs w:val="19"/>
              </w:rPr>
              <w:t>Ecosystem net production</w:t>
            </w:r>
          </w:p>
        </w:tc>
      </w:tr>
      <w:tr w:rsidR="001922D0" w:rsidRPr="004E0E6F" w14:paraId="7EF56761" w14:textId="77777777" w:rsidTr="00D632F9">
        <w:trPr>
          <w:trHeight w:val="300"/>
        </w:trPr>
        <w:tc>
          <w:tcPr>
            <w:tcW w:w="1327" w:type="dxa"/>
            <w:tcBorders>
              <w:top w:val="nil"/>
              <w:left w:val="nil"/>
              <w:bottom w:val="nil"/>
              <w:right w:val="nil"/>
            </w:tcBorders>
            <w:shd w:val="clear" w:color="auto" w:fill="auto"/>
            <w:noWrap/>
          </w:tcPr>
          <w:p w14:paraId="5B392563"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ER</w:t>
            </w:r>
          </w:p>
        </w:tc>
        <w:tc>
          <w:tcPr>
            <w:tcW w:w="7602" w:type="dxa"/>
            <w:tcBorders>
              <w:top w:val="nil"/>
              <w:left w:val="nil"/>
              <w:bottom w:val="nil"/>
              <w:right w:val="nil"/>
            </w:tcBorders>
            <w:shd w:val="clear" w:color="auto" w:fill="auto"/>
            <w:noWrap/>
          </w:tcPr>
          <w:p w14:paraId="3A5C38A2" w14:textId="77777777" w:rsidR="001922D0" w:rsidRPr="004E0E6F" w:rsidRDefault="001922D0" w:rsidP="00D632F9">
            <w:pPr>
              <w:spacing w:after="0" w:line="240" w:lineRule="auto"/>
              <w:rPr>
                <w:rFonts w:cs="Calibri"/>
                <w:sz w:val="19"/>
                <w:szCs w:val="19"/>
              </w:rPr>
            </w:pPr>
            <w:r w:rsidRPr="004E0E6F">
              <w:rPr>
                <w:rFonts w:cs="Calibri"/>
                <w:sz w:val="19"/>
                <w:szCs w:val="19"/>
              </w:rPr>
              <w:t>Ecosystem respiration</w:t>
            </w:r>
          </w:p>
        </w:tc>
      </w:tr>
      <w:tr w:rsidR="001922D0" w:rsidRPr="004E0E6F" w14:paraId="634C6016" w14:textId="77777777" w:rsidTr="00D632F9">
        <w:trPr>
          <w:trHeight w:val="300"/>
        </w:trPr>
        <w:tc>
          <w:tcPr>
            <w:tcW w:w="1327" w:type="dxa"/>
            <w:tcBorders>
              <w:top w:val="nil"/>
              <w:left w:val="nil"/>
              <w:bottom w:val="nil"/>
              <w:right w:val="nil"/>
            </w:tcBorders>
            <w:shd w:val="clear" w:color="auto" w:fill="auto"/>
            <w:noWrap/>
          </w:tcPr>
          <w:p w14:paraId="278BEDD9"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GPP</w:t>
            </w:r>
          </w:p>
        </w:tc>
        <w:tc>
          <w:tcPr>
            <w:tcW w:w="7602" w:type="dxa"/>
            <w:tcBorders>
              <w:top w:val="nil"/>
              <w:left w:val="nil"/>
              <w:bottom w:val="nil"/>
              <w:right w:val="nil"/>
            </w:tcBorders>
            <w:shd w:val="clear" w:color="auto" w:fill="auto"/>
            <w:noWrap/>
          </w:tcPr>
          <w:p w14:paraId="3E30702E" w14:textId="77777777" w:rsidR="001922D0" w:rsidRPr="004E0E6F" w:rsidRDefault="001922D0" w:rsidP="00D632F9">
            <w:pPr>
              <w:spacing w:after="0" w:line="240" w:lineRule="auto"/>
              <w:rPr>
                <w:rFonts w:cs="Calibri"/>
                <w:sz w:val="19"/>
                <w:szCs w:val="19"/>
              </w:rPr>
            </w:pPr>
            <w:r w:rsidRPr="004E0E6F">
              <w:rPr>
                <w:rFonts w:cs="Calibri"/>
                <w:sz w:val="19"/>
                <w:szCs w:val="19"/>
              </w:rPr>
              <w:t>Gross primary production</w:t>
            </w:r>
          </w:p>
        </w:tc>
      </w:tr>
      <w:tr w:rsidR="001922D0" w:rsidRPr="004E0E6F" w14:paraId="3AB81539" w14:textId="77777777" w:rsidTr="00D632F9">
        <w:trPr>
          <w:trHeight w:val="300"/>
        </w:trPr>
        <w:tc>
          <w:tcPr>
            <w:tcW w:w="1327" w:type="dxa"/>
            <w:tcBorders>
              <w:top w:val="nil"/>
              <w:left w:val="nil"/>
              <w:bottom w:val="nil"/>
              <w:right w:val="nil"/>
            </w:tcBorders>
            <w:shd w:val="clear" w:color="auto" w:fill="auto"/>
            <w:noWrap/>
          </w:tcPr>
          <w:p w14:paraId="040F21DC"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LMR</w:t>
            </w:r>
          </w:p>
        </w:tc>
        <w:tc>
          <w:tcPr>
            <w:tcW w:w="7602" w:type="dxa"/>
            <w:tcBorders>
              <w:top w:val="nil"/>
              <w:left w:val="nil"/>
              <w:bottom w:val="nil"/>
              <w:right w:val="nil"/>
            </w:tcBorders>
            <w:shd w:val="clear" w:color="auto" w:fill="auto"/>
            <w:noWrap/>
          </w:tcPr>
          <w:p w14:paraId="53929DAF" w14:textId="77777777" w:rsidR="001922D0" w:rsidRPr="004E0E6F" w:rsidRDefault="001922D0" w:rsidP="00D632F9">
            <w:pPr>
              <w:spacing w:after="0" w:line="240" w:lineRule="auto"/>
              <w:rPr>
                <w:rFonts w:cs="Calibri"/>
                <w:sz w:val="19"/>
                <w:szCs w:val="19"/>
              </w:rPr>
            </w:pPr>
            <w:r w:rsidRPr="004E0E6F">
              <w:rPr>
                <w:rFonts w:cs="Calibri"/>
                <w:sz w:val="19"/>
                <w:szCs w:val="19"/>
              </w:rPr>
              <w:t>Lower Murray River (South Australian section of the Murray River).</w:t>
            </w:r>
          </w:p>
        </w:tc>
      </w:tr>
      <w:tr w:rsidR="001922D0" w:rsidRPr="004E0E6F" w14:paraId="78B88634" w14:textId="77777777" w:rsidTr="00D632F9">
        <w:trPr>
          <w:trHeight w:val="300"/>
        </w:trPr>
        <w:tc>
          <w:tcPr>
            <w:tcW w:w="1327" w:type="dxa"/>
            <w:tcBorders>
              <w:top w:val="nil"/>
              <w:left w:val="nil"/>
              <w:bottom w:val="nil"/>
              <w:right w:val="nil"/>
            </w:tcBorders>
            <w:shd w:val="clear" w:color="auto" w:fill="auto"/>
            <w:noWrap/>
          </w:tcPr>
          <w:p w14:paraId="4312EC98"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LTIM</w:t>
            </w:r>
          </w:p>
        </w:tc>
        <w:tc>
          <w:tcPr>
            <w:tcW w:w="7602" w:type="dxa"/>
            <w:tcBorders>
              <w:top w:val="nil"/>
              <w:left w:val="nil"/>
              <w:bottom w:val="nil"/>
              <w:right w:val="nil"/>
            </w:tcBorders>
            <w:shd w:val="clear" w:color="auto" w:fill="auto"/>
            <w:noWrap/>
          </w:tcPr>
          <w:p w14:paraId="480B6899" w14:textId="77777777" w:rsidR="001922D0" w:rsidRPr="004E0E6F" w:rsidRDefault="001922D0" w:rsidP="00D632F9">
            <w:pPr>
              <w:spacing w:after="0" w:line="240" w:lineRule="auto"/>
              <w:rPr>
                <w:rFonts w:cs="Calibri"/>
                <w:sz w:val="19"/>
                <w:szCs w:val="19"/>
              </w:rPr>
            </w:pPr>
            <w:r w:rsidRPr="004E0E6F">
              <w:rPr>
                <w:rFonts w:cs="Calibri"/>
                <w:sz w:val="19"/>
                <w:szCs w:val="19"/>
              </w:rPr>
              <w:t>Long-Term Intervention Monitoring</w:t>
            </w:r>
          </w:p>
        </w:tc>
      </w:tr>
      <w:tr w:rsidR="001922D0" w:rsidRPr="004E0E6F" w14:paraId="1230BFA5" w14:textId="77777777" w:rsidTr="00D632F9">
        <w:trPr>
          <w:trHeight w:val="300"/>
        </w:trPr>
        <w:tc>
          <w:tcPr>
            <w:tcW w:w="1327" w:type="dxa"/>
            <w:tcBorders>
              <w:top w:val="nil"/>
              <w:left w:val="nil"/>
              <w:bottom w:val="nil"/>
              <w:right w:val="nil"/>
            </w:tcBorders>
            <w:shd w:val="clear" w:color="auto" w:fill="auto"/>
            <w:noWrap/>
          </w:tcPr>
          <w:p w14:paraId="5A0163D0"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M&amp;E</w:t>
            </w:r>
          </w:p>
        </w:tc>
        <w:tc>
          <w:tcPr>
            <w:tcW w:w="7602" w:type="dxa"/>
            <w:tcBorders>
              <w:top w:val="nil"/>
              <w:left w:val="nil"/>
              <w:bottom w:val="nil"/>
              <w:right w:val="nil"/>
            </w:tcBorders>
            <w:shd w:val="clear" w:color="auto" w:fill="auto"/>
            <w:noWrap/>
          </w:tcPr>
          <w:p w14:paraId="025F0433" w14:textId="77777777" w:rsidR="001922D0" w:rsidRPr="004E0E6F" w:rsidRDefault="001922D0" w:rsidP="00D632F9">
            <w:pPr>
              <w:spacing w:after="0" w:line="240" w:lineRule="auto"/>
              <w:rPr>
                <w:rFonts w:cs="Calibri"/>
                <w:sz w:val="19"/>
                <w:szCs w:val="19"/>
              </w:rPr>
            </w:pPr>
            <w:r w:rsidRPr="004E0E6F">
              <w:rPr>
                <w:rFonts w:cs="Calibri"/>
                <w:sz w:val="19"/>
                <w:szCs w:val="19"/>
              </w:rPr>
              <w:t>Monitoring and Evaluation</w:t>
            </w:r>
          </w:p>
        </w:tc>
      </w:tr>
      <w:tr w:rsidR="001922D0" w:rsidRPr="004E0E6F" w14:paraId="6497C688" w14:textId="77777777" w:rsidTr="00D632F9">
        <w:trPr>
          <w:trHeight w:val="300"/>
        </w:trPr>
        <w:tc>
          <w:tcPr>
            <w:tcW w:w="1327" w:type="dxa"/>
            <w:tcBorders>
              <w:top w:val="nil"/>
              <w:left w:val="nil"/>
              <w:bottom w:val="nil"/>
              <w:right w:val="nil"/>
            </w:tcBorders>
            <w:shd w:val="clear" w:color="auto" w:fill="auto"/>
            <w:noWrap/>
            <w:hideMark/>
          </w:tcPr>
          <w:p w14:paraId="7334C960"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MDB</w:t>
            </w:r>
          </w:p>
        </w:tc>
        <w:tc>
          <w:tcPr>
            <w:tcW w:w="7602" w:type="dxa"/>
            <w:tcBorders>
              <w:top w:val="nil"/>
              <w:left w:val="nil"/>
              <w:bottom w:val="nil"/>
              <w:right w:val="nil"/>
            </w:tcBorders>
            <w:shd w:val="clear" w:color="auto" w:fill="auto"/>
            <w:noWrap/>
            <w:hideMark/>
          </w:tcPr>
          <w:p w14:paraId="4B1E4DB4" w14:textId="77777777" w:rsidR="001922D0" w:rsidRPr="004E0E6F" w:rsidRDefault="001922D0" w:rsidP="00D632F9">
            <w:pPr>
              <w:spacing w:after="0" w:line="240" w:lineRule="auto"/>
              <w:rPr>
                <w:rFonts w:cs="Calibri"/>
                <w:sz w:val="19"/>
                <w:szCs w:val="19"/>
              </w:rPr>
            </w:pPr>
            <w:r w:rsidRPr="004E0E6F">
              <w:rPr>
                <w:rFonts w:cs="Calibri"/>
                <w:sz w:val="19"/>
                <w:szCs w:val="19"/>
              </w:rPr>
              <w:t>Murray–Darling Basin</w:t>
            </w:r>
          </w:p>
        </w:tc>
      </w:tr>
      <w:tr w:rsidR="001922D0" w:rsidRPr="004E0E6F" w14:paraId="02AB8159" w14:textId="77777777" w:rsidTr="00D632F9">
        <w:trPr>
          <w:trHeight w:val="300"/>
        </w:trPr>
        <w:tc>
          <w:tcPr>
            <w:tcW w:w="1327" w:type="dxa"/>
            <w:tcBorders>
              <w:top w:val="nil"/>
              <w:left w:val="nil"/>
              <w:bottom w:val="nil"/>
              <w:right w:val="nil"/>
            </w:tcBorders>
            <w:shd w:val="clear" w:color="auto" w:fill="auto"/>
            <w:noWrap/>
          </w:tcPr>
          <w:p w14:paraId="2DA84EF0"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MDBA</w:t>
            </w:r>
          </w:p>
        </w:tc>
        <w:tc>
          <w:tcPr>
            <w:tcW w:w="7602" w:type="dxa"/>
            <w:tcBorders>
              <w:top w:val="nil"/>
              <w:left w:val="nil"/>
              <w:bottom w:val="nil"/>
              <w:right w:val="nil"/>
            </w:tcBorders>
            <w:shd w:val="clear" w:color="auto" w:fill="auto"/>
            <w:noWrap/>
          </w:tcPr>
          <w:p w14:paraId="2CE90682" w14:textId="77777777" w:rsidR="001922D0" w:rsidRPr="004E0E6F" w:rsidRDefault="001922D0" w:rsidP="00D632F9">
            <w:pPr>
              <w:spacing w:after="0" w:line="240" w:lineRule="auto"/>
              <w:rPr>
                <w:rFonts w:cs="Calibri"/>
                <w:sz w:val="19"/>
                <w:szCs w:val="19"/>
              </w:rPr>
            </w:pPr>
            <w:r w:rsidRPr="004E0E6F">
              <w:rPr>
                <w:rFonts w:cs="Calibri"/>
                <w:sz w:val="19"/>
                <w:szCs w:val="19"/>
              </w:rPr>
              <w:t>Murray–Darling Basin Authority</w:t>
            </w:r>
          </w:p>
        </w:tc>
      </w:tr>
      <w:tr w:rsidR="001922D0" w:rsidRPr="004E0E6F" w14:paraId="6913F543" w14:textId="77777777" w:rsidTr="00D632F9">
        <w:trPr>
          <w:trHeight w:val="300"/>
        </w:trPr>
        <w:tc>
          <w:tcPr>
            <w:tcW w:w="1327" w:type="dxa"/>
            <w:tcBorders>
              <w:top w:val="nil"/>
              <w:left w:val="nil"/>
              <w:bottom w:val="nil"/>
              <w:right w:val="nil"/>
            </w:tcBorders>
            <w:shd w:val="clear" w:color="auto" w:fill="auto"/>
            <w:noWrap/>
          </w:tcPr>
          <w:p w14:paraId="088DD7D3"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NPL</w:t>
            </w:r>
          </w:p>
        </w:tc>
        <w:tc>
          <w:tcPr>
            <w:tcW w:w="7602" w:type="dxa"/>
            <w:tcBorders>
              <w:top w:val="nil"/>
              <w:left w:val="nil"/>
              <w:bottom w:val="nil"/>
              <w:right w:val="nil"/>
            </w:tcBorders>
            <w:shd w:val="clear" w:color="auto" w:fill="auto"/>
            <w:noWrap/>
          </w:tcPr>
          <w:p w14:paraId="449D7EBD" w14:textId="77777777" w:rsidR="001922D0" w:rsidRPr="004E0E6F" w:rsidRDefault="001922D0" w:rsidP="00D632F9">
            <w:pPr>
              <w:spacing w:after="0" w:line="240" w:lineRule="auto"/>
              <w:rPr>
                <w:rFonts w:cs="Calibri"/>
                <w:sz w:val="19"/>
                <w:szCs w:val="19"/>
              </w:rPr>
            </w:pPr>
            <w:r w:rsidRPr="004E0E6F">
              <w:rPr>
                <w:rFonts w:cs="Calibri"/>
                <w:sz w:val="19"/>
                <w:szCs w:val="19"/>
              </w:rPr>
              <w:t>Normal pool level</w:t>
            </w:r>
          </w:p>
        </w:tc>
      </w:tr>
      <w:tr w:rsidR="001922D0" w:rsidRPr="004E0E6F" w14:paraId="58C89DDE" w14:textId="77777777" w:rsidTr="00D632F9">
        <w:trPr>
          <w:trHeight w:val="300"/>
        </w:trPr>
        <w:tc>
          <w:tcPr>
            <w:tcW w:w="1327" w:type="dxa"/>
            <w:tcBorders>
              <w:top w:val="nil"/>
              <w:left w:val="nil"/>
              <w:bottom w:val="nil"/>
              <w:right w:val="nil"/>
            </w:tcBorders>
            <w:shd w:val="clear" w:color="auto" w:fill="auto"/>
            <w:noWrap/>
          </w:tcPr>
          <w:p w14:paraId="3DB4E960" w14:textId="0BE0D7C6" w:rsidR="001922D0" w:rsidRPr="004E0E6F" w:rsidRDefault="001922D0" w:rsidP="008A70C9">
            <w:pPr>
              <w:spacing w:after="0" w:line="240" w:lineRule="auto"/>
              <w:rPr>
                <w:rFonts w:cs="Calibri"/>
                <w:b/>
                <w:bCs/>
                <w:color w:val="E46D0A"/>
                <w:sz w:val="19"/>
                <w:szCs w:val="19"/>
              </w:rPr>
            </w:pPr>
            <w:r w:rsidRPr="004E0E6F">
              <w:rPr>
                <w:rFonts w:cs="Calibri"/>
                <w:b/>
                <w:bCs/>
                <w:color w:val="E46D0A"/>
                <w:sz w:val="19"/>
                <w:szCs w:val="19"/>
              </w:rPr>
              <w:t xml:space="preserve">NSW </w:t>
            </w:r>
            <w:r w:rsidR="008A70C9">
              <w:rPr>
                <w:rFonts w:cs="Calibri"/>
                <w:b/>
                <w:bCs/>
                <w:color w:val="E46D0A"/>
                <w:sz w:val="19"/>
                <w:szCs w:val="19"/>
              </w:rPr>
              <w:t>DPIE</w:t>
            </w:r>
          </w:p>
        </w:tc>
        <w:tc>
          <w:tcPr>
            <w:tcW w:w="7602" w:type="dxa"/>
            <w:tcBorders>
              <w:top w:val="nil"/>
              <w:left w:val="nil"/>
              <w:bottom w:val="nil"/>
              <w:right w:val="nil"/>
            </w:tcBorders>
            <w:shd w:val="clear" w:color="auto" w:fill="auto"/>
            <w:noWrap/>
          </w:tcPr>
          <w:p w14:paraId="6069E024" w14:textId="59588239" w:rsidR="001922D0" w:rsidRPr="004E0E6F" w:rsidRDefault="008A70C9" w:rsidP="00D632F9">
            <w:pPr>
              <w:spacing w:after="0" w:line="240" w:lineRule="auto"/>
              <w:rPr>
                <w:rFonts w:cs="Calibri"/>
                <w:sz w:val="19"/>
                <w:szCs w:val="19"/>
              </w:rPr>
            </w:pPr>
            <w:r w:rsidRPr="008A70C9">
              <w:rPr>
                <w:rFonts w:cs="Calibri"/>
                <w:sz w:val="19"/>
                <w:szCs w:val="19"/>
              </w:rPr>
              <w:t>New South Wales Department of Planning, Industry and Environment</w:t>
            </w:r>
          </w:p>
        </w:tc>
      </w:tr>
      <w:tr w:rsidR="001922D0" w:rsidRPr="004E0E6F" w14:paraId="1FC48B5B" w14:textId="77777777" w:rsidTr="00D632F9">
        <w:trPr>
          <w:trHeight w:val="300"/>
        </w:trPr>
        <w:tc>
          <w:tcPr>
            <w:tcW w:w="1327" w:type="dxa"/>
            <w:tcBorders>
              <w:top w:val="nil"/>
              <w:left w:val="nil"/>
              <w:bottom w:val="nil"/>
              <w:right w:val="nil"/>
            </w:tcBorders>
            <w:shd w:val="clear" w:color="auto" w:fill="auto"/>
            <w:noWrap/>
            <w:hideMark/>
          </w:tcPr>
          <w:p w14:paraId="235D30DB"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PSU</w:t>
            </w:r>
          </w:p>
        </w:tc>
        <w:tc>
          <w:tcPr>
            <w:tcW w:w="7602" w:type="dxa"/>
            <w:tcBorders>
              <w:top w:val="nil"/>
              <w:left w:val="nil"/>
              <w:bottom w:val="nil"/>
              <w:right w:val="nil"/>
            </w:tcBorders>
            <w:shd w:val="clear" w:color="auto" w:fill="auto"/>
            <w:noWrap/>
            <w:hideMark/>
          </w:tcPr>
          <w:p w14:paraId="492807EB" w14:textId="77777777" w:rsidR="001922D0" w:rsidRPr="004E0E6F" w:rsidRDefault="001922D0" w:rsidP="00D632F9">
            <w:pPr>
              <w:spacing w:after="0" w:line="240" w:lineRule="auto"/>
              <w:rPr>
                <w:rFonts w:cs="Calibri"/>
                <w:sz w:val="19"/>
                <w:szCs w:val="19"/>
              </w:rPr>
            </w:pPr>
            <w:r w:rsidRPr="004E0E6F">
              <w:rPr>
                <w:rFonts w:cs="Calibri"/>
                <w:sz w:val="19"/>
                <w:szCs w:val="19"/>
              </w:rPr>
              <w:t>Practical salinity units</w:t>
            </w:r>
          </w:p>
        </w:tc>
      </w:tr>
      <w:tr w:rsidR="001922D0" w:rsidRPr="004E0E6F" w14:paraId="717DFB08" w14:textId="77777777" w:rsidTr="00D632F9">
        <w:trPr>
          <w:trHeight w:val="300"/>
        </w:trPr>
        <w:tc>
          <w:tcPr>
            <w:tcW w:w="1327" w:type="dxa"/>
            <w:tcBorders>
              <w:top w:val="nil"/>
              <w:left w:val="nil"/>
              <w:bottom w:val="nil"/>
              <w:right w:val="nil"/>
            </w:tcBorders>
            <w:shd w:val="clear" w:color="auto" w:fill="auto"/>
            <w:noWrap/>
          </w:tcPr>
          <w:p w14:paraId="5222D263"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RMIF</w:t>
            </w:r>
          </w:p>
        </w:tc>
        <w:tc>
          <w:tcPr>
            <w:tcW w:w="7602" w:type="dxa"/>
            <w:tcBorders>
              <w:top w:val="nil"/>
              <w:left w:val="nil"/>
              <w:bottom w:val="nil"/>
              <w:right w:val="nil"/>
            </w:tcBorders>
            <w:shd w:val="clear" w:color="auto" w:fill="auto"/>
            <w:noWrap/>
          </w:tcPr>
          <w:p w14:paraId="1CEDFFE0" w14:textId="77777777" w:rsidR="001922D0" w:rsidRPr="004E0E6F" w:rsidRDefault="001922D0" w:rsidP="00D632F9">
            <w:pPr>
              <w:spacing w:after="0" w:line="240" w:lineRule="auto"/>
              <w:rPr>
                <w:rFonts w:cs="Calibri"/>
                <w:sz w:val="19"/>
                <w:szCs w:val="19"/>
              </w:rPr>
            </w:pPr>
            <w:r w:rsidRPr="004E0E6F">
              <w:rPr>
                <w:rFonts w:cs="Calibri"/>
                <w:sz w:val="19"/>
                <w:szCs w:val="19"/>
              </w:rPr>
              <w:t>River Murray Increased Flows</w:t>
            </w:r>
          </w:p>
        </w:tc>
      </w:tr>
      <w:tr w:rsidR="001922D0" w:rsidRPr="004E0E6F" w14:paraId="07C90683" w14:textId="77777777" w:rsidTr="00D632F9">
        <w:trPr>
          <w:trHeight w:val="300"/>
        </w:trPr>
        <w:tc>
          <w:tcPr>
            <w:tcW w:w="1327" w:type="dxa"/>
            <w:tcBorders>
              <w:top w:val="nil"/>
              <w:left w:val="nil"/>
              <w:bottom w:val="nil"/>
              <w:right w:val="nil"/>
            </w:tcBorders>
            <w:shd w:val="clear" w:color="auto" w:fill="auto"/>
            <w:noWrap/>
            <w:hideMark/>
          </w:tcPr>
          <w:p w14:paraId="091446C3"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TL</w:t>
            </w:r>
          </w:p>
        </w:tc>
        <w:tc>
          <w:tcPr>
            <w:tcW w:w="7602" w:type="dxa"/>
            <w:tcBorders>
              <w:top w:val="nil"/>
              <w:left w:val="nil"/>
              <w:bottom w:val="nil"/>
              <w:right w:val="nil"/>
            </w:tcBorders>
            <w:shd w:val="clear" w:color="auto" w:fill="auto"/>
            <w:noWrap/>
            <w:hideMark/>
          </w:tcPr>
          <w:p w14:paraId="69EB6D32" w14:textId="77777777" w:rsidR="001922D0" w:rsidRPr="004E0E6F" w:rsidRDefault="001922D0" w:rsidP="00D632F9">
            <w:pPr>
              <w:spacing w:after="0" w:line="240" w:lineRule="auto"/>
              <w:rPr>
                <w:rFonts w:cs="Calibri"/>
                <w:sz w:val="19"/>
                <w:szCs w:val="19"/>
              </w:rPr>
            </w:pPr>
            <w:r w:rsidRPr="004E0E6F">
              <w:rPr>
                <w:rFonts w:cs="Calibri"/>
                <w:sz w:val="19"/>
                <w:szCs w:val="19"/>
              </w:rPr>
              <w:t>Total length</w:t>
            </w:r>
          </w:p>
        </w:tc>
      </w:tr>
      <w:tr w:rsidR="001922D0" w:rsidRPr="004E0E6F" w14:paraId="5BC3A2D0" w14:textId="77777777" w:rsidTr="00D632F9">
        <w:trPr>
          <w:trHeight w:val="300"/>
        </w:trPr>
        <w:tc>
          <w:tcPr>
            <w:tcW w:w="1327" w:type="dxa"/>
            <w:tcBorders>
              <w:top w:val="nil"/>
              <w:left w:val="nil"/>
              <w:bottom w:val="nil"/>
              <w:right w:val="nil"/>
            </w:tcBorders>
            <w:shd w:val="clear" w:color="auto" w:fill="auto"/>
            <w:noWrap/>
          </w:tcPr>
          <w:p w14:paraId="460B7FEB"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TLM</w:t>
            </w:r>
          </w:p>
        </w:tc>
        <w:tc>
          <w:tcPr>
            <w:tcW w:w="7602" w:type="dxa"/>
            <w:tcBorders>
              <w:top w:val="nil"/>
              <w:left w:val="nil"/>
              <w:bottom w:val="nil"/>
              <w:right w:val="nil"/>
            </w:tcBorders>
            <w:shd w:val="clear" w:color="auto" w:fill="auto"/>
            <w:noWrap/>
          </w:tcPr>
          <w:p w14:paraId="42373A48" w14:textId="77777777" w:rsidR="001922D0" w:rsidRPr="004E0E6F" w:rsidRDefault="001922D0" w:rsidP="00D632F9">
            <w:pPr>
              <w:spacing w:after="0" w:line="240" w:lineRule="auto"/>
              <w:rPr>
                <w:rFonts w:cs="Calibri"/>
                <w:sz w:val="19"/>
                <w:szCs w:val="19"/>
              </w:rPr>
            </w:pPr>
            <w:r w:rsidRPr="004E0E6F">
              <w:rPr>
                <w:rFonts w:cs="Calibri"/>
                <w:sz w:val="19"/>
                <w:szCs w:val="19"/>
              </w:rPr>
              <w:t>The Living Murray</w:t>
            </w:r>
          </w:p>
        </w:tc>
      </w:tr>
      <w:tr w:rsidR="001922D0" w:rsidRPr="004E0E6F" w14:paraId="300BCDC0" w14:textId="77777777" w:rsidTr="00D632F9">
        <w:trPr>
          <w:trHeight w:val="300"/>
        </w:trPr>
        <w:tc>
          <w:tcPr>
            <w:tcW w:w="1327" w:type="dxa"/>
            <w:tcBorders>
              <w:top w:val="nil"/>
              <w:left w:val="nil"/>
              <w:bottom w:val="nil"/>
              <w:right w:val="nil"/>
            </w:tcBorders>
            <w:shd w:val="clear" w:color="auto" w:fill="auto"/>
            <w:noWrap/>
          </w:tcPr>
          <w:p w14:paraId="7B49EA6A"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VEWH</w:t>
            </w:r>
          </w:p>
        </w:tc>
        <w:tc>
          <w:tcPr>
            <w:tcW w:w="7602" w:type="dxa"/>
            <w:tcBorders>
              <w:top w:val="nil"/>
              <w:left w:val="nil"/>
              <w:bottom w:val="nil"/>
              <w:right w:val="nil"/>
            </w:tcBorders>
            <w:shd w:val="clear" w:color="auto" w:fill="auto"/>
            <w:noWrap/>
          </w:tcPr>
          <w:p w14:paraId="5DB2D114" w14:textId="77777777" w:rsidR="001922D0" w:rsidRPr="004E0E6F" w:rsidRDefault="001922D0" w:rsidP="00D632F9">
            <w:pPr>
              <w:spacing w:after="0" w:line="240" w:lineRule="auto"/>
              <w:rPr>
                <w:rFonts w:cs="Calibri"/>
                <w:sz w:val="19"/>
                <w:szCs w:val="19"/>
              </w:rPr>
            </w:pPr>
            <w:r w:rsidRPr="004E0E6F">
              <w:rPr>
                <w:rFonts w:cs="Calibri"/>
                <w:sz w:val="19"/>
                <w:szCs w:val="19"/>
              </w:rPr>
              <w:t>Victorian Environmental Water Holder</w:t>
            </w:r>
          </w:p>
        </w:tc>
      </w:tr>
      <w:tr w:rsidR="001922D0" w:rsidRPr="004E0E6F" w14:paraId="55D626CF" w14:textId="77777777" w:rsidTr="00D632F9">
        <w:trPr>
          <w:trHeight w:val="300"/>
        </w:trPr>
        <w:tc>
          <w:tcPr>
            <w:tcW w:w="1327" w:type="dxa"/>
            <w:tcBorders>
              <w:top w:val="nil"/>
              <w:left w:val="nil"/>
              <w:bottom w:val="nil"/>
              <w:right w:val="nil"/>
            </w:tcBorders>
            <w:shd w:val="clear" w:color="auto" w:fill="auto"/>
            <w:noWrap/>
          </w:tcPr>
          <w:p w14:paraId="4FE0FE4A"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YOY</w:t>
            </w:r>
          </w:p>
        </w:tc>
        <w:tc>
          <w:tcPr>
            <w:tcW w:w="7602" w:type="dxa"/>
            <w:tcBorders>
              <w:top w:val="nil"/>
              <w:left w:val="nil"/>
              <w:bottom w:val="nil"/>
              <w:right w:val="nil"/>
            </w:tcBorders>
            <w:shd w:val="clear" w:color="auto" w:fill="auto"/>
            <w:noWrap/>
          </w:tcPr>
          <w:p w14:paraId="058837ED" w14:textId="77777777" w:rsidR="001922D0" w:rsidRPr="004E0E6F" w:rsidRDefault="001922D0" w:rsidP="00D632F9">
            <w:pPr>
              <w:spacing w:after="0" w:line="240" w:lineRule="auto"/>
              <w:rPr>
                <w:rFonts w:cs="Calibri"/>
                <w:sz w:val="19"/>
                <w:szCs w:val="19"/>
              </w:rPr>
            </w:pPr>
            <w:r w:rsidRPr="004E0E6F">
              <w:rPr>
                <w:rFonts w:cs="Calibri"/>
                <w:sz w:val="19"/>
                <w:szCs w:val="19"/>
              </w:rPr>
              <w:t>Young-of-year</w:t>
            </w:r>
          </w:p>
        </w:tc>
      </w:tr>
    </w:tbl>
    <w:p w14:paraId="5A5E0249" w14:textId="0C91927F" w:rsidR="001922D0" w:rsidRDefault="001922D0"/>
    <w:p w14:paraId="47ADCE9B" w14:textId="77777777" w:rsidR="001922D0" w:rsidRDefault="001922D0">
      <w:pPr>
        <w:spacing w:before="0" w:after="160" w:line="259" w:lineRule="auto"/>
        <w:jc w:val="left"/>
      </w:pPr>
      <w:r>
        <w:br w:type="page"/>
      </w:r>
    </w:p>
    <w:p w14:paraId="71DBDA2F" w14:textId="77777777" w:rsidR="001922D0" w:rsidRPr="00EA0232" w:rsidRDefault="001922D0" w:rsidP="00707C9D">
      <w:pPr>
        <w:pStyle w:val="Heading1"/>
        <w:numPr>
          <w:ilvl w:val="0"/>
          <w:numId w:val="0"/>
        </w:numPr>
        <w:ind w:left="851" w:hanging="851"/>
      </w:pPr>
      <w:bookmarkStart w:id="405" w:name="_Toc3558351"/>
      <w:bookmarkStart w:id="406" w:name="_Toc69309257"/>
      <w:r>
        <w:t>Glossary</w:t>
      </w:r>
      <w:bookmarkEnd w:id="405"/>
      <w:bookmarkEnd w:id="406"/>
    </w:p>
    <w:tbl>
      <w:tblPr>
        <w:tblW w:w="0" w:type="auto"/>
        <w:tblInd w:w="91" w:type="dxa"/>
        <w:tblLayout w:type="fixed"/>
        <w:tblLook w:val="04A0" w:firstRow="1" w:lastRow="0" w:firstColumn="1" w:lastColumn="0" w:noHBand="0" w:noVBand="1"/>
      </w:tblPr>
      <w:tblGrid>
        <w:gridCol w:w="1894"/>
        <w:gridCol w:w="7035"/>
      </w:tblGrid>
      <w:tr w:rsidR="001922D0" w:rsidRPr="004E0E6F" w14:paraId="653CA306" w14:textId="77777777" w:rsidTr="00D6493B">
        <w:trPr>
          <w:cantSplit/>
          <w:trHeight w:val="283"/>
        </w:trPr>
        <w:tc>
          <w:tcPr>
            <w:tcW w:w="1894" w:type="dxa"/>
            <w:tcBorders>
              <w:top w:val="nil"/>
              <w:left w:val="nil"/>
              <w:bottom w:val="nil"/>
              <w:right w:val="nil"/>
            </w:tcBorders>
            <w:shd w:val="clear" w:color="auto" w:fill="auto"/>
            <w:noWrap/>
          </w:tcPr>
          <w:p w14:paraId="1A4E4107" w14:textId="77777777" w:rsidR="001922D0" w:rsidRPr="004E0E6F" w:rsidRDefault="001922D0" w:rsidP="00D632F9">
            <w:pPr>
              <w:spacing w:before="0" w:after="40" w:line="240" w:lineRule="auto"/>
              <w:rPr>
                <w:rFonts w:cs="Calibri"/>
                <w:b/>
                <w:bCs/>
                <w:color w:val="E46D0A"/>
                <w:sz w:val="19"/>
                <w:szCs w:val="19"/>
              </w:rPr>
            </w:pPr>
            <w:r w:rsidRPr="004E0E6F">
              <w:rPr>
                <w:rFonts w:cs="Calibri"/>
                <w:b/>
                <w:bCs/>
                <w:color w:val="E46D0A"/>
                <w:sz w:val="19"/>
                <w:szCs w:val="19"/>
              </w:rPr>
              <w:t>Allochthonous</w:t>
            </w:r>
          </w:p>
        </w:tc>
        <w:tc>
          <w:tcPr>
            <w:tcW w:w="7035" w:type="dxa"/>
            <w:tcBorders>
              <w:top w:val="nil"/>
              <w:left w:val="nil"/>
              <w:bottom w:val="nil"/>
              <w:right w:val="nil"/>
            </w:tcBorders>
            <w:shd w:val="clear" w:color="auto" w:fill="auto"/>
            <w:noWrap/>
          </w:tcPr>
          <w:p w14:paraId="47215813" w14:textId="77777777" w:rsidR="001922D0" w:rsidRPr="004E0E6F" w:rsidRDefault="001922D0" w:rsidP="00D632F9">
            <w:pPr>
              <w:spacing w:before="0" w:after="40" w:line="240" w:lineRule="auto"/>
              <w:rPr>
                <w:rFonts w:cs="Calibri"/>
                <w:color w:val="auto"/>
                <w:sz w:val="19"/>
                <w:szCs w:val="19"/>
              </w:rPr>
            </w:pPr>
            <w:r w:rsidRPr="004E0E6F">
              <w:rPr>
                <w:rFonts w:cs="Calibri"/>
                <w:color w:val="auto"/>
                <w:sz w:val="19"/>
                <w:szCs w:val="19"/>
              </w:rPr>
              <w:t xml:space="preserve">Refers to foreign or outside sources. For example, organic matter of an allochthonous source is that which has been produced outside of the river channel, e.g. terrestrial or floodplain material.  </w:t>
            </w:r>
          </w:p>
        </w:tc>
      </w:tr>
      <w:tr w:rsidR="001922D0" w:rsidRPr="004E0E6F" w14:paraId="04A6BC6E" w14:textId="77777777" w:rsidTr="00D6493B">
        <w:trPr>
          <w:cantSplit/>
          <w:trHeight w:val="283"/>
        </w:trPr>
        <w:tc>
          <w:tcPr>
            <w:tcW w:w="1894" w:type="dxa"/>
            <w:tcBorders>
              <w:top w:val="nil"/>
              <w:left w:val="nil"/>
              <w:bottom w:val="nil"/>
              <w:right w:val="nil"/>
            </w:tcBorders>
            <w:shd w:val="clear" w:color="auto" w:fill="auto"/>
            <w:noWrap/>
          </w:tcPr>
          <w:p w14:paraId="6246FA04" w14:textId="77777777" w:rsidR="001922D0" w:rsidRPr="004E0E6F" w:rsidRDefault="001922D0" w:rsidP="00D632F9">
            <w:pPr>
              <w:spacing w:before="0" w:after="40" w:line="240" w:lineRule="auto"/>
              <w:rPr>
                <w:rFonts w:cs="Calibri"/>
                <w:b/>
                <w:bCs/>
                <w:color w:val="E46D0A"/>
                <w:sz w:val="19"/>
                <w:szCs w:val="19"/>
              </w:rPr>
            </w:pPr>
            <w:r w:rsidRPr="004E0E6F">
              <w:rPr>
                <w:rFonts w:cs="Calibri"/>
                <w:b/>
                <w:bCs/>
                <w:color w:val="E46D0A"/>
                <w:sz w:val="19"/>
                <w:szCs w:val="19"/>
              </w:rPr>
              <w:t>Autochthonous</w:t>
            </w:r>
          </w:p>
        </w:tc>
        <w:tc>
          <w:tcPr>
            <w:tcW w:w="7035" w:type="dxa"/>
            <w:tcBorders>
              <w:top w:val="nil"/>
              <w:left w:val="nil"/>
              <w:bottom w:val="nil"/>
              <w:right w:val="nil"/>
            </w:tcBorders>
            <w:shd w:val="clear" w:color="auto" w:fill="auto"/>
            <w:noWrap/>
          </w:tcPr>
          <w:p w14:paraId="57F24750" w14:textId="77777777" w:rsidR="001922D0" w:rsidRPr="004E0E6F" w:rsidRDefault="001922D0" w:rsidP="00D632F9">
            <w:pPr>
              <w:spacing w:before="0" w:after="40" w:line="240" w:lineRule="auto"/>
              <w:rPr>
                <w:rFonts w:cs="Calibri"/>
                <w:color w:val="auto"/>
                <w:sz w:val="19"/>
                <w:szCs w:val="19"/>
              </w:rPr>
            </w:pPr>
            <w:r w:rsidRPr="004E0E6F">
              <w:rPr>
                <w:rFonts w:cs="Calibri"/>
                <w:color w:val="auto"/>
                <w:sz w:val="19"/>
                <w:szCs w:val="19"/>
              </w:rPr>
              <w:t xml:space="preserve">Refers to local sources. For example, organic matter of an autochthonous source is that which has been produced within the river channel. </w:t>
            </w:r>
          </w:p>
        </w:tc>
      </w:tr>
      <w:tr w:rsidR="001922D0" w:rsidRPr="004E0E6F" w14:paraId="70D6C4E3" w14:textId="77777777" w:rsidTr="00D6493B">
        <w:trPr>
          <w:cantSplit/>
          <w:trHeight w:val="283"/>
        </w:trPr>
        <w:tc>
          <w:tcPr>
            <w:tcW w:w="1894" w:type="dxa"/>
            <w:tcBorders>
              <w:top w:val="nil"/>
              <w:left w:val="nil"/>
              <w:bottom w:val="nil"/>
              <w:right w:val="nil"/>
            </w:tcBorders>
            <w:shd w:val="clear" w:color="auto" w:fill="auto"/>
            <w:noWrap/>
          </w:tcPr>
          <w:p w14:paraId="0B977ED0" w14:textId="77777777" w:rsidR="001922D0" w:rsidRPr="004E0E6F" w:rsidRDefault="001922D0" w:rsidP="00D632F9">
            <w:pPr>
              <w:spacing w:before="0" w:after="40" w:line="240" w:lineRule="auto"/>
              <w:rPr>
                <w:rFonts w:cs="Calibri"/>
                <w:b/>
                <w:bCs/>
                <w:color w:val="E46D0A"/>
                <w:sz w:val="19"/>
                <w:szCs w:val="19"/>
              </w:rPr>
            </w:pPr>
            <w:r w:rsidRPr="004E0E6F">
              <w:rPr>
                <w:rFonts w:cs="Calibri"/>
                <w:b/>
                <w:bCs/>
                <w:color w:val="E46D0A"/>
                <w:sz w:val="19"/>
                <w:szCs w:val="19"/>
              </w:rPr>
              <w:t>Base flow</w:t>
            </w:r>
          </w:p>
        </w:tc>
        <w:tc>
          <w:tcPr>
            <w:tcW w:w="7035" w:type="dxa"/>
            <w:tcBorders>
              <w:top w:val="nil"/>
              <w:left w:val="nil"/>
              <w:bottom w:val="nil"/>
              <w:right w:val="nil"/>
            </w:tcBorders>
            <w:shd w:val="clear" w:color="auto" w:fill="auto"/>
            <w:noWrap/>
          </w:tcPr>
          <w:p w14:paraId="4DE8A38A" w14:textId="79D29853" w:rsidR="001922D0" w:rsidRPr="004E0E6F" w:rsidRDefault="001922D0" w:rsidP="00D632F9">
            <w:pPr>
              <w:spacing w:before="0" w:after="40" w:line="240" w:lineRule="auto"/>
              <w:rPr>
                <w:rFonts w:cs="Calibri"/>
                <w:color w:val="auto"/>
                <w:sz w:val="19"/>
                <w:szCs w:val="19"/>
              </w:rPr>
            </w:pPr>
            <w:r w:rsidRPr="004E0E6F">
              <w:rPr>
                <w:rFonts w:cs="Calibri"/>
                <w:color w:val="auto"/>
                <w:sz w:val="19"/>
                <w:szCs w:val="19"/>
              </w:rPr>
              <w:t xml:space="preserve">Flows that are confined to the low flow part </w:t>
            </w:r>
            <w:r w:rsidR="000E012E">
              <w:rPr>
                <w:rFonts w:cs="Calibri"/>
                <w:color w:val="auto"/>
                <w:sz w:val="19"/>
                <w:szCs w:val="19"/>
              </w:rPr>
              <w:t>within</w:t>
            </w:r>
            <w:r w:rsidRPr="004E0E6F">
              <w:rPr>
                <w:rFonts w:cs="Calibri"/>
                <w:color w:val="auto"/>
                <w:sz w:val="19"/>
                <w:szCs w:val="19"/>
              </w:rPr>
              <w:t xml:space="preserve"> the river channel.</w:t>
            </w:r>
          </w:p>
        </w:tc>
      </w:tr>
      <w:tr w:rsidR="001922D0" w:rsidRPr="004E0E6F" w14:paraId="675C1E6D" w14:textId="77777777" w:rsidTr="00D6493B">
        <w:trPr>
          <w:cantSplit/>
          <w:trHeight w:val="283"/>
        </w:trPr>
        <w:tc>
          <w:tcPr>
            <w:tcW w:w="1894" w:type="dxa"/>
            <w:tcBorders>
              <w:top w:val="nil"/>
              <w:left w:val="nil"/>
              <w:bottom w:val="nil"/>
              <w:right w:val="nil"/>
            </w:tcBorders>
            <w:shd w:val="clear" w:color="auto" w:fill="auto"/>
            <w:noWrap/>
          </w:tcPr>
          <w:p w14:paraId="7A4C3DE9" w14:textId="77777777" w:rsidR="001922D0" w:rsidRPr="004E0E6F" w:rsidRDefault="001922D0" w:rsidP="00D632F9">
            <w:pPr>
              <w:spacing w:before="0" w:after="40" w:line="240" w:lineRule="auto"/>
              <w:rPr>
                <w:rFonts w:cs="Calibri"/>
                <w:b/>
                <w:bCs/>
                <w:color w:val="E46D0A"/>
                <w:sz w:val="19"/>
                <w:szCs w:val="19"/>
              </w:rPr>
            </w:pPr>
            <w:r w:rsidRPr="004E0E6F">
              <w:rPr>
                <w:rFonts w:cs="Calibri"/>
                <w:b/>
                <w:bCs/>
                <w:color w:val="E46D0A"/>
                <w:sz w:val="19"/>
                <w:szCs w:val="19"/>
              </w:rPr>
              <w:t>Biofilm</w:t>
            </w:r>
          </w:p>
        </w:tc>
        <w:tc>
          <w:tcPr>
            <w:tcW w:w="7035" w:type="dxa"/>
            <w:tcBorders>
              <w:top w:val="nil"/>
              <w:left w:val="nil"/>
              <w:bottom w:val="nil"/>
              <w:right w:val="nil"/>
            </w:tcBorders>
            <w:shd w:val="clear" w:color="auto" w:fill="auto"/>
            <w:noWrap/>
          </w:tcPr>
          <w:p w14:paraId="59F000D0" w14:textId="77777777" w:rsidR="001922D0" w:rsidRPr="004E0E6F" w:rsidRDefault="001922D0" w:rsidP="00D632F9">
            <w:pPr>
              <w:spacing w:before="0" w:after="40" w:line="240" w:lineRule="auto"/>
              <w:rPr>
                <w:rFonts w:cs="Calibri"/>
                <w:color w:val="auto"/>
                <w:sz w:val="19"/>
                <w:szCs w:val="19"/>
              </w:rPr>
            </w:pPr>
            <w:r w:rsidRPr="004E0E6F">
              <w:rPr>
                <w:rFonts w:cs="Calibri"/>
                <w:color w:val="auto"/>
                <w:sz w:val="19"/>
                <w:szCs w:val="19"/>
              </w:rPr>
              <w:t>A collection of microorganisms (e.g. bacteria) attached as a ‘film’ on living (e.g. tree root) and non-living (e.g. wooden pylon) surfaces.</w:t>
            </w:r>
          </w:p>
        </w:tc>
      </w:tr>
      <w:tr w:rsidR="00C01B82" w:rsidRPr="004E0E6F" w14:paraId="0E46F3AA" w14:textId="77777777" w:rsidTr="00D6493B">
        <w:trPr>
          <w:cantSplit/>
          <w:trHeight w:val="283"/>
        </w:trPr>
        <w:tc>
          <w:tcPr>
            <w:tcW w:w="1894" w:type="dxa"/>
            <w:tcBorders>
              <w:top w:val="nil"/>
              <w:left w:val="nil"/>
              <w:bottom w:val="nil"/>
              <w:right w:val="nil"/>
            </w:tcBorders>
            <w:shd w:val="clear" w:color="auto" w:fill="auto"/>
            <w:noWrap/>
          </w:tcPr>
          <w:p w14:paraId="5A2182FE" w14:textId="0AAE959A" w:rsidR="00C01B82" w:rsidRPr="004E0E6F" w:rsidRDefault="00C01B82" w:rsidP="00D632F9">
            <w:pPr>
              <w:spacing w:before="0" w:after="40" w:line="240" w:lineRule="auto"/>
              <w:rPr>
                <w:rFonts w:cs="Calibri"/>
                <w:b/>
                <w:bCs/>
                <w:color w:val="E46D0A"/>
                <w:sz w:val="19"/>
                <w:szCs w:val="19"/>
              </w:rPr>
            </w:pPr>
            <w:r>
              <w:rPr>
                <w:rFonts w:cs="Calibri"/>
                <w:b/>
                <w:bCs/>
                <w:color w:val="E46D0A"/>
                <w:sz w:val="19"/>
                <w:szCs w:val="19"/>
              </w:rPr>
              <w:t>Direct trade</w:t>
            </w:r>
          </w:p>
        </w:tc>
        <w:tc>
          <w:tcPr>
            <w:tcW w:w="7035" w:type="dxa"/>
            <w:tcBorders>
              <w:top w:val="nil"/>
              <w:left w:val="nil"/>
              <w:bottom w:val="nil"/>
              <w:right w:val="nil"/>
            </w:tcBorders>
            <w:shd w:val="clear" w:color="auto" w:fill="auto"/>
            <w:noWrap/>
          </w:tcPr>
          <w:p w14:paraId="52AB3CC3" w14:textId="2E529863" w:rsidR="00C01B82" w:rsidRPr="004E0E6F" w:rsidRDefault="00C01B82" w:rsidP="00D632F9">
            <w:pPr>
              <w:spacing w:before="0" w:after="40" w:line="240" w:lineRule="auto"/>
              <w:rPr>
                <w:rFonts w:cs="Calibri"/>
                <w:color w:val="auto"/>
                <w:sz w:val="19"/>
                <w:szCs w:val="19"/>
              </w:rPr>
            </w:pPr>
            <w:r w:rsidRPr="00C01B82">
              <w:rPr>
                <w:rFonts w:cs="Calibri"/>
                <w:color w:val="auto"/>
                <w:sz w:val="19"/>
                <w:szCs w:val="19"/>
              </w:rPr>
              <w:t xml:space="preserve">“Direct trade” refers to an order for a specified volume of environmental water to be delivered at the South Australian border. </w:t>
            </w:r>
            <w:proofErr w:type="gramStart"/>
            <w:r w:rsidRPr="00C01B82">
              <w:rPr>
                <w:rFonts w:cs="Calibri"/>
                <w:color w:val="auto"/>
                <w:sz w:val="19"/>
                <w:szCs w:val="19"/>
              </w:rPr>
              <w:t>Typically</w:t>
            </w:r>
            <w:proofErr w:type="gramEnd"/>
            <w:r w:rsidRPr="00C01B82">
              <w:rPr>
                <w:rFonts w:cs="Calibri"/>
                <w:color w:val="auto"/>
                <w:sz w:val="19"/>
                <w:szCs w:val="19"/>
              </w:rPr>
              <w:t xml:space="preserve"> a timing and profile for the delivery is specified and river operators can meet the order by providing water from any available source.</w:t>
            </w:r>
          </w:p>
        </w:tc>
      </w:tr>
      <w:tr w:rsidR="001922D0" w:rsidRPr="004E0E6F" w14:paraId="54A77256" w14:textId="77777777" w:rsidTr="00D6493B">
        <w:trPr>
          <w:cantSplit/>
          <w:trHeight w:val="283"/>
        </w:trPr>
        <w:tc>
          <w:tcPr>
            <w:tcW w:w="1894" w:type="dxa"/>
            <w:tcBorders>
              <w:top w:val="nil"/>
              <w:left w:val="nil"/>
              <w:bottom w:val="nil"/>
              <w:right w:val="nil"/>
            </w:tcBorders>
            <w:shd w:val="clear" w:color="auto" w:fill="auto"/>
            <w:noWrap/>
          </w:tcPr>
          <w:p w14:paraId="540826E5" w14:textId="77777777" w:rsidR="001922D0" w:rsidRPr="004E0E6F" w:rsidRDefault="001922D0" w:rsidP="00D632F9">
            <w:pPr>
              <w:spacing w:before="0" w:after="40" w:line="240" w:lineRule="auto"/>
              <w:jc w:val="left"/>
              <w:rPr>
                <w:rFonts w:cs="Calibri"/>
                <w:b/>
                <w:bCs/>
                <w:color w:val="E46D0A"/>
                <w:sz w:val="19"/>
                <w:szCs w:val="19"/>
              </w:rPr>
            </w:pPr>
            <w:r w:rsidRPr="004E0E6F">
              <w:rPr>
                <w:rFonts w:cs="Calibri"/>
                <w:b/>
                <w:bCs/>
                <w:color w:val="E46D0A"/>
                <w:sz w:val="19"/>
                <w:szCs w:val="19"/>
              </w:rPr>
              <w:t>Flood or flooding</w:t>
            </w:r>
          </w:p>
        </w:tc>
        <w:tc>
          <w:tcPr>
            <w:tcW w:w="7035" w:type="dxa"/>
            <w:tcBorders>
              <w:top w:val="nil"/>
              <w:left w:val="nil"/>
              <w:bottom w:val="nil"/>
              <w:right w:val="nil"/>
            </w:tcBorders>
            <w:shd w:val="clear" w:color="auto" w:fill="auto"/>
            <w:noWrap/>
          </w:tcPr>
          <w:p w14:paraId="57C8FD3A" w14:textId="77777777" w:rsidR="001922D0" w:rsidRPr="004E0E6F" w:rsidRDefault="001922D0" w:rsidP="00D632F9">
            <w:pPr>
              <w:spacing w:before="0" w:after="40" w:line="240" w:lineRule="auto"/>
              <w:rPr>
                <w:rFonts w:cs="Calibri"/>
                <w:color w:val="auto"/>
                <w:sz w:val="19"/>
                <w:szCs w:val="19"/>
              </w:rPr>
            </w:pPr>
            <w:r w:rsidRPr="004E0E6F">
              <w:rPr>
                <w:rFonts w:cs="Calibri"/>
                <w:color w:val="auto"/>
                <w:sz w:val="19"/>
                <w:szCs w:val="19"/>
              </w:rPr>
              <w:t xml:space="preserve">Refers to flows that are overbank. In South Australia, this is deemed to be above </w:t>
            </w:r>
            <w:proofErr w:type="spellStart"/>
            <w:r w:rsidRPr="004E0E6F">
              <w:rPr>
                <w:rFonts w:cs="Calibri"/>
                <w:color w:val="auto"/>
                <w:sz w:val="19"/>
                <w:szCs w:val="19"/>
              </w:rPr>
              <w:t>bankfull</w:t>
            </w:r>
            <w:proofErr w:type="spellEnd"/>
            <w:r w:rsidRPr="004E0E6F">
              <w:rPr>
                <w:rFonts w:cs="Calibri"/>
                <w:color w:val="auto"/>
                <w:sz w:val="19"/>
                <w:szCs w:val="19"/>
              </w:rPr>
              <w:t xml:space="preserve"> flow (45,000 ML/d).</w:t>
            </w:r>
          </w:p>
        </w:tc>
      </w:tr>
      <w:tr w:rsidR="001922D0" w:rsidRPr="004E0E6F" w14:paraId="7FC8F2E4" w14:textId="77777777" w:rsidTr="00D6493B">
        <w:trPr>
          <w:cantSplit/>
          <w:trHeight w:val="283"/>
        </w:trPr>
        <w:tc>
          <w:tcPr>
            <w:tcW w:w="1894" w:type="dxa"/>
            <w:tcBorders>
              <w:top w:val="nil"/>
              <w:left w:val="nil"/>
              <w:bottom w:val="nil"/>
              <w:right w:val="nil"/>
            </w:tcBorders>
            <w:shd w:val="clear" w:color="auto" w:fill="auto"/>
            <w:noWrap/>
          </w:tcPr>
          <w:p w14:paraId="36DA2608" w14:textId="77777777" w:rsidR="001922D0" w:rsidRPr="004E0E6F" w:rsidRDefault="001922D0" w:rsidP="00D632F9">
            <w:pPr>
              <w:spacing w:before="0" w:after="40" w:line="240" w:lineRule="auto"/>
              <w:jc w:val="left"/>
              <w:rPr>
                <w:rFonts w:cs="Calibri"/>
                <w:b/>
                <w:bCs/>
                <w:color w:val="E46D0A"/>
                <w:sz w:val="19"/>
                <w:szCs w:val="19"/>
              </w:rPr>
            </w:pPr>
            <w:r w:rsidRPr="004E0E6F">
              <w:rPr>
                <w:rFonts w:cs="Calibri"/>
                <w:b/>
                <w:bCs/>
                <w:color w:val="E46D0A"/>
                <w:sz w:val="19"/>
                <w:szCs w:val="19"/>
              </w:rPr>
              <w:t>Freshes (flow)</w:t>
            </w:r>
          </w:p>
        </w:tc>
        <w:tc>
          <w:tcPr>
            <w:tcW w:w="7035" w:type="dxa"/>
            <w:tcBorders>
              <w:top w:val="nil"/>
              <w:left w:val="nil"/>
              <w:bottom w:val="nil"/>
              <w:right w:val="nil"/>
            </w:tcBorders>
            <w:shd w:val="clear" w:color="auto" w:fill="auto"/>
            <w:noWrap/>
          </w:tcPr>
          <w:p w14:paraId="69F1E41C" w14:textId="77777777" w:rsidR="001922D0" w:rsidRPr="004E0E6F" w:rsidRDefault="001922D0" w:rsidP="00D632F9">
            <w:pPr>
              <w:spacing w:before="0" w:after="40" w:line="240" w:lineRule="auto"/>
              <w:rPr>
                <w:rFonts w:cs="Calibri"/>
                <w:color w:val="auto"/>
                <w:sz w:val="19"/>
                <w:szCs w:val="19"/>
              </w:rPr>
            </w:pPr>
            <w:r w:rsidRPr="004E0E6F">
              <w:rPr>
                <w:rFonts w:cs="Calibri"/>
                <w:color w:val="auto"/>
                <w:sz w:val="19"/>
                <w:szCs w:val="19"/>
              </w:rPr>
              <w:t>Flows greater than base flow but below bank level.</w:t>
            </w:r>
          </w:p>
        </w:tc>
      </w:tr>
      <w:tr w:rsidR="001922D0" w:rsidRPr="004E0E6F" w14:paraId="49B9A67F" w14:textId="77777777" w:rsidTr="00D6493B">
        <w:trPr>
          <w:cantSplit/>
          <w:trHeight w:val="283"/>
        </w:trPr>
        <w:tc>
          <w:tcPr>
            <w:tcW w:w="1894" w:type="dxa"/>
            <w:tcBorders>
              <w:top w:val="nil"/>
              <w:left w:val="nil"/>
              <w:bottom w:val="nil"/>
              <w:right w:val="nil"/>
            </w:tcBorders>
            <w:shd w:val="clear" w:color="auto" w:fill="auto"/>
            <w:noWrap/>
          </w:tcPr>
          <w:p w14:paraId="5B1B042C" w14:textId="77777777" w:rsidR="001922D0" w:rsidRPr="004E0E6F" w:rsidRDefault="001922D0" w:rsidP="00D632F9">
            <w:pPr>
              <w:spacing w:before="0" w:after="40" w:line="240" w:lineRule="auto"/>
              <w:rPr>
                <w:rFonts w:cs="Calibri"/>
                <w:b/>
                <w:bCs/>
                <w:color w:val="E46D0A"/>
                <w:sz w:val="19"/>
                <w:szCs w:val="19"/>
              </w:rPr>
            </w:pPr>
            <w:r w:rsidRPr="004E0E6F">
              <w:rPr>
                <w:rFonts w:cs="Calibri"/>
                <w:b/>
                <w:bCs/>
                <w:color w:val="E46D0A"/>
                <w:sz w:val="19"/>
                <w:szCs w:val="19"/>
              </w:rPr>
              <w:t>Epibenthic</w:t>
            </w:r>
          </w:p>
        </w:tc>
        <w:tc>
          <w:tcPr>
            <w:tcW w:w="7035" w:type="dxa"/>
            <w:tcBorders>
              <w:top w:val="nil"/>
              <w:left w:val="nil"/>
              <w:bottom w:val="nil"/>
              <w:right w:val="nil"/>
            </w:tcBorders>
            <w:shd w:val="clear" w:color="auto" w:fill="auto"/>
            <w:noWrap/>
          </w:tcPr>
          <w:p w14:paraId="367BE2D4" w14:textId="77777777" w:rsidR="001922D0" w:rsidRPr="004E0E6F" w:rsidRDefault="001922D0" w:rsidP="00D632F9">
            <w:pPr>
              <w:spacing w:before="0" w:after="40" w:line="240" w:lineRule="auto"/>
              <w:rPr>
                <w:rFonts w:cs="Calibri"/>
                <w:color w:val="auto"/>
                <w:sz w:val="19"/>
                <w:szCs w:val="19"/>
              </w:rPr>
            </w:pPr>
            <w:r w:rsidRPr="004E0E6F">
              <w:rPr>
                <w:rFonts w:cs="Calibri"/>
                <w:color w:val="auto"/>
                <w:sz w:val="19"/>
                <w:szCs w:val="19"/>
              </w:rPr>
              <w:t>Organisms living on the surface of sediment.</w:t>
            </w:r>
          </w:p>
        </w:tc>
      </w:tr>
      <w:tr w:rsidR="001922D0" w:rsidRPr="004E0E6F" w14:paraId="57B12E33" w14:textId="77777777" w:rsidTr="00D6493B">
        <w:trPr>
          <w:cantSplit/>
          <w:trHeight w:val="283"/>
        </w:trPr>
        <w:tc>
          <w:tcPr>
            <w:tcW w:w="1894" w:type="dxa"/>
            <w:tcBorders>
              <w:top w:val="nil"/>
              <w:left w:val="nil"/>
              <w:bottom w:val="nil"/>
              <w:right w:val="nil"/>
            </w:tcBorders>
            <w:shd w:val="clear" w:color="auto" w:fill="auto"/>
            <w:noWrap/>
          </w:tcPr>
          <w:p w14:paraId="72353AEA" w14:textId="77777777" w:rsidR="001922D0" w:rsidRPr="004E0E6F" w:rsidRDefault="001922D0" w:rsidP="00D632F9">
            <w:pPr>
              <w:spacing w:before="0" w:after="40" w:line="240" w:lineRule="auto"/>
              <w:rPr>
                <w:rFonts w:cs="Calibri"/>
                <w:b/>
                <w:bCs/>
                <w:color w:val="E46D0A"/>
                <w:sz w:val="19"/>
                <w:szCs w:val="19"/>
              </w:rPr>
            </w:pPr>
            <w:r w:rsidRPr="004E0E6F">
              <w:rPr>
                <w:rFonts w:cs="Calibri"/>
                <w:b/>
                <w:bCs/>
                <w:color w:val="E46D0A"/>
                <w:sz w:val="19"/>
                <w:szCs w:val="19"/>
              </w:rPr>
              <w:t>Epiphytic</w:t>
            </w:r>
          </w:p>
        </w:tc>
        <w:tc>
          <w:tcPr>
            <w:tcW w:w="7035" w:type="dxa"/>
            <w:tcBorders>
              <w:top w:val="nil"/>
              <w:left w:val="nil"/>
              <w:bottom w:val="nil"/>
              <w:right w:val="nil"/>
            </w:tcBorders>
            <w:shd w:val="clear" w:color="auto" w:fill="auto"/>
            <w:noWrap/>
          </w:tcPr>
          <w:p w14:paraId="7F22089B" w14:textId="77777777" w:rsidR="001922D0" w:rsidRPr="004E0E6F" w:rsidRDefault="001922D0" w:rsidP="00D632F9">
            <w:pPr>
              <w:spacing w:before="0" w:after="40" w:line="240" w:lineRule="auto"/>
              <w:rPr>
                <w:rFonts w:cs="Calibri"/>
                <w:color w:val="auto"/>
                <w:sz w:val="19"/>
                <w:szCs w:val="19"/>
              </w:rPr>
            </w:pPr>
            <w:r w:rsidRPr="004E0E6F">
              <w:rPr>
                <w:rFonts w:cs="Calibri"/>
                <w:color w:val="auto"/>
                <w:sz w:val="19"/>
                <w:szCs w:val="19"/>
              </w:rPr>
              <w:t>Organisms that are attached to plants.</w:t>
            </w:r>
          </w:p>
        </w:tc>
      </w:tr>
      <w:tr w:rsidR="00065519" w:rsidRPr="004E0E6F" w14:paraId="59BA9E92" w14:textId="77777777" w:rsidTr="00D6493B">
        <w:trPr>
          <w:cantSplit/>
          <w:trHeight w:val="283"/>
        </w:trPr>
        <w:tc>
          <w:tcPr>
            <w:tcW w:w="1894" w:type="dxa"/>
            <w:tcBorders>
              <w:top w:val="nil"/>
              <w:left w:val="nil"/>
              <w:bottom w:val="nil"/>
              <w:right w:val="nil"/>
            </w:tcBorders>
            <w:shd w:val="clear" w:color="auto" w:fill="auto"/>
            <w:noWrap/>
          </w:tcPr>
          <w:p w14:paraId="1513D8A4" w14:textId="499F05CB" w:rsidR="00065519" w:rsidRPr="004E0E6F" w:rsidRDefault="00065519" w:rsidP="00D632F9">
            <w:pPr>
              <w:spacing w:before="0" w:after="40" w:line="240" w:lineRule="auto"/>
              <w:rPr>
                <w:rFonts w:cs="Calibri"/>
                <w:b/>
                <w:bCs/>
                <w:color w:val="E46D0A"/>
                <w:sz w:val="19"/>
                <w:szCs w:val="19"/>
              </w:rPr>
            </w:pPr>
            <w:r>
              <w:rPr>
                <w:rFonts w:cs="Calibri"/>
                <w:b/>
                <w:bCs/>
                <w:color w:val="E46D0A"/>
                <w:sz w:val="19"/>
                <w:szCs w:val="19"/>
              </w:rPr>
              <w:t>Hatch date</w:t>
            </w:r>
          </w:p>
        </w:tc>
        <w:tc>
          <w:tcPr>
            <w:tcW w:w="7035" w:type="dxa"/>
            <w:tcBorders>
              <w:top w:val="nil"/>
              <w:left w:val="nil"/>
              <w:bottom w:val="nil"/>
              <w:right w:val="nil"/>
            </w:tcBorders>
            <w:shd w:val="clear" w:color="auto" w:fill="auto"/>
            <w:noWrap/>
          </w:tcPr>
          <w:p w14:paraId="356AB550" w14:textId="1BA8E95B" w:rsidR="00065519" w:rsidRPr="004E0E6F" w:rsidRDefault="006D4F8E" w:rsidP="00D632F9">
            <w:pPr>
              <w:spacing w:before="0" w:after="40" w:line="240" w:lineRule="auto"/>
              <w:rPr>
                <w:rFonts w:cs="Calibri"/>
                <w:color w:val="auto"/>
                <w:sz w:val="19"/>
                <w:szCs w:val="19"/>
              </w:rPr>
            </w:pPr>
            <w:r>
              <w:rPr>
                <w:rFonts w:cs="Calibri"/>
                <w:color w:val="auto"/>
                <w:sz w:val="19"/>
                <w:szCs w:val="19"/>
              </w:rPr>
              <w:t>The date at which fish emerge from their eggs, which is one day prior to a fish laying its first daily growth increment on an otolith.</w:t>
            </w:r>
          </w:p>
        </w:tc>
      </w:tr>
      <w:tr w:rsidR="001922D0" w:rsidRPr="004E0E6F" w14:paraId="765989AE" w14:textId="77777777" w:rsidTr="00D6493B">
        <w:trPr>
          <w:cantSplit/>
          <w:trHeight w:val="283"/>
        </w:trPr>
        <w:tc>
          <w:tcPr>
            <w:tcW w:w="1894" w:type="dxa"/>
            <w:tcBorders>
              <w:top w:val="nil"/>
              <w:left w:val="nil"/>
              <w:bottom w:val="nil"/>
              <w:right w:val="nil"/>
            </w:tcBorders>
            <w:shd w:val="clear" w:color="auto" w:fill="auto"/>
            <w:noWrap/>
          </w:tcPr>
          <w:p w14:paraId="43463929" w14:textId="77777777" w:rsidR="001922D0" w:rsidRPr="004E0E6F" w:rsidRDefault="001922D0" w:rsidP="00D632F9">
            <w:pPr>
              <w:spacing w:before="0" w:after="40" w:line="240" w:lineRule="auto"/>
              <w:rPr>
                <w:rFonts w:cs="Calibri"/>
                <w:b/>
                <w:bCs/>
                <w:color w:val="E46D0A"/>
                <w:sz w:val="19"/>
                <w:szCs w:val="19"/>
              </w:rPr>
            </w:pPr>
            <w:r w:rsidRPr="004E0E6F">
              <w:rPr>
                <w:rFonts w:cs="Calibri"/>
                <w:b/>
                <w:bCs/>
                <w:color w:val="E46D0A"/>
                <w:sz w:val="19"/>
                <w:szCs w:val="19"/>
              </w:rPr>
              <w:t>Heleoplankton</w:t>
            </w:r>
          </w:p>
        </w:tc>
        <w:tc>
          <w:tcPr>
            <w:tcW w:w="7035" w:type="dxa"/>
            <w:tcBorders>
              <w:top w:val="nil"/>
              <w:left w:val="nil"/>
              <w:bottom w:val="nil"/>
              <w:right w:val="nil"/>
            </w:tcBorders>
            <w:shd w:val="clear" w:color="auto" w:fill="auto"/>
            <w:noWrap/>
          </w:tcPr>
          <w:p w14:paraId="780BC38A" w14:textId="77777777" w:rsidR="001922D0" w:rsidRPr="004E0E6F" w:rsidRDefault="001922D0" w:rsidP="00D632F9">
            <w:pPr>
              <w:spacing w:before="0" w:after="40" w:line="240" w:lineRule="auto"/>
              <w:rPr>
                <w:rFonts w:cs="Calibri"/>
                <w:color w:val="auto"/>
                <w:sz w:val="19"/>
                <w:szCs w:val="19"/>
              </w:rPr>
            </w:pPr>
            <w:r w:rsidRPr="004E0E6F">
              <w:rPr>
                <w:sz w:val="19"/>
                <w:szCs w:val="19"/>
              </w:rPr>
              <w:t xml:space="preserve">Plankton derived from billabongs and other floodplain still, </w:t>
            </w:r>
            <w:proofErr w:type="gramStart"/>
            <w:r w:rsidRPr="004E0E6F">
              <w:rPr>
                <w:sz w:val="19"/>
                <w:szCs w:val="19"/>
              </w:rPr>
              <w:t>generally-vegetated</w:t>
            </w:r>
            <w:proofErr w:type="gramEnd"/>
            <w:r w:rsidRPr="004E0E6F">
              <w:rPr>
                <w:sz w:val="19"/>
                <w:szCs w:val="19"/>
              </w:rPr>
              <w:t>, waters.</w:t>
            </w:r>
          </w:p>
        </w:tc>
      </w:tr>
      <w:tr w:rsidR="001922D0" w:rsidRPr="004E0E6F" w14:paraId="318D7BCE" w14:textId="77777777" w:rsidTr="00D6493B">
        <w:trPr>
          <w:cantSplit/>
          <w:trHeight w:val="283"/>
        </w:trPr>
        <w:tc>
          <w:tcPr>
            <w:tcW w:w="1894" w:type="dxa"/>
            <w:tcBorders>
              <w:top w:val="nil"/>
              <w:left w:val="nil"/>
              <w:bottom w:val="nil"/>
              <w:right w:val="nil"/>
            </w:tcBorders>
            <w:shd w:val="clear" w:color="auto" w:fill="auto"/>
            <w:noWrap/>
          </w:tcPr>
          <w:p w14:paraId="6403BE7C" w14:textId="77777777" w:rsidR="001922D0" w:rsidRPr="004E0E6F" w:rsidRDefault="001922D0" w:rsidP="00D632F9">
            <w:pPr>
              <w:spacing w:before="0" w:after="40" w:line="240" w:lineRule="auto"/>
              <w:rPr>
                <w:rFonts w:cs="Calibri"/>
                <w:b/>
                <w:bCs/>
                <w:i/>
                <w:color w:val="E46D0A"/>
                <w:sz w:val="19"/>
                <w:szCs w:val="19"/>
              </w:rPr>
            </w:pPr>
            <w:r w:rsidRPr="004E0E6F">
              <w:rPr>
                <w:rFonts w:cs="Calibri"/>
                <w:b/>
                <w:bCs/>
                <w:i/>
                <w:color w:val="E46D0A"/>
                <w:sz w:val="19"/>
                <w:szCs w:val="19"/>
              </w:rPr>
              <w:t>In situ</w:t>
            </w:r>
          </w:p>
        </w:tc>
        <w:tc>
          <w:tcPr>
            <w:tcW w:w="7035" w:type="dxa"/>
            <w:tcBorders>
              <w:top w:val="nil"/>
              <w:left w:val="nil"/>
              <w:bottom w:val="nil"/>
              <w:right w:val="nil"/>
            </w:tcBorders>
            <w:shd w:val="clear" w:color="auto" w:fill="auto"/>
            <w:noWrap/>
          </w:tcPr>
          <w:p w14:paraId="7EAF98FF" w14:textId="77777777" w:rsidR="001922D0" w:rsidRPr="004E0E6F" w:rsidRDefault="001922D0" w:rsidP="00D632F9">
            <w:pPr>
              <w:spacing w:before="0" w:after="40" w:line="240" w:lineRule="auto"/>
              <w:rPr>
                <w:sz w:val="19"/>
                <w:szCs w:val="19"/>
              </w:rPr>
            </w:pPr>
            <w:r w:rsidRPr="004E0E6F">
              <w:rPr>
                <w:sz w:val="19"/>
                <w:szCs w:val="19"/>
              </w:rPr>
              <w:t xml:space="preserve">Used to describe monitoring </w:t>
            </w:r>
            <w:r w:rsidRPr="004E0E6F">
              <w:rPr>
                <w:i/>
                <w:sz w:val="19"/>
                <w:szCs w:val="19"/>
              </w:rPr>
              <w:t>in</w:t>
            </w:r>
            <w:r w:rsidRPr="004E0E6F">
              <w:rPr>
                <w:sz w:val="19"/>
                <w:szCs w:val="19"/>
              </w:rPr>
              <w:t xml:space="preserve"> the field. </w:t>
            </w:r>
          </w:p>
        </w:tc>
      </w:tr>
      <w:tr w:rsidR="001922D0" w:rsidRPr="004E0E6F" w14:paraId="764F90E0" w14:textId="77777777" w:rsidTr="00D6493B">
        <w:trPr>
          <w:cantSplit/>
          <w:trHeight w:val="283"/>
        </w:trPr>
        <w:tc>
          <w:tcPr>
            <w:tcW w:w="1894" w:type="dxa"/>
            <w:tcBorders>
              <w:top w:val="nil"/>
              <w:left w:val="nil"/>
              <w:bottom w:val="nil"/>
              <w:right w:val="nil"/>
            </w:tcBorders>
            <w:shd w:val="clear" w:color="auto" w:fill="auto"/>
            <w:noWrap/>
          </w:tcPr>
          <w:p w14:paraId="1BD34968" w14:textId="77777777" w:rsidR="001922D0" w:rsidRPr="004E0E6F" w:rsidRDefault="001922D0" w:rsidP="00D632F9">
            <w:pPr>
              <w:spacing w:before="0" w:after="40" w:line="240" w:lineRule="auto"/>
              <w:rPr>
                <w:rFonts w:cs="Calibri"/>
                <w:b/>
                <w:bCs/>
                <w:color w:val="E46D0A"/>
                <w:sz w:val="19"/>
                <w:szCs w:val="19"/>
              </w:rPr>
            </w:pPr>
            <w:r w:rsidRPr="004E0E6F">
              <w:rPr>
                <w:rFonts w:cs="Calibri"/>
                <w:b/>
                <w:bCs/>
                <w:color w:val="E46D0A"/>
                <w:sz w:val="19"/>
                <w:szCs w:val="19"/>
              </w:rPr>
              <w:t>Lentic</w:t>
            </w:r>
          </w:p>
        </w:tc>
        <w:tc>
          <w:tcPr>
            <w:tcW w:w="7035" w:type="dxa"/>
            <w:tcBorders>
              <w:top w:val="nil"/>
              <w:left w:val="nil"/>
              <w:bottom w:val="nil"/>
              <w:right w:val="nil"/>
            </w:tcBorders>
            <w:shd w:val="clear" w:color="auto" w:fill="auto"/>
            <w:noWrap/>
          </w:tcPr>
          <w:p w14:paraId="13B3DDC5" w14:textId="77777777" w:rsidR="001922D0" w:rsidRPr="004E0E6F" w:rsidRDefault="001922D0" w:rsidP="00D632F9">
            <w:pPr>
              <w:spacing w:before="0" w:after="40" w:line="240" w:lineRule="auto"/>
              <w:rPr>
                <w:rFonts w:cs="Calibri"/>
                <w:color w:val="auto"/>
                <w:sz w:val="19"/>
                <w:szCs w:val="19"/>
              </w:rPr>
            </w:pPr>
            <w:r w:rsidRPr="004E0E6F">
              <w:rPr>
                <w:rFonts w:cs="Calibri"/>
                <w:color w:val="auto"/>
                <w:sz w:val="19"/>
                <w:szCs w:val="19"/>
              </w:rPr>
              <w:t>Refers to slower water velocities associated with ‘pool water’ habitat in highly regulated systems, typically median velocities of approximately ≤0.3 m/s.</w:t>
            </w:r>
          </w:p>
        </w:tc>
      </w:tr>
      <w:tr w:rsidR="001922D0" w:rsidRPr="004E0E6F" w14:paraId="036A65F7" w14:textId="77777777" w:rsidTr="00D6493B">
        <w:trPr>
          <w:cantSplit/>
          <w:trHeight w:val="283"/>
        </w:trPr>
        <w:tc>
          <w:tcPr>
            <w:tcW w:w="1894" w:type="dxa"/>
            <w:tcBorders>
              <w:top w:val="nil"/>
              <w:left w:val="nil"/>
              <w:bottom w:val="nil"/>
              <w:right w:val="nil"/>
            </w:tcBorders>
            <w:shd w:val="clear" w:color="auto" w:fill="auto"/>
            <w:noWrap/>
          </w:tcPr>
          <w:p w14:paraId="6575D80F" w14:textId="77777777" w:rsidR="001922D0" w:rsidRPr="004E0E6F" w:rsidRDefault="001922D0" w:rsidP="00D632F9">
            <w:pPr>
              <w:spacing w:before="0" w:after="40" w:line="240" w:lineRule="auto"/>
              <w:rPr>
                <w:rFonts w:cs="Calibri"/>
                <w:b/>
                <w:bCs/>
                <w:color w:val="E46D0A"/>
                <w:sz w:val="19"/>
                <w:szCs w:val="19"/>
              </w:rPr>
            </w:pPr>
            <w:r w:rsidRPr="004E0E6F">
              <w:rPr>
                <w:rFonts w:cs="Calibri"/>
                <w:b/>
                <w:bCs/>
                <w:color w:val="E46D0A"/>
                <w:sz w:val="19"/>
                <w:szCs w:val="19"/>
              </w:rPr>
              <w:t>Littoral</w:t>
            </w:r>
          </w:p>
        </w:tc>
        <w:tc>
          <w:tcPr>
            <w:tcW w:w="7035" w:type="dxa"/>
            <w:tcBorders>
              <w:top w:val="nil"/>
              <w:left w:val="nil"/>
              <w:bottom w:val="nil"/>
              <w:right w:val="nil"/>
            </w:tcBorders>
            <w:shd w:val="clear" w:color="auto" w:fill="auto"/>
            <w:noWrap/>
          </w:tcPr>
          <w:p w14:paraId="74EEACDC" w14:textId="77777777" w:rsidR="001922D0" w:rsidRPr="004E0E6F" w:rsidRDefault="001922D0" w:rsidP="00D632F9">
            <w:pPr>
              <w:spacing w:before="0" w:after="40" w:line="240" w:lineRule="auto"/>
              <w:rPr>
                <w:rFonts w:cs="Calibri"/>
                <w:color w:val="auto"/>
                <w:sz w:val="19"/>
                <w:szCs w:val="19"/>
              </w:rPr>
            </w:pPr>
            <w:r w:rsidRPr="004E0E6F">
              <w:rPr>
                <w:rFonts w:cs="Calibri"/>
                <w:color w:val="auto"/>
                <w:sz w:val="19"/>
                <w:szCs w:val="19"/>
              </w:rPr>
              <w:t>The margin along the bank of the river.</w:t>
            </w:r>
          </w:p>
        </w:tc>
      </w:tr>
      <w:tr w:rsidR="007535A2" w:rsidRPr="004E0E6F" w14:paraId="6DEDCAEE" w14:textId="77777777" w:rsidTr="00D6493B">
        <w:trPr>
          <w:cantSplit/>
          <w:trHeight w:val="283"/>
        </w:trPr>
        <w:tc>
          <w:tcPr>
            <w:tcW w:w="1894" w:type="dxa"/>
            <w:tcBorders>
              <w:top w:val="nil"/>
              <w:left w:val="nil"/>
              <w:bottom w:val="nil"/>
              <w:right w:val="nil"/>
            </w:tcBorders>
            <w:shd w:val="clear" w:color="auto" w:fill="auto"/>
            <w:noWrap/>
          </w:tcPr>
          <w:p w14:paraId="4EC73905" w14:textId="0B54AED6" w:rsidR="007535A2" w:rsidRPr="004E0E6F" w:rsidRDefault="007535A2" w:rsidP="00D632F9">
            <w:pPr>
              <w:spacing w:before="0" w:after="40" w:line="240" w:lineRule="auto"/>
              <w:rPr>
                <w:rFonts w:cs="Calibri"/>
                <w:b/>
                <w:bCs/>
                <w:color w:val="E46D0A"/>
                <w:sz w:val="19"/>
                <w:szCs w:val="19"/>
              </w:rPr>
            </w:pPr>
            <w:r>
              <w:rPr>
                <w:rFonts w:cs="Calibri"/>
                <w:b/>
                <w:bCs/>
                <w:color w:val="E46D0A"/>
                <w:sz w:val="19"/>
                <w:szCs w:val="19"/>
              </w:rPr>
              <w:t>Lower Murray</w:t>
            </w:r>
          </w:p>
        </w:tc>
        <w:tc>
          <w:tcPr>
            <w:tcW w:w="7035" w:type="dxa"/>
            <w:tcBorders>
              <w:top w:val="nil"/>
              <w:left w:val="nil"/>
              <w:bottom w:val="nil"/>
              <w:right w:val="nil"/>
            </w:tcBorders>
            <w:shd w:val="clear" w:color="auto" w:fill="auto"/>
            <w:noWrap/>
          </w:tcPr>
          <w:p w14:paraId="4BE366DB" w14:textId="36E1F365" w:rsidR="007535A2" w:rsidRPr="004E0E6F" w:rsidRDefault="00757B42" w:rsidP="00D632F9">
            <w:pPr>
              <w:spacing w:before="0" w:after="40" w:line="240" w:lineRule="auto"/>
              <w:rPr>
                <w:rFonts w:cs="Calibri"/>
                <w:color w:val="auto"/>
                <w:sz w:val="19"/>
                <w:szCs w:val="19"/>
              </w:rPr>
            </w:pPr>
            <w:r>
              <w:rPr>
                <w:rFonts w:cs="Calibri"/>
                <w:color w:val="auto"/>
                <w:sz w:val="19"/>
                <w:szCs w:val="19"/>
              </w:rPr>
              <w:t>Term used to describe the Selected Area of monitoring, which includes the Lower Murray River (see below) and the Coorong, Lower Lakes and Murray Mouth (CLLMM).</w:t>
            </w:r>
          </w:p>
        </w:tc>
      </w:tr>
      <w:tr w:rsidR="007535A2" w:rsidRPr="004E0E6F" w14:paraId="05DD2784" w14:textId="77777777" w:rsidTr="00D6493B">
        <w:trPr>
          <w:cantSplit/>
          <w:trHeight w:val="283"/>
        </w:trPr>
        <w:tc>
          <w:tcPr>
            <w:tcW w:w="1894" w:type="dxa"/>
            <w:tcBorders>
              <w:top w:val="nil"/>
              <w:left w:val="nil"/>
              <w:bottom w:val="nil"/>
              <w:right w:val="nil"/>
            </w:tcBorders>
            <w:shd w:val="clear" w:color="auto" w:fill="auto"/>
            <w:noWrap/>
          </w:tcPr>
          <w:p w14:paraId="4F1F2C0A" w14:textId="6A710995" w:rsidR="007535A2" w:rsidRDefault="007535A2" w:rsidP="00D632F9">
            <w:pPr>
              <w:spacing w:before="0" w:after="40" w:line="240" w:lineRule="auto"/>
              <w:rPr>
                <w:rFonts w:cs="Calibri"/>
                <w:b/>
                <w:bCs/>
                <w:color w:val="E46D0A"/>
                <w:sz w:val="19"/>
                <w:szCs w:val="19"/>
              </w:rPr>
            </w:pPr>
            <w:r>
              <w:rPr>
                <w:rFonts w:cs="Calibri"/>
                <w:b/>
                <w:bCs/>
                <w:color w:val="E46D0A"/>
                <w:sz w:val="19"/>
                <w:szCs w:val="19"/>
              </w:rPr>
              <w:t>Lower Murray River (LMR)</w:t>
            </w:r>
          </w:p>
        </w:tc>
        <w:tc>
          <w:tcPr>
            <w:tcW w:w="7035" w:type="dxa"/>
            <w:tcBorders>
              <w:top w:val="nil"/>
              <w:left w:val="nil"/>
              <w:bottom w:val="nil"/>
              <w:right w:val="nil"/>
            </w:tcBorders>
            <w:shd w:val="clear" w:color="auto" w:fill="auto"/>
            <w:noWrap/>
          </w:tcPr>
          <w:p w14:paraId="79E94A87" w14:textId="434AE91F" w:rsidR="007535A2" w:rsidRPr="004E0E6F" w:rsidRDefault="007535A2" w:rsidP="00D632F9">
            <w:pPr>
              <w:spacing w:before="0" w:after="40" w:line="240" w:lineRule="auto"/>
              <w:rPr>
                <w:rFonts w:cs="Calibri"/>
                <w:color w:val="auto"/>
                <w:sz w:val="19"/>
                <w:szCs w:val="19"/>
              </w:rPr>
            </w:pPr>
            <w:r>
              <w:rPr>
                <w:rFonts w:cs="Calibri"/>
                <w:color w:val="auto"/>
                <w:sz w:val="19"/>
                <w:szCs w:val="19"/>
              </w:rPr>
              <w:t xml:space="preserve">Defined as the main channel of the Murray River between Wellington and </w:t>
            </w:r>
            <w:r w:rsidR="00757B42">
              <w:rPr>
                <w:rFonts w:cs="Calibri"/>
                <w:color w:val="auto"/>
                <w:sz w:val="19"/>
                <w:szCs w:val="19"/>
              </w:rPr>
              <w:t>the South Australian border.</w:t>
            </w:r>
          </w:p>
        </w:tc>
      </w:tr>
      <w:tr w:rsidR="001922D0" w:rsidRPr="004E0E6F" w14:paraId="35901DAF" w14:textId="77777777" w:rsidTr="00D6493B">
        <w:trPr>
          <w:cantSplit/>
          <w:trHeight w:val="283"/>
        </w:trPr>
        <w:tc>
          <w:tcPr>
            <w:tcW w:w="1894" w:type="dxa"/>
            <w:tcBorders>
              <w:top w:val="nil"/>
              <w:left w:val="nil"/>
              <w:bottom w:val="nil"/>
              <w:right w:val="nil"/>
            </w:tcBorders>
            <w:shd w:val="clear" w:color="auto" w:fill="auto"/>
            <w:noWrap/>
          </w:tcPr>
          <w:p w14:paraId="23D679E4" w14:textId="77777777" w:rsidR="001922D0" w:rsidRPr="004E0E6F" w:rsidRDefault="001922D0" w:rsidP="00D632F9">
            <w:pPr>
              <w:spacing w:before="0" w:after="40" w:line="240" w:lineRule="auto"/>
              <w:rPr>
                <w:rFonts w:cs="Calibri"/>
                <w:b/>
                <w:bCs/>
                <w:color w:val="E46D0A"/>
                <w:sz w:val="19"/>
                <w:szCs w:val="19"/>
              </w:rPr>
            </w:pPr>
            <w:r w:rsidRPr="004E0E6F">
              <w:rPr>
                <w:rFonts w:cs="Calibri"/>
                <w:b/>
                <w:bCs/>
                <w:color w:val="E46D0A"/>
                <w:sz w:val="19"/>
                <w:szCs w:val="19"/>
              </w:rPr>
              <w:t>Lotic</w:t>
            </w:r>
          </w:p>
        </w:tc>
        <w:tc>
          <w:tcPr>
            <w:tcW w:w="7035" w:type="dxa"/>
            <w:tcBorders>
              <w:top w:val="nil"/>
              <w:left w:val="nil"/>
              <w:bottom w:val="nil"/>
              <w:right w:val="nil"/>
            </w:tcBorders>
            <w:shd w:val="clear" w:color="auto" w:fill="auto"/>
            <w:noWrap/>
          </w:tcPr>
          <w:p w14:paraId="760EEC67" w14:textId="26318168" w:rsidR="001922D0" w:rsidRPr="004E0E6F" w:rsidRDefault="001922D0" w:rsidP="00D632F9">
            <w:pPr>
              <w:spacing w:before="0" w:after="40" w:line="240" w:lineRule="auto"/>
              <w:rPr>
                <w:rFonts w:cs="Calibri"/>
                <w:color w:val="auto"/>
                <w:sz w:val="19"/>
                <w:szCs w:val="19"/>
              </w:rPr>
            </w:pPr>
            <w:r w:rsidRPr="004E0E6F">
              <w:rPr>
                <w:rFonts w:cs="Calibri"/>
                <w:color w:val="auto"/>
                <w:sz w:val="19"/>
                <w:szCs w:val="19"/>
              </w:rPr>
              <w:t xml:space="preserve">Refers to flowing water, typically </w:t>
            </w:r>
            <w:r w:rsidR="005C6F19">
              <w:rPr>
                <w:rFonts w:cs="Calibri"/>
                <w:color w:val="auto"/>
                <w:sz w:val="19"/>
                <w:szCs w:val="19"/>
              </w:rPr>
              <w:t xml:space="preserve">with </w:t>
            </w:r>
            <w:r w:rsidRPr="004E0E6F">
              <w:rPr>
                <w:rFonts w:cs="Calibri"/>
                <w:color w:val="auto"/>
                <w:sz w:val="19"/>
                <w:szCs w:val="19"/>
              </w:rPr>
              <w:t xml:space="preserve">median velocities of approximately </w:t>
            </w:r>
            <w:r w:rsidRPr="004E0E6F">
              <w:rPr>
                <w:sz w:val="19"/>
                <w:szCs w:val="19"/>
              </w:rPr>
              <w:t>&gt;</w:t>
            </w:r>
            <w:r w:rsidRPr="004E0E6F">
              <w:rPr>
                <w:rFonts w:cs="Calibri"/>
                <w:color w:val="auto"/>
                <w:sz w:val="19"/>
                <w:szCs w:val="19"/>
              </w:rPr>
              <w:t>0.3 m/s.</w:t>
            </w:r>
          </w:p>
        </w:tc>
      </w:tr>
      <w:tr w:rsidR="001922D0" w:rsidRPr="004E0E6F" w14:paraId="74F371E1" w14:textId="77777777" w:rsidTr="00D6493B">
        <w:trPr>
          <w:cantSplit/>
          <w:trHeight w:val="283"/>
        </w:trPr>
        <w:tc>
          <w:tcPr>
            <w:tcW w:w="1894" w:type="dxa"/>
            <w:tcBorders>
              <w:top w:val="nil"/>
              <w:left w:val="nil"/>
              <w:bottom w:val="nil"/>
              <w:right w:val="nil"/>
            </w:tcBorders>
            <w:shd w:val="clear" w:color="auto" w:fill="auto"/>
            <w:noWrap/>
          </w:tcPr>
          <w:p w14:paraId="74CF9C8F" w14:textId="77777777" w:rsidR="001922D0" w:rsidRPr="004E0E6F" w:rsidRDefault="001922D0" w:rsidP="00D632F9">
            <w:pPr>
              <w:spacing w:before="0" w:after="40" w:line="240" w:lineRule="auto"/>
              <w:rPr>
                <w:rFonts w:cs="Calibri"/>
                <w:b/>
                <w:bCs/>
                <w:color w:val="E46D0A"/>
                <w:sz w:val="19"/>
                <w:szCs w:val="19"/>
              </w:rPr>
            </w:pPr>
            <w:r w:rsidRPr="004E0E6F">
              <w:rPr>
                <w:rFonts w:cs="Calibri"/>
                <w:b/>
                <w:bCs/>
                <w:color w:val="E46D0A"/>
                <w:sz w:val="19"/>
                <w:szCs w:val="19"/>
              </w:rPr>
              <w:t>Pulse (flow)</w:t>
            </w:r>
          </w:p>
        </w:tc>
        <w:tc>
          <w:tcPr>
            <w:tcW w:w="7035" w:type="dxa"/>
            <w:tcBorders>
              <w:top w:val="nil"/>
              <w:left w:val="nil"/>
              <w:bottom w:val="nil"/>
              <w:right w:val="nil"/>
            </w:tcBorders>
            <w:shd w:val="clear" w:color="auto" w:fill="auto"/>
            <w:noWrap/>
          </w:tcPr>
          <w:p w14:paraId="5BB61FEB" w14:textId="77777777" w:rsidR="001922D0" w:rsidRPr="004E0E6F" w:rsidRDefault="001922D0" w:rsidP="00D632F9">
            <w:pPr>
              <w:spacing w:before="0" w:after="40" w:line="240" w:lineRule="auto"/>
              <w:rPr>
                <w:rFonts w:cs="Calibri"/>
                <w:color w:val="auto"/>
                <w:sz w:val="19"/>
                <w:szCs w:val="19"/>
              </w:rPr>
            </w:pPr>
            <w:r w:rsidRPr="004E0E6F">
              <w:rPr>
                <w:rFonts w:cs="Calibri"/>
                <w:color w:val="auto"/>
                <w:sz w:val="19"/>
                <w:szCs w:val="19"/>
              </w:rPr>
              <w:t>A description given to the shape of a hydrograph that is characterised by an increase in discharge, followed by a decrease in discharge, often of similar slope.</w:t>
            </w:r>
          </w:p>
        </w:tc>
      </w:tr>
      <w:tr w:rsidR="001922D0" w:rsidRPr="004E0E6F" w14:paraId="434BE0B1" w14:textId="77777777" w:rsidTr="00D6493B">
        <w:trPr>
          <w:cantSplit/>
          <w:trHeight w:val="283"/>
        </w:trPr>
        <w:tc>
          <w:tcPr>
            <w:tcW w:w="1894" w:type="dxa"/>
            <w:tcBorders>
              <w:top w:val="nil"/>
              <w:left w:val="nil"/>
              <w:bottom w:val="nil"/>
              <w:right w:val="nil"/>
            </w:tcBorders>
            <w:shd w:val="clear" w:color="auto" w:fill="auto"/>
            <w:noWrap/>
          </w:tcPr>
          <w:p w14:paraId="3A64BA14" w14:textId="77777777" w:rsidR="001922D0" w:rsidRPr="004E0E6F" w:rsidRDefault="001922D0" w:rsidP="00D632F9">
            <w:pPr>
              <w:spacing w:before="0" w:after="40" w:line="240" w:lineRule="auto"/>
              <w:rPr>
                <w:rFonts w:cs="Calibri"/>
                <w:b/>
                <w:bCs/>
                <w:color w:val="E46D0A"/>
                <w:sz w:val="19"/>
                <w:szCs w:val="19"/>
              </w:rPr>
            </w:pPr>
            <w:r w:rsidRPr="004E0E6F">
              <w:rPr>
                <w:rFonts w:cs="Calibri"/>
                <w:b/>
                <w:bCs/>
                <w:color w:val="E46D0A"/>
                <w:sz w:val="19"/>
                <w:szCs w:val="19"/>
              </w:rPr>
              <w:t>Recruitment (reproduction)</w:t>
            </w:r>
          </w:p>
        </w:tc>
        <w:tc>
          <w:tcPr>
            <w:tcW w:w="7035" w:type="dxa"/>
            <w:tcBorders>
              <w:top w:val="nil"/>
              <w:left w:val="nil"/>
              <w:bottom w:val="nil"/>
              <w:right w:val="nil"/>
            </w:tcBorders>
            <w:shd w:val="clear" w:color="auto" w:fill="auto"/>
            <w:noWrap/>
          </w:tcPr>
          <w:p w14:paraId="45435620" w14:textId="77777777" w:rsidR="001922D0" w:rsidRPr="004E0E6F" w:rsidRDefault="001922D0" w:rsidP="00D632F9">
            <w:pPr>
              <w:spacing w:before="0" w:after="40" w:line="240" w:lineRule="auto"/>
              <w:rPr>
                <w:rFonts w:cs="Calibri"/>
                <w:color w:val="auto"/>
                <w:sz w:val="19"/>
                <w:szCs w:val="19"/>
              </w:rPr>
            </w:pPr>
            <w:r w:rsidRPr="004E0E6F">
              <w:rPr>
                <w:rFonts w:cs="Calibri"/>
                <w:color w:val="auto"/>
                <w:sz w:val="19"/>
                <w:szCs w:val="19"/>
              </w:rPr>
              <w:t xml:space="preserve">Refers to individuals passing the critical stages of early life (e.g. larval) and becoming juveniles in a population, described here as age 0+ years. </w:t>
            </w:r>
          </w:p>
        </w:tc>
      </w:tr>
      <w:tr w:rsidR="001922D0" w:rsidRPr="004E0E6F" w14:paraId="056B0D6D" w14:textId="77777777" w:rsidTr="00D6493B">
        <w:trPr>
          <w:cantSplit/>
          <w:trHeight w:val="283"/>
        </w:trPr>
        <w:tc>
          <w:tcPr>
            <w:tcW w:w="1894" w:type="dxa"/>
            <w:tcBorders>
              <w:top w:val="nil"/>
              <w:left w:val="nil"/>
              <w:bottom w:val="nil"/>
              <w:right w:val="nil"/>
            </w:tcBorders>
            <w:shd w:val="clear" w:color="auto" w:fill="auto"/>
            <w:noWrap/>
          </w:tcPr>
          <w:p w14:paraId="50F7C2B0" w14:textId="77777777" w:rsidR="001922D0" w:rsidRPr="004E0E6F" w:rsidRDefault="001922D0" w:rsidP="00D632F9">
            <w:pPr>
              <w:spacing w:before="0" w:after="40" w:line="240" w:lineRule="auto"/>
              <w:rPr>
                <w:rFonts w:cs="Calibri"/>
                <w:b/>
                <w:bCs/>
                <w:color w:val="E46D0A"/>
                <w:sz w:val="19"/>
                <w:szCs w:val="19"/>
              </w:rPr>
            </w:pPr>
            <w:r w:rsidRPr="004E0E6F">
              <w:rPr>
                <w:rFonts w:cs="Calibri"/>
                <w:b/>
                <w:bCs/>
                <w:color w:val="E46D0A"/>
                <w:sz w:val="19"/>
                <w:szCs w:val="19"/>
              </w:rPr>
              <w:t>Respiration (ecosystem)</w:t>
            </w:r>
          </w:p>
        </w:tc>
        <w:tc>
          <w:tcPr>
            <w:tcW w:w="7035" w:type="dxa"/>
            <w:tcBorders>
              <w:top w:val="nil"/>
              <w:left w:val="nil"/>
              <w:bottom w:val="nil"/>
              <w:right w:val="nil"/>
            </w:tcBorders>
            <w:shd w:val="clear" w:color="auto" w:fill="auto"/>
            <w:noWrap/>
          </w:tcPr>
          <w:p w14:paraId="4BF4B25A" w14:textId="77777777" w:rsidR="001922D0" w:rsidRPr="004E0E6F" w:rsidRDefault="001922D0" w:rsidP="00D632F9">
            <w:pPr>
              <w:spacing w:before="0" w:after="40" w:line="240" w:lineRule="auto"/>
              <w:rPr>
                <w:rFonts w:cs="Calibri"/>
                <w:color w:val="auto"/>
                <w:sz w:val="19"/>
                <w:szCs w:val="19"/>
              </w:rPr>
            </w:pPr>
            <w:r w:rsidRPr="004E0E6F">
              <w:rPr>
                <w:rFonts w:cs="Calibri"/>
                <w:color w:val="auto"/>
                <w:sz w:val="19"/>
                <w:szCs w:val="19"/>
              </w:rPr>
              <w:t>Ecosystem respiration is the measure of oxygen depletion in water by respiring animals.</w:t>
            </w:r>
          </w:p>
        </w:tc>
      </w:tr>
      <w:tr w:rsidR="001922D0" w:rsidRPr="004E0E6F" w14:paraId="1DE0293B" w14:textId="77777777" w:rsidTr="00D6493B">
        <w:trPr>
          <w:cantSplit/>
          <w:trHeight w:val="283"/>
        </w:trPr>
        <w:tc>
          <w:tcPr>
            <w:tcW w:w="1894" w:type="dxa"/>
            <w:tcBorders>
              <w:top w:val="nil"/>
              <w:left w:val="nil"/>
              <w:bottom w:val="nil"/>
              <w:right w:val="nil"/>
            </w:tcBorders>
            <w:shd w:val="clear" w:color="auto" w:fill="auto"/>
            <w:noWrap/>
          </w:tcPr>
          <w:p w14:paraId="76EEC332" w14:textId="77777777" w:rsidR="001922D0" w:rsidRPr="004E0E6F" w:rsidRDefault="001922D0" w:rsidP="00D632F9">
            <w:pPr>
              <w:spacing w:before="0" w:after="40" w:line="240" w:lineRule="auto"/>
              <w:rPr>
                <w:rFonts w:cs="Calibri"/>
                <w:b/>
                <w:bCs/>
                <w:color w:val="E46D0A"/>
                <w:sz w:val="19"/>
                <w:szCs w:val="19"/>
              </w:rPr>
            </w:pPr>
            <w:r w:rsidRPr="004E0E6F">
              <w:rPr>
                <w:rFonts w:cs="Calibri"/>
                <w:b/>
                <w:bCs/>
                <w:color w:val="E46D0A"/>
                <w:sz w:val="19"/>
                <w:szCs w:val="19"/>
              </w:rPr>
              <w:t>RMIF</w:t>
            </w:r>
          </w:p>
        </w:tc>
        <w:tc>
          <w:tcPr>
            <w:tcW w:w="7035" w:type="dxa"/>
            <w:tcBorders>
              <w:top w:val="nil"/>
              <w:left w:val="nil"/>
              <w:bottom w:val="nil"/>
              <w:right w:val="nil"/>
            </w:tcBorders>
            <w:shd w:val="clear" w:color="auto" w:fill="auto"/>
            <w:noWrap/>
          </w:tcPr>
          <w:p w14:paraId="40C342A2" w14:textId="77777777" w:rsidR="001922D0" w:rsidRPr="004E0E6F" w:rsidRDefault="001922D0" w:rsidP="00D632F9">
            <w:pPr>
              <w:spacing w:before="0" w:after="40" w:line="240" w:lineRule="auto"/>
              <w:rPr>
                <w:rFonts w:cs="Calibri"/>
                <w:color w:val="auto"/>
                <w:sz w:val="19"/>
                <w:szCs w:val="19"/>
              </w:rPr>
            </w:pPr>
            <w:r w:rsidRPr="004E0E6F">
              <w:rPr>
                <w:color w:val="auto"/>
                <w:sz w:val="19"/>
                <w:szCs w:val="19"/>
              </w:rPr>
              <w:t>River Murray Increased Flows: a type of environmental water. Water entitlements recovered under the Snowy Water Initiative (established in 2002) via infrastructure upgrades and water purchase, which receive annual allocations and are used to supply environmental water to the Snowy River (Snowy River Increased Flows, SRIF) and River Murray (RMIF).</w:t>
            </w:r>
          </w:p>
        </w:tc>
      </w:tr>
      <w:tr w:rsidR="001922D0" w:rsidRPr="004E0E6F" w14:paraId="4C1FD065" w14:textId="77777777" w:rsidTr="00D6493B">
        <w:trPr>
          <w:cantSplit/>
          <w:trHeight w:val="283"/>
        </w:trPr>
        <w:tc>
          <w:tcPr>
            <w:tcW w:w="1894" w:type="dxa"/>
            <w:tcBorders>
              <w:top w:val="nil"/>
              <w:left w:val="nil"/>
              <w:bottom w:val="nil"/>
              <w:right w:val="nil"/>
            </w:tcBorders>
            <w:shd w:val="clear" w:color="auto" w:fill="auto"/>
            <w:noWrap/>
          </w:tcPr>
          <w:p w14:paraId="3B9A70E2" w14:textId="77777777" w:rsidR="001922D0" w:rsidRPr="004E0E6F" w:rsidRDefault="001922D0" w:rsidP="00D632F9">
            <w:pPr>
              <w:spacing w:before="0" w:after="40" w:line="240" w:lineRule="auto"/>
              <w:rPr>
                <w:rFonts w:cs="Calibri"/>
                <w:b/>
                <w:bCs/>
                <w:color w:val="E46D0A"/>
                <w:sz w:val="19"/>
                <w:szCs w:val="19"/>
              </w:rPr>
            </w:pPr>
            <w:r w:rsidRPr="004E0E6F">
              <w:rPr>
                <w:rFonts w:cs="Calibri"/>
                <w:b/>
                <w:bCs/>
                <w:color w:val="E46D0A"/>
                <w:sz w:val="19"/>
                <w:szCs w:val="19"/>
              </w:rPr>
              <w:t>Primary productivity</w:t>
            </w:r>
          </w:p>
        </w:tc>
        <w:tc>
          <w:tcPr>
            <w:tcW w:w="7035" w:type="dxa"/>
            <w:tcBorders>
              <w:top w:val="nil"/>
              <w:left w:val="nil"/>
              <w:bottom w:val="nil"/>
              <w:right w:val="nil"/>
            </w:tcBorders>
            <w:shd w:val="clear" w:color="auto" w:fill="auto"/>
            <w:noWrap/>
          </w:tcPr>
          <w:p w14:paraId="2EE96DA3" w14:textId="77777777" w:rsidR="001922D0" w:rsidRPr="004E0E6F" w:rsidRDefault="001922D0" w:rsidP="00D632F9">
            <w:pPr>
              <w:spacing w:before="0" w:after="40" w:line="240" w:lineRule="auto"/>
              <w:rPr>
                <w:color w:val="auto"/>
                <w:sz w:val="19"/>
                <w:szCs w:val="19"/>
              </w:rPr>
            </w:pPr>
            <w:r w:rsidRPr="004E0E6F">
              <w:rPr>
                <w:rFonts w:cs="Calibri"/>
                <w:color w:val="auto"/>
                <w:sz w:val="19"/>
                <w:szCs w:val="19"/>
              </w:rPr>
              <w:t>The rate at which energy is converted to organic substances by autotrophs (e.g. algae and plants) during photosynthesis.</w:t>
            </w:r>
          </w:p>
        </w:tc>
      </w:tr>
      <w:tr w:rsidR="003E486B" w:rsidRPr="004E0E6F" w14:paraId="60B02BBC" w14:textId="77777777" w:rsidTr="00D6493B">
        <w:trPr>
          <w:cantSplit/>
          <w:trHeight w:val="283"/>
        </w:trPr>
        <w:tc>
          <w:tcPr>
            <w:tcW w:w="1894" w:type="dxa"/>
            <w:tcBorders>
              <w:top w:val="nil"/>
              <w:left w:val="nil"/>
              <w:bottom w:val="nil"/>
              <w:right w:val="nil"/>
            </w:tcBorders>
            <w:shd w:val="clear" w:color="auto" w:fill="auto"/>
            <w:noWrap/>
          </w:tcPr>
          <w:p w14:paraId="4E894571" w14:textId="4400A580" w:rsidR="003E486B" w:rsidRPr="004E0E6F" w:rsidRDefault="003E486B" w:rsidP="00D632F9">
            <w:pPr>
              <w:spacing w:before="0" w:after="40" w:line="240" w:lineRule="auto"/>
              <w:rPr>
                <w:rFonts w:cs="Calibri"/>
                <w:b/>
                <w:bCs/>
                <w:color w:val="E46D0A"/>
                <w:sz w:val="19"/>
                <w:szCs w:val="19"/>
              </w:rPr>
            </w:pPr>
            <w:r>
              <w:rPr>
                <w:rFonts w:cs="Calibri"/>
                <w:b/>
                <w:bCs/>
                <w:color w:val="E46D0A"/>
                <w:sz w:val="19"/>
                <w:szCs w:val="19"/>
              </w:rPr>
              <w:t>Salt flux</w:t>
            </w:r>
          </w:p>
        </w:tc>
        <w:tc>
          <w:tcPr>
            <w:tcW w:w="7035" w:type="dxa"/>
            <w:tcBorders>
              <w:top w:val="nil"/>
              <w:left w:val="nil"/>
              <w:bottom w:val="nil"/>
              <w:right w:val="nil"/>
            </w:tcBorders>
            <w:shd w:val="clear" w:color="auto" w:fill="auto"/>
            <w:noWrap/>
          </w:tcPr>
          <w:p w14:paraId="0339EFC6" w14:textId="21795F34" w:rsidR="003E486B" w:rsidRPr="004E0E6F" w:rsidRDefault="00786DFE" w:rsidP="00D632F9">
            <w:pPr>
              <w:spacing w:before="0" w:after="40" w:line="240" w:lineRule="auto"/>
              <w:rPr>
                <w:rFonts w:cs="Calibri"/>
                <w:color w:val="auto"/>
                <w:sz w:val="19"/>
                <w:szCs w:val="19"/>
              </w:rPr>
            </w:pPr>
            <w:r>
              <w:rPr>
                <w:rFonts w:cs="Calibri"/>
                <w:color w:val="auto"/>
                <w:sz w:val="19"/>
                <w:szCs w:val="19"/>
              </w:rPr>
              <w:t>The measure (mass/time) of the movement of salt over a given area or point.</w:t>
            </w:r>
          </w:p>
        </w:tc>
      </w:tr>
      <w:tr w:rsidR="005C6F19" w:rsidRPr="004E0E6F" w14:paraId="1098B7DF" w14:textId="77777777" w:rsidTr="00D6493B">
        <w:trPr>
          <w:cantSplit/>
          <w:trHeight w:val="283"/>
        </w:trPr>
        <w:tc>
          <w:tcPr>
            <w:tcW w:w="1894" w:type="dxa"/>
            <w:shd w:val="clear" w:color="auto" w:fill="auto"/>
            <w:noWrap/>
          </w:tcPr>
          <w:p w14:paraId="5841FD14" w14:textId="5F6A9981" w:rsidR="005C6F19" w:rsidRPr="004E0E6F" w:rsidRDefault="005C6F19" w:rsidP="005C6F19">
            <w:pPr>
              <w:spacing w:before="0" w:after="40" w:line="240" w:lineRule="auto"/>
              <w:rPr>
                <w:rFonts w:cs="Calibri"/>
                <w:b/>
                <w:bCs/>
                <w:color w:val="E46D0A"/>
                <w:sz w:val="19"/>
                <w:szCs w:val="19"/>
              </w:rPr>
            </w:pPr>
            <w:r>
              <w:rPr>
                <w:rFonts w:cs="Calibri"/>
                <w:b/>
                <w:bCs/>
                <w:color w:val="E46D0A"/>
                <w:sz w:val="19"/>
                <w:szCs w:val="19"/>
              </w:rPr>
              <w:t>Southern connected Basin</w:t>
            </w:r>
          </w:p>
        </w:tc>
        <w:tc>
          <w:tcPr>
            <w:tcW w:w="7035" w:type="dxa"/>
            <w:noWrap/>
          </w:tcPr>
          <w:p w14:paraId="7696C1E0" w14:textId="341C88D2" w:rsidR="005C6F19" w:rsidRPr="004E0E6F" w:rsidRDefault="005C6F19" w:rsidP="005C6F19">
            <w:pPr>
              <w:spacing w:before="0" w:after="40" w:line="240" w:lineRule="auto"/>
              <w:rPr>
                <w:sz w:val="19"/>
                <w:szCs w:val="19"/>
              </w:rPr>
            </w:pPr>
            <w:r>
              <w:rPr>
                <w:rFonts w:cs="Calibri"/>
                <w:color w:val="auto"/>
                <w:sz w:val="19"/>
                <w:szCs w:val="19"/>
              </w:rPr>
              <w:t>The southern c</w:t>
            </w:r>
            <w:r w:rsidRPr="00D14223">
              <w:rPr>
                <w:rFonts w:cs="Calibri"/>
                <w:color w:val="auto"/>
                <w:sz w:val="19"/>
                <w:szCs w:val="19"/>
              </w:rPr>
              <w:t>onnected Basin is a network of the Murray River and all tributaries that flow into it between the Hume Dam and the sea. The Lower Darling (below Menindee Lakes) is considered part of the Southern Connected Basin, whilst all rivers upstream of Menindee Lakes are considered as the Northern Basin.</w:t>
            </w:r>
          </w:p>
        </w:tc>
      </w:tr>
      <w:tr w:rsidR="00707422" w:rsidRPr="004E0E6F" w14:paraId="13CF3F5C" w14:textId="77777777" w:rsidTr="00D6493B">
        <w:trPr>
          <w:cantSplit/>
          <w:trHeight w:val="283"/>
        </w:trPr>
        <w:tc>
          <w:tcPr>
            <w:tcW w:w="1894" w:type="dxa"/>
            <w:shd w:val="clear" w:color="auto" w:fill="auto"/>
            <w:noWrap/>
          </w:tcPr>
          <w:p w14:paraId="16848559" w14:textId="12383209" w:rsidR="00707422" w:rsidRDefault="00707422" w:rsidP="005C6F19">
            <w:pPr>
              <w:spacing w:before="0" w:after="40" w:line="240" w:lineRule="auto"/>
              <w:rPr>
                <w:rFonts w:cs="Calibri"/>
                <w:b/>
                <w:bCs/>
                <w:color w:val="E46D0A"/>
                <w:sz w:val="19"/>
                <w:szCs w:val="19"/>
              </w:rPr>
            </w:pPr>
            <w:r>
              <w:rPr>
                <w:rFonts w:cs="Calibri"/>
                <w:b/>
                <w:bCs/>
                <w:color w:val="E46D0A"/>
                <w:sz w:val="19"/>
                <w:szCs w:val="19"/>
              </w:rPr>
              <w:t>QSA</w:t>
            </w:r>
          </w:p>
        </w:tc>
        <w:tc>
          <w:tcPr>
            <w:tcW w:w="7035" w:type="dxa"/>
            <w:noWrap/>
          </w:tcPr>
          <w:p w14:paraId="74FC72DB" w14:textId="26A8A054" w:rsidR="00707422" w:rsidRDefault="002E2000" w:rsidP="005C6F19">
            <w:pPr>
              <w:spacing w:before="0" w:after="40" w:line="240" w:lineRule="auto"/>
              <w:rPr>
                <w:rFonts w:cs="Calibri"/>
                <w:color w:val="auto"/>
                <w:sz w:val="19"/>
                <w:szCs w:val="19"/>
              </w:rPr>
            </w:pPr>
            <w:r>
              <w:rPr>
                <w:rFonts w:cs="Calibri"/>
                <w:color w:val="auto"/>
                <w:sz w:val="19"/>
                <w:szCs w:val="19"/>
              </w:rPr>
              <w:t xml:space="preserve">Murray River discharge (Q) to South Australia at the SA-NSW border. </w:t>
            </w:r>
          </w:p>
        </w:tc>
      </w:tr>
      <w:tr w:rsidR="001922D0" w:rsidRPr="004E0E6F" w14:paraId="5C14117E" w14:textId="77777777" w:rsidTr="00D6493B">
        <w:trPr>
          <w:cantSplit/>
          <w:trHeight w:val="283"/>
        </w:trPr>
        <w:tc>
          <w:tcPr>
            <w:tcW w:w="1894" w:type="dxa"/>
            <w:tcBorders>
              <w:top w:val="nil"/>
              <w:left w:val="nil"/>
              <w:bottom w:val="nil"/>
              <w:right w:val="nil"/>
            </w:tcBorders>
            <w:shd w:val="clear" w:color="auto" w:fill="auto"/>
            <w:noWrap/>
          </w:tcPr>
          <w:p w14:paraId="7B8A85C9" w14:textId="77777777" w:rsidR="001922D0" w:rsidRPr="004E0E6F" w:rsidRDefault="001922D0" w:rsidP="00D632F9">
            <w:pPr>
              <w:spacing w:before="0" w:after="40" w:line="240" w:lineRule="auto"/>
              <w:rPr>
                <w:rFonts w:cs="Calibri"/>
                <w:b/>
                <w:bCs/>
                <w:color w:val="E46D0A"/>
                <w:sz w:val="19"/>
                <w:szCs w:val="19"/>
              </w:rPr>
            </w:pPr>
            <w:r w:rsidRPr="004E0E6F">
              <w:rPr>
                <w:rFonts w:cs="Calibri"/>
                <w:b/>
                <w:bCs/>
                <w:color w:val="E46D0A"/>
                <w:sz w:val="19"/>
                <w:szCs w:val="19"/>
              </w:rPr>
              <w:t>Unregulated flows</w:t>
            </w:r>
          </w:p>
        </w:tc>
        <w:tc>
          <w:tcPr>
            <w:tcW w:w="7035" w:type="dxa"/>
            <w:tcBorders>
              <w:top w:val="nil"/>
              <w:left w:val="nil"/>
              <w:bottom w:val="nil"/>
              <w:right w:val="nil"/>
            </w:tcBorders>
            <w:shd w:val="clear" w:color="auto" w:fill="auto"/>
            <w:noWrap/>
          </w:tcPr>
          <w:p w14:paraId="0C3B5AB9" w14:textId="77777777" w:rsidR="001922D0" w:rsidRPr="004E0E6F" w:rsidRDefault="001922D0" w:rsidP="00D632F9">
            <w:pPr>
              <w:spacing w:before="0" w:after="40" w:line="240" w:lineRule="auto"/>
              <w:rPr>
                <w:color w:val="auto"/>
                <w:sz w:val="19"/>
                <w:szCs w:val="19"/>
              </w:rPr>
            </w:pPr>
            <w:r w:rsidRPr="004E0E6F">
              <w:rPr>
                <w:sz w:val="19"/>
                <w:szCs w:val="19"/>
              </w:rPr>
              <w:t xml:space="preserve">Unregulated flows occur when water in the system exceeds demands and are declared to be unregulated by the appropriate authority (source: </w:t>
            </w:r>
            <w:hyperlink r:id="rId143" w:history="1">
              <w:r w:rsidRPr="004E0E6F">
                <w:rPr>
                  <w:rStyle w:val="Hyperlink"/>
                  <w:rFonts w:eastAsiaTheme="majorEastAsia"/>
                  <w:sz w:val="19"/>
                  <w:szCs w:val="19"/>
                </w:rPr>
                <w:t>http://www.bom.gov.au/water/awid/id-1026.shtml</w:t>
              </w:r>
            </w:hyperlink>
            <w:r w:rsidRPr="004E0E6F">
              <w:rPr>
                <w:sz w:val="19"/>
                <w:szCs w:val="19"/>
              </w:rPr>
              <w:t>). They can be driven by substantial rainfall from upper tributaries, spills from headwork storages and rainfall rejection events.</w:t>
            </w:r>
          </w:p>
        </w:tc>
      </w:tr>
      <w:tr w:rsidR="001922D0" w:rsidRPr="004E0E6F" w14:paraId="14506956" w14:textId="77777777" w:rsidTr="00D6493B">
        <w:trPr>
          <w:cantSplit/>
          <w:trHeight w:val="283"/>
        </w:trPr>
        <w:tc>
          <w:tcPr>
            <w:tcW w:w="1894" w:type="dxa"/>
            <w:tcBorders>
              <w:top w:val="nil"/>
              <w:left w:val="nil"/>
              <w:bottom w:val="nil"/>
              <w:right w:val="nil"/>
            </w:tcBorders>
            <w:shd w:val="clear" w:color="auto" w:fill="auto"/>
            <w:noWrap/>
          </w:tcPr>
          <w:p w14:paraId="08F00803" w14:textId="77777777" w:rsidR="001922D0" w:rsidRPr="004E0E6F" w:rsidRDefault="001922D0" w:rsidP="00D632F9">
            <w:pPr>
              <w:spacing w:before="0" w:after="40" w:line="240" w:lineRule="auto"/>
              <w:rPr>
                <w:rFonts w:cs="Calibri"/>
                <w:b/>
                <w:bCs/>
                <w:color w:val="E46D0A"/>
                <w:sz w:val="19"/>
                <w:szCs w:val="19"/>
              </w:rPr>
            </w:pPr>
            <w:r w:rsidRPr="004E0E6F">
              <w:rPr>
                <w:rFonts w:cs="Calibri"/>
                <w:b/>
                <w:bCs/>
                <w:color w:val="E46D0A"/>
                <w:sz w:val="19"/>
                <w:szCs w:val="19"/>
              </w:rPr>
              <w:t>Weir pool</w:t>
            </w:r>
          </w:p>
        </w:tc>
        <w:tc>
          <w:tcPr>
            <w:tcW w:w="7035" w:type="dxa"/>
            <w:tcBorders>
              <w:top w:val="nil"/>
              <w:left w:val="nil"/>
              <w:bottom w:val="nil"/>
              <w:right w:val="nil"/>
            </w:tcBorders>
            <w:shd w:val="clear" w:color="auto" w:fill="auto"/>
            <w:noWrap/>
          </w:tcPr>
          <w:p w14:paraId="7B700A84" w14:textId="77777777" w:rsidR="001922D0" w:rsidRPr="004E0E6F" w:rsidRDefault="001922D0" w:rsidP="00D632F9">
            <w:pPr>
              <w:spacing w:before="0" w:after="40" w:line="240" w:lineRule="auto"/>
              <w:rPr>
                <w:sz w:val="19"/>
                <w:szCs w:val="19"/>
              </w:rPr>
            </w:pPr>
            <w:r w:rsidRPr="004E0E6F">
              <w:rPr>
                <w:rFonts w:cs="Calibri"/>
                <w:color w:val="auto"/>
                <w:sz w:val="19"/>
                <w:szCs w:val="19"/>
              </w:rPr>
              <w:t>Stretch of river between two weirs.</w:t>
            </w:r>
          </w:p>
        </w:tc>
      </w:tr>
    </w:tbl>
    <w:p w14:paraId="788E77A9" w14:textId="77777777" w:rsidR="000A65FC" w:rsidRDefault="000A65FC" w:rsidP="009A6F22"/>
    <w:sectPr w:rsidR="000A65FC" w:rsidSect="005647FE">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C775F2" w14:textId="77777777" w:rsidR="00D1357A" w:rsidRDefault="00D1357A" w:rsidP="00CC1E80">
      <w:pPr>
        <w:spacing w:before="0" w:after="0" w:line="240" w:lineRule="auto"/>
      </w:pPr>
      <w:r>
        <w:separator/>
      </w:r>
    </w:p>
  </w:endnote>
  <w:endnote w:type="continuationSeparator" w:id="0">
    <w:p w14:paraId="52BEA124" w14:textId="77777777" w:rsidR="00D1357A" w:rsidRDefault="00D1357A" w:rsidP="00CC1E80">
      <w:pPr>
        <w:spacing w:before="0" w:after="0" w:line="240" w:lineRule="auto"/>
      </w:pPr>
      <w:r>
        <w:continuationSeparator/>
      </w:r>
    </w:p>
  </w:endnote>
  <w:endnote w:type="continuationNotice" w:id="1">
    <w:p w14:paraId="7BB2FF57" w14:textId="77777777" w:rsidR="00D1357A" w:rsidRDefault="00D1357A">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icrosoft Himalaya">
    <w:panose1 w:val="01010100010101010101"/>
    <w:charset w:val="00"/>
    <w:family w:val="auto"/>
    <w:pitch w:val="variable"/>
    <w:sig w:usb0="80000003" w:usb1="00010000" w:usb2="0000004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Frutiger LT Std 45 Light">
    <w:altName w:val="Times New Roman"/>
    <w:panose1 w:val="00000000000000000000"/>
    <w:charset w:val="00"/>
    <w:family w:val="roman"/>
    <w:notTrueType/>
    <w:pitch w:val="default"/>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 w:name="Consolas">
    <w:panose1 w:val="020B0609020204030204"/>
    <w:charset w:val="00"/>
    <w:family w:val="modern"/>
    <w:pitch w:val="fixed"/>
    <w:sig w:usb0="E00006FF" w:usb1="0000FCFF" w:usb2="00000001" w:usb3="00000000" w:csb0="0000019F" w:csb1="00000000"/>
  </w:font>
  <w:font w:name="Arial Bold">
    <w:altName w:val="Arial"/>
    <w:panose1 w:val="020B07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libri,Bold">
    <w:altName w:val="Calibri"/>
    <w:panose1 w:val="00000000000000000000"/>
    <w:charset w:val="00"/>
    <w:family w:val="swiss"/>
    <w:notTrueType/>
    <w:pitch w:val="default"/>
    <w:sig w:usb0="00000003" w:usb1="00000000" w:usb2="00000000" w:usb3="00000000" w:csb0="00000001" w:csb1="00000000"/>
  </w:font>
  <w:font w:name="CenturyGothic">
    <w:altName w:val="Calibri"/>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CA1538" w14:textId="77777777" w:rsidR="00A24026" w:rsidRDefault="00A24026" w:rsidP="00D632F9">
    <w:pPr>
      <w:pStyle w:val="Footer"/>
    </w:pP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626F87" w14:textId="2A000433" w:rsidR="00A24026" w:rsidRDefault="00A24026" w:rsidP="00D632F9">
    <w:pPr>
      <w:pStyle w:val="Footer"/>
    </w:pPr>
    <w:r>
      <w:t xml:space="preserve">Ye </w:t>
    </w:r>
    <w:r w:rsidRPr="00FA5207">
      <w:rPr>
        <w:i/>
      </w:rPr>
      <w:t>et al.</w:t>
    </w:r>
    <w:r>
      <w:t xml:space="preserve"> 2021</w:t>
    </w:r>
    <w:r>
      <w:tab/>
      <w:t>CEWO MER Report</w:t>
    </w:r>
    <w:r w:rsidRPr="00A62C74">
      <w:t xml:space="preserve">. </w:t>
    </w:r>
    <w:r w:rsidRPr="00627C14">
      <w:rPr>
        <w:i/>
      </w:rPr>
      <w:t xml:space="preserve">Lower Murray </w:t>
    </w:r>
    <w:r>
      <w:rPr>
        <w:i/>
      </w:rPr>
      <w:t xml:space="preserve">Selected Area, </w:t>
    </w:r>
    <w:r w:rsidRPr="00627C14">
      <w:rPr>
        <w:i/>
      </w:rPr>
      <w:t>201</w:t>
    </w:r>
    <w:r>
      <w:rPr>
        <w:i/>
      </w:rPr>
      <w:t>9-20</w:t>
    </w:r>
    <w:r>
      <w:tab/>
    </w:r>
    <w:r>
      <w:fldChar w:fldCharType="begin"/>
    </w:r>
    <w:r>
      <w:instrText xml:space="preserve"> PAGE   \* MERGEFORMAT </w:instrText>
    </w:r>
    <w:r>
      <w:fldChar w:fldCharType="separate"/>
    </w:r>
    <w:r>
      <w:rPr>
        <w:noProof/>
      </w:rPr>
      <w:t>49</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76B311" w14:textId="08B32217" w:rsidR="00A24026" w:rsidRDefault="00A24026" w:rsidP="00310F23">
    <w:pPr>
      <w:pStyle w:val="Footer"/>
    </w:pPr>
    <w:r>
      <w:t xml:space="preserve">Ye </w:t>
    </w:r>
    <w:r w:rsidRPr="00FA5207">
      <w:rPr>
        <w:i/>
      </w:rPr>
      <w:t>et al.</w:t>
    </w:r>
    <w:r>
      <w:t xml:space="preserve"> 2021</w:t>
    </w:r>
    <w:r>
      <w:tab/>
      <w:t>CEWO MER Report</w:t>
    </w:r>
    <w:r w:rsidRPr="00A62C74">
      <w:t xml:space="preserve">. </w:t>
    </w:r>
    <w:r w:rsidRPr="00627C14">
      <w:rPr>
        <w:i/>
      </w:rPr>
      <w:t xml:space="preserve">Lower Murray </w:t>
    </w:r>
    <w:r>
      <w:rPr>
        <w:i/>
      </w:rPr>
      <w:t xml:space="preserve">Selected Area, </w:t>
    </w:r>
    <w:r w:rsidRPr="00627C14">
      <w:rPr>
        <w:i/>
      </w:rPr>
      <w:t>201</w:t>
    </w:r>
    <w:r>
      <w:rPr>
        <w:i/>
      </w:rPr>
      <w:t>9-20</w:t>
    </w:r>
    <w:sdt>
      <w:sdtPr>
        <w:id w:val="-1003581405"/>
        <w:docPartObj>
          <w:docPartGallery w:val="Page Numbers (Bottom of Page)"/>
          <w:docPartUnique/>
        </w:docPartObj>
      </w:sdtPr>
      <w:sdtEndPr/>
      <w:sdtContent>
        <w:r>
          <w:tab/>
        </w:r>
        <w:r>
          <w:fldChar w:fldCharType="begin"/>
        </w:r>
        <w:r>
          <w:instrText xml:space="preserve"> PAGE   \* MERGEFORMAT </w:instrText>
        </w:r>
        <w:r>
          <w:fldChar w:fldCharType="separate"/>
        </w:r>
        <w:r>
          <w:rPr>
            <w:noProof/>
          </w:rPr>
          <w:t>112</w:t>
        </w:r>
        <w:r>
          <w:rPr>
            <w:noProof/>
          </w:rPr>
          <w:fldChar w:fldCharType="end"/>
        </w:r>
      </w:sdtContent>
    </w:sdt>
  </w:p>
  <w:p w14:paraId="25C060F4" w14:textId="77777777" w:rsidR="00A24026" w:rsidRDefault="00A2402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FED2F6" w14:textId="77777777" w:rsidR="00D1357A" w:rsidRDefault="00D1357A" w:rsidP="00CC1E80">
      <w:pPr>
        <w:spacing w:before="0" w:after="0" w:line="240" w:lineRule="auto"/>
      </w:pPr>
      <w:r>
        <w:separator/>
      </w:r>
    </w:p>
  </w:footnote>
  <w:footnote w:type="continuationSeparator" w:id="0">
    <w:p w14:paraId="231D2C66" w14:textId="77777777" w:rsidR="00D1357A" w:rsidRDefault="00D1357A" w:rsidP="00CC1E80">
      <w:pPr>
        <w:spacing w:before="0" w:after="0" w:line="240" w:lineRule="auto"/>
      </w:pPr>
      <w:r>
        <w:continuationSeparator/>
      </w:r>
    </w:p>
  </w:footnote>
  <w:footnote w:type="continuationNotice" w:id="1">
    <w:p w14:paraId="0F80F842" w14:textId="77777777" w:rsidR="00D1357A" w:rsidRDefault="00D1357A">
      <w:pPr>
        <w:spacing w:before="0" w:after="0" w:line="240" w:lineRule="auto"/>
      </w:pPr>
    </w:p>
  </w:footnote>
  <w:footnote w:id="2">
    <w:p w14:paraId="54C8D516" w14:textId="4227E0E7" w:rsidR="00A24026" w:rsidRDefault="00A24026">
      <w:pPr>
        <w:pStyle w:val="FootnoteText"/>
      </w:pPr>
      <w:r>
        <w:rPr>
          <w:rStyle w:val="FootnoteReference"/>
        </w:rPr>
        <w:footnoteRef/>
      </w:r>
      <w:r>
        <w:t xml:space="preserve"> Environmental water volumes and percentages provided here exclude wetland pumping as this investigation focuses on the main channel of the LMR.</w:t>
      </w:r>
    </w:p>
  </w:footnote>
  <w:footnote w:id="3">
    <w:p w14:paraId="07922DBD" w14:textId="7D560282" w:rsidR="00A24026" w:rsidRDefault="00A24026">
      <w:pPr>
        <w:pStyle w:val="FootnoteText"/>
      </w:pPr>
      <w:r>
        <w:rPr>
          <w:rStyle w:val="FootnoteReference"/>
        </w:rPr>
        <w:footnoteRef/>
      </w:r>
      <w:r>
        <w:rPr>
          <w:sz w:val="18"/>
        </w:rPr>
        <w:t xml:space="preserve"> Hydrology (C</w:t>
      </w:r>
      <w:r w:rsidRPr="00E24BD1">
        <w:rPr>
          <w:sz w:val="18"/>
        </w:rPr>
        <w:t>hannel) does not directly address any specific CEWO evaluation question, but provides fundamental information for analysis and evaluation of monitoring outcomes against hydrological conditions and environmental water delivery for all other indicators. Results for this indicator are presented in Section</w:t>
      </w:r>
      <w:r>
        <w:rPr>
          <w:sz w:val="18"/>
        </w:rPr>
        <w:t xml:space="preserve"> </w:t>
      </w:r>
      <w:r>
        <w:rPr>
          <w:sz w:val="18"/>
        </w:rPr>
        <w:fldChar w:fldCharType="begin"/>
      </w:r>
      <w:r>
        <w:rPr>
          <w:sz w:val="18"/>
        </w:rPr>
        <w:instrText xml:space="preserve"> REF _Ref30588609 \r \h </w:instrText>
      </w:r>
      <w:r>
        <w:rPr>
          <w:sz w:val="18"/>
        </w:rPr>
      </w:r>
      <w:r>
        <w:rPr>
          <w:sz w:val="18"/>
        </w:rPr>
        <w:fldChar w:fldCharType="separate"/>
      </w:r>
      <w:r>
        <w:rPr>
          <w:sz w:val="18"/>
        </w:rPr>
        <w:t>1.4</w:t>
      </w:r>
      <w:r>
        <w:rPr>
          <w:sz w:val="18"/>
        </w:rPr>
        <w:fldChar w:fldCharType="end"/>
      </w:r>
      <w:r w:rsidRPr="00E24BD1">
        <w:rPr>
          <w:sz w:val="18"/>
        </w:rPr>
        <w:t xml:space="preserve">. </w:t>
      </w:r>
      <w:r>
        <w:t xml:space="preserve"> </w:t>
      </w:r>
    </w:p>
  </w:footnote>
  <w:footnote w:id="4">
    <w:p w14:paraId="4FC86AE1" w14:textId="575D38A3" w:rsidR="00A24026" w:rsidRDefault="00A24026">
      <w:pPr>
        <w:pStyle w:val="FootnoteText"/>
      </w:pPr>
      <w:r>
        <w:rPr>
          <w:rStyle w:val="FootnoteReference"/>
        </w:rPr>
        <w:footnoteRef/>
      </w:r>
      <w:r>
        <w:t xml:space="preserve"> </w:t>
      </w:r>
      <w:r w:rsidRPr="00502C3E">
        <w:t>“Direct trade” refers to an order for a specified volume of environmental water to be delivered at the South Australian border. Typically a timing and profile for the delivery is specified and river operators can meet the order by providing water from any available source.</w:t>
      </w:r>
    </w:p>
  </w:footnote>
  <w:footnote w:id="5">
    <w:p w14:paraId="6C8A011E" w14:textId="77777777" w:rsidR="00A24026" w:rsidRDefault="00A24026" w:rsidP="008B5883">
      <w:pPr>
        <w:pStyle w:val="FootnoteText"/>
      </w:pPr>
      <w:r w:rsidRPr="002A5DBE">
        <w:rPr>
          <w:rStyle w:val="FootnoteReference"/>
          <w:sz w:val="18"/>
        </w:rPr>
        <w:footnoteRef/>
      </w:r>
      <w:r w:rsidRPr="002A5DBE">
        <w:rPr>
          <w:sz w:val="18"/>
        </w:rPr>
        <w:t xml:space="preserve"> Molecules of water, nutrients, and the biological matter transported downstream often move slower than the wave front that is recorded as the change in flow discharge (Chow </w:t>
      </w:r>
      <w:r w:rsidRPr="00E24BD1">
        <w:rPr>
          <w:i/>
          <w:sz w:val="18"/>
        </w:rPr>
        <w:t>et al.</w:t>
      </w:r>
      <w:r w:rsidRPr="002A5DBE">
        <w:rPr>
          <w:sz w:val="18"/>
        </w:rPr>
        <w:t xml:space="preserve"> 1988). To account for this, the MDBA has used Bigmod salinity routines as a proxy for transport of biological matter, to estimate the proportion of the flow at the South Australian border that originated at different upstream tributaries. While acknowledging potential difference in travel time between salt and other matter, this approach is preferred over estimating travel times based on observed changes in flow along the main channel.</w:t>
      </w:r>
    </w:p>
  </w:footnote>
  <w:footnote w:id="6">
    <w:p w14:paraId="18423356" w14:textId="13244DAF" w:rsidR="00A24026" w:rsidRDefault="00A24026">
      <w:pPr>
        <w:pStyle w:val="FootnoteText"/>
      </w:pPr>
      <w:r>
        <w:rPr>
          <w:rStyle w:val="FootnoteReference"/>
        </w:rPr>
        <w:footnoteRef/>
      </w:r>
      <w:r>
        <w:t xml:space="preserve"> </w:t>
      </w:r>
      <w:r w:rsidRPr="00A00A6E">
        <w:t>‘Floodplain associated’ microinvertebrates are those that are thought to benefit from floodplain environments</w:t>
      </w:r>
      <w:r>
        <w:t>.</w:t>
      </w:r>
    </w:p>
  </w:footnote>
  <w:footnote w:id="7">
    <w:p w14:paraId="554620A0" w14:textId="0AE3376E" w:rsidR="00A24026" w:rsidRPr="00B97E9C" w:rsidRDefault="00A24026" w:rsidP="00EA35F8">
      <w:pPr>
        <w:pStyle w:val="FootnoteText"/>
      </w:pPr>
      <w:r>
        <w:rPr>
          <w:rStyle w:val="FootnoteReference"/>
        </w:rPr>
        <w:footnoteRef/>
      </w:r>
      <w:r>
        <w:t>‘</w:t>
      </w:r>
      <w:r w:rsidRPr="00B97E9C">
        <w:rPr>
          <w:i/>
        </w:rPr>
        <w:t>Trichocerca pusilla</w:t>
      </w:r>
      <w:r>
        <w:t xml:space="preserve"> complex’ is a group of morphologically similar species which are highly difficult to discriminate, including </w:t>
      </w:r>
      <w:r w:rsidRPr="00B97E9C">
        <w:rPr>
          <w:i/>
        </w:rPr>
        <w:t>Trichocerca pusilla</w:t>
      </w:r>
      <w:r>
        <w:rPr>
          <w:i/>
        </w:rPr>
        <w:t xml:space="preserve">, </w:t>
      </w:r>
      <w:r w:rsidRPr="00B97E9C">
        <w:rPr>
          <w:i/>
        </w:rPr>
        <w:t>T</w:t>
      </w:r>
      <w:r>
        <w:rPr>
          <w:i/>
        </w:rPr>
        <w:t>.</w:t>
      </w:r>
      <w:r w:rsidRPr="00B97E9C">
        <w:rPr>
          <w:i/>
        </w:rPr>
        <w:t xml:space="preserve"> agnatha</w:t>
      </w:r>
      <w:r>
        <w:t xml:space="preserve"> and one or more undescribed </w:t>
      </w:r>
      <w:r>
        <w:rPr>
          <w:i/>
        </w:rPr>
        <w:t xml:space="preserve">Trichocerca </w:t>
      </w:r>
      <w:r>
        <w:t>species.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BA788D" w14:textId="2FFAD9BA" w:rsidR="00A24026" w:rsidRDefault="00A2402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32DB9"/>
    <w:multiLevelType w:val="multilevel"/>
    <w:tmpl w:val="E5E89F92"/>
    <w:styleLink w:val="BulletList"/>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lvl>
    <w:lvl w:ilvl="2">
      <w:start w:val="1"/>
      <w:numFmt w:val="none"/>
      <w:lvlText w:val=":"/>
      <w:lvlJc w:val="left"/>
      <w:pPr>
        <w:ind w:left="1106" w:hanging="369"/>
      </w:pPr>
    </w:lvl>
    <w:lvl w:ilvl="3">
      <w:start w:val="1"/>
      <w:numFmt w:val="none"/>
      <w:lvlText w:val=""/>
      <w:lvlJc w:val="left"/>
      <w:pPr>
        <w:ind w:left="1474" w:hanging="368"/>
      </w:pPr>
      <w:rPr>
        <w:color w:val="auto"/>
      </w:rPr>
    </w:lvl>
    <w:lvl w:ilvl="4">
      <w:start w:val="1"/>
      <w:numFmt w:val="none"/>
      <w:lvlText w:val=""/>
      <w:lvlJc w:val="left"/>
      <w:pPr>
        <w:ind w:left="1800" w:hanging="360"/>
      </w:pPr>
      <w:rPr>
        <w:color w:val="auto"/>
      </w:rPr>
    </w:lvl>
    <w:lvl w:ilvl="5">
      <w:start w:val="1"/>
      <w:numFmt w:val="none"/>
      <w:lvlText w:val=""/>
      <w:lvlJc w:val="left"/>
      <w:pPr>
        <w:ind w:left="2160" w:hanging="360"/>
      </w:pPr>
      <w:rPr>
        <w:color w:val="auto"/>
      </w:rPr>
    </w:lvl>
    <w:lvl w:ilvl="6">
      <w:start w:val="1"/>
      <w:numFmt w:val="none"/>
      <w:lvlText w:val=""/>
      <w:lvlJc w:val="left"/>
      <w:pPr>
        <w:ind w:left="2520" w:hanging="360"/>
      </w:pPr>
      <w:rPr>
        <w:color w:val="auto"/>
      </w:rPr>
    </w:lvl>
    <w:lvl w:ilvl="7">
      <w:start w:val="1"/>
      <w:numFmt w:val="none"/>
      <w:lvlText w:val=""/>
      <w:lvlJc w:val="left"/>
      <w:pPr>
        <w:ind w:left="2880" w:hanging="360"/>
      </w:pPr>
      <w:rPr>
        <w:color w:val="auto"/>
      </w:rPr>
    </w:lvl>
    <w:lvl w:ilvl="8">
      <w:start w:val="1"/>
      <w:numFmt w:val="none"/>
      <w:lvlText w:val=""/>
      <w:lvlJc w:val="left"/>
      <w:pPr>
        <w:ind w:left="3240" w:hanging="360"/>
      </w:pPr>
      <w:rPr>
        <w:color w:val="auto"/>
      </w:rPr>
    </w:lvl>
  </w:abstractNum>
  <w:abstractNum w:abstractNumId="1" w15:restartNumberingAfterBreak="0">
    <w:nsid w:val="087C28E8"/>
    <w:multiLevelType w:val="hybridMultilevel"/>
    <w:tmpl w:val="8EDCEF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A215337"/>
    <w:multiLevelType w:val="hybridMultilevel"/>
    <w:tmpl w:val="35EE44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A7D0F15"/>
    <w:multiLevelType w:val="hybridMultilevel"/>
    <w:tmpl w:val="926CDB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B351B03"/>
    <w:multiLevelType w:val="hybridMultilevel"/>
    <w:tmpl w:val="D6C28C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D8F5C12"/>
    <w:multiLevelType w:val="hybridMultilevel"/>
    <w:tmpl w:val="C152EE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E631F8E"/>
    <w:multiLevelType w:val="hybridMultilevel"/>
    <w:tmpl w:val="9B76AF32"/>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7" w15:restartNumberingAfterBreak="0">
    <w:nsid w:val="10B52C61"/>
    <w:multiLevelType w:val="hybridMultilevel"/>
    <w:tmpl w:val="565685C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126A26E1"/>
    <w:multiLevelType w:val="hybridMultilevel"/>
    <w:tmpl w:val="9A24EA64"/>
    <w:lvl w:ilvl="0" w:tplc="0C090001">
      <w:start w:val="1"/>
      <w:numFmt w:val="bullet"/>
      <w:lvlText w:val=""/>
      <w:lvlJc w:val="left"/>
      <w:pPr>
        <w:ind w:left="360" w:hanging="360"/>
      </w:pPr>
      <w:rPr>
        <w:rFonts w:ascii="Symbol" w:hAnsi="Symbol" w:hint="default"/>
      </w:rPr>
    </w:lvl>
    <w:lvl w:ilvl="1" w:tplc="0C090001">
      <w:start w:val="1"/>
      <w:numFmt w:val="bullet"/>
      <w:lvlText w:val=""/>
      <w:lvlJc w:val="left"/>
      <w:pPr>
        <w:ind w:left="1080" w:hanging="360"/>
      </w:pPr>
      <w:rPr>
        <w:rFonts w:ascii="Symbol" w:hAnsi="Symbol"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13E57646"/>
    <w:multiLevelType w:val="hybridMultilevel"/>
    <w:tmpl w:val="436874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4E41CBD"/>
    <w:multiLevelType w:val="hybridMultilevel"/>
    <w:tmpl w:val="8E24A1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6097DE7"/>
    <w:multiLevelType w:val="singleLevel"/>
    <w:tmpl w:val="9B94E4FC"/>
    <w:lvl w:ilvl="0">
      <w:start w:val="1"/>
      <w:numFmt w:val="bullet"/>
      <w:pStyle w:val="Para0bullet"/>
      <w:lvlText w:val=""/>
      <w:lvlJc w:val="left"/>
      <w:pPr>
        <w:tabs>
          <w:tab w:val="num" w:pos="397"/>
        </w:tabs>
        <w:ind w:left="397" w:hanging="397"/>
      </w:pPr>
      <w:rPr>
        <w:rFonts w:ascii="Wingdings" w:hAnsi="Wingdings" w:hint="default"/>
        <w:sz w:val="12"/>
      </w:rPr>
    </w:lvl>
  </w:abstractNum>
  <w:abstractNum w:abstractNumId="12" w15:restartNumberingAfterBreak="0">
    <w:nsid w:val="16A31D62"/>
    <w:multiLevelType w:val="hybridMultilevel"/>
    <w:tmpl w:val="FBC096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CB752B9"/>
    <w:multiLevelType w:val="hybridMultilevel"/>
    <w:tmpl w:val="AF7CB0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F745BC2"/>
    <w:multiLevelType w:val="multilevel"/>
    <w:tmpl w:val="E5E89F92"/>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lvl>
    <w:lvl w:ilvl="2">
      <w:start w:val="1"/>
      <w:numFmt w:val="none"/>
      <w:lvlText w:val=":"/>
      <w:lvlJc w:val="left"/>
      <w:pPr>
        <w:ind w:left="1106" w:hanging="369"/>
      </w:pPr>
    </w:lvl>
    <w:lvl w:ilvl="3">
      <w:start w:val="1"/>
      <w:numFmt w:val="none"/>
      <w:lvlText w:val=""/>
      <w:lvlJc w:val="left"/>
      <w:pPr>
        <w:ind w:left="1474" w:hanging="368"/>
      </w:pPr>
      <w:rPr>
        <w:color w:val="auto"/>
      </w:rPr>
    </w:lvl>
    <w:lvl w:ilvl="4">
      <w:start w:val="1"/>
      <w:numFmt w:val="none"/>
      <w:lvlText w:val=""/>
      <w:lvlJc w:val="left"/>
      <w:pPr>
        <w:ind w:left="1800" w:hanging="360"/>
      </w:pPr>
      <w:rPr>
        <w:color w:val="auto"/>
      </w:rPr>
    </w:lvl>
    <w:lvl w:ilvl="5">
      <w:start w:val="1"/>
      <w:numFmt w:val="none"/>
      <w:lvlText w:val=""/>
      <w:lvlJc w:val="left"/>
      <w:pPr>
        <w:ind w:left="2160" w:hanging="360"/>
      </w:pPr>
      <w:rPr>
        <w:color w:val="auto"/>
      </w:rPr>
    </w:lvl>
    <w:lvl w:ilvl="6">
      <w:start w:val="1"/>
      <w:numFmt w:val="none"/>
      <w:lvlText w:val=""/>
      <w:lvlJc w:val="left"/>
      <w:pPr>
        <w:ind w:left="2520" w:hanging="360"/>
      </w:pPr>
      <w:rPr>
        <w:color w:val="auto"/>
      </w:rPr>
    </w:lvl>
    <w:lvl w:ilvl="7">
      <w:start w:val="1"/>
      <w:numFmt w:val="none"/>
      <w:lvlText w:val=""/>
      <w:lvlJc w:val="left"/>
      <w:pPr>
        <w:ind w:left="2880" w:hanging="360"/>
      </w:pPr>
      <w:rPr>
        <w:color w:val="auto"/>
      </w:rPr>
    </w:lvl>
    <w:lvl w:ilvl="8">
      <w:start w:val="1"/>
      <w:numFmt w:val="none"/>
      <w:lvlText w:val=""/>
      <w:lvlJc w:val="left"/>
      <w:pPr>
        <w:ind w:left="3240" w:hanging="360"/>
      </w:pPr>
      <w:rPr>
        <w:color w:val="auto"/>
      </w:rPr>
    </w:lvl>
  </w:abstractNum>
  <w:abstractNum w:abstractNumId="15" w15:restartNumberingAfterBreak="0">
    <w:nsid w:val="27E65A6F"/>
    <w:multiLevelType w:val="hybridMultilevel"/>
    <w:tmpl w:val="2E38A5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8156611"/>
    <w:multiLevelType w:val="hybridMultilevel"/>
    <w:tmpl w:val="BC882E96"/>
    <w:lvl w:ilvl="0" w:tplc="0C090005">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9014598"/>
    <w:multiLevelType w:val="hybridMultilevel"/>
    <w:tmpl w:val="0602E8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C2677DC"/>
    <w:multiLevelType w:val="hybridMultilevel"/>
    <w:tmpl w:val="144C2880"/>
    <w:lvl w:ilvl="0" w:tplc="0C090001">
      <w:start w:val="1"/>
      <w:numFmt w:val="bullet"/>
      <w:lvlText w:val=""/>
      <w:lvlJc w:val="left"/>
      <w:pPr>
        <w:ind w:left="842" w:hanging="360"/>
      </w:pPr>
      <w:rPr>
        <w:rFonts w:ascii="Symbol" w:hAnsi="Symbol" w:hint="default"/>
      </w:rPr>
    </w:lvl>
    <w:lvl w:ilvl="1" w:tplc="0C090019" w:tentative="1">
      <w:start w:val="1"/>
      <w:numFmt w:val="lowerLetter"/>
      <w:lvlText w:val="%2."/>
      <w:lvlJc w:val="left"/>
      <w:pPr>
        <w:ind w:left="1562" w:hanging="360"/>
      </w:pPr>
    </w:lvl>
    <w:lvl w:ilvl="2" w:tplc="0C09001B" w:tentative="1">
      <w:start w:val="1"/>
      <w:numFmt w:val="lowerRoman"/>
      <w:lvlText w:val="%3."/>
      <w:lvlJc w:val="right"/>
      <w:pPr>
        <w:ind w:left="2282" w:hanging="180"/>
      </w:pPr>
    </w:lvl>
    <w:lvl w:ilvl="3" w:tplc="0C09000F" w:tentative="1">
      <w:start w:val="1"/>
      <w:numFmt w:val="decimal"/>
      <w:lvlText w:val="%4."/>
      <w:lvlJc w:val="left"/>
      <w:pPr>
        <w:ind w:left="3002" w:hanging="360"/>
      </w:pPr>
    </w:lvl>
    <w:lvl w:ilvl="4" w:tplc="0C090019" w:tentative="1">
      <w:start w:val="1"/>
      <w:numFmt w:val="lowerLetter"/>
      <w:lvlText w:val="%5."/>
      <w:lvlJc w:val="left"/>
      <w:pPr>
        <w:ind w:left="3722" w:hanging="360"/>
      </w:pPr>
    </w:lvl>
    <w:lvl w:ilvl="5" w:tplc="0C09001B" w:tentative="1">
      <w:start w:val="1"/>
      <w:numFmt w:val="lowerRoman"/>
      <w:lvlText w:val="%6."/>
      <w:lvlJc w:val="right"/>
      <w:pPr>
        <w:ind w:left="4442" w:hanging="180"/>
      </w:pPr>
    </w:lvl>
    <w:lvl w:ilvl="6" w:tplc="0C09000F" w:tentative="1">
      <w:start w:val="1"/>
      <w:numFmt w:val="decimal"/>
      <w:lvlText w:val="%7."/>
      <w:lvlJc w:val="left"/>
      <w:pPr>
        <w:ind w:left="5162" w:hanging="360"/>
      </w:pPr>
    </w:lvl>
    <w:lvl w:ilvl="7" w:tplc="0C090019" w:tentative="1">
      <w:start w:val="1"/>
      <w:numFmt w:val="lowerLetter"/>
      <w:lvlText w:val="%8."/>
      <w:lvlJc w:val="left"/>
      <w:pPr>
        <w:ind w:left="5882" w:hanging="360"/>
      </w:pPr>
    </w:lvl>
    <w:lvl w:ilvl="8" w:tplc="0C09001B" w:tentative="1">
      <w:start w:val="1"/>
      <w:numFmt w:val="lowerRoman"/>
      <w:lvlText w:val="%9."/>
      <w:lvlJc w:val="right"/>
      <w:pPr>
        <w:ind w:left="6602" w:hanging="180"/>
      </w:pPr>
    </w:lvl>
  </w:abstractNum>
  <w:abstractNum w:abstractNumId="19" w15:restartNumberingAfterBreak="0">
    <w:nsid w:val="37EE608E"/>
    <w:multiLevelType w:val="hybridMultilevel"/>
    <w:tmpl w:val="CBB44060"/>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38BA6745"/>
    <w:multiLevelType w:val="hybridMultilevel"/>
    <w:tmpl w:val="3FE0E3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9B233BD"/>
    <w:multiLevelType w:val="hybridMultilevel"/>
    <w:tmpl w:val="329CE4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39C1638A"/>
    <w:multiLevelType w:val="hybridMultilevel"/>
    <w:tmpl w:val="0CD81AA2"/>
    <w:lvl w:ilvl="0" w:tplc="0C090001">
      <w:start w:val="1"/>
      <w:numFmt w:val="bullet"/>
      <w:lvlText w:val=""/>
      <w:lvlJc w:val="left"/>
      <w:pPr>
        <w:ind w:left="720" w:hanging="360"/>
      </w:pPr>
      <w:rPr>
        <w:rFonts w:ascii="Symbol" w:hAnsi="Symbol" w:hint="default"/>
      </w:rPr>
    </w:lvl>
    <w:lvl w:ilvl="1" w:tplc="36585A3A">
      <w:start w:val="1"/>
      <w:numFmt w:val="bullet"/>
      <w:pStyle w:val="ListBullet2"/>
      <w:lvlText w:val="-"/>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3A3118D8"/>
    <w:multiLevelType w:val="multilevel"/>
    <w:tmpl w:val="22BA912C"/>
    <w:lvl w:ilvl="0">
      <w:start w:val="1"/>
      <w:numFmt w:val="decimal"/>
      <w:pStyle w:val="ListNumber"/>
      <w:lvlText w:val="%1."/>
      <w:lvlJc w:val="left"/>
      <w:pPr>
        <w:ind w:left="36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4" w15:restartNumberingAfterBreak="0">
    <w:nsid w:val="3E1600E5"/>
    <w:multiLevelType w:val="hybridMultilevel"/>
    <w:tmpl w:val="3EFCBC34"/>
    <w:lvl w:ilvl="0" w:tplc="8DDE240A">
      <w:start w:val="1"/>
      <w:numFmt w:val="bullet"/>
      <w:pStyle w:val="TableBullets"/>
      <w:lvlText w:val=""/>
      <w:lvlJc w:val="left"/>
      <w:pPr>
        <w:ind w:left="770" w:hanging="360"/>
      </w:pPr>
      <w:rPr>
        <w:rFonts w:ascii="Symbol" w:hAnsi="Symbol" w:hint="default"/>
      </w:rPr>
    </w:lvl>
    <w:lvl w:ilvl="1" w:tplc="04090003">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25" w15:restartNumberingAfterBreak="0">
    <w:nsid w:val="4036222C"/>
    <w:multiLevelType w:val="hybridMultilevel"/>
    <w:tmpl w:val="7616BD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6643968"/>
    <w:multiLevelType w:val="hybridMultilevel"/>
    <w:tmpl w:val="971A30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48C5737D"/>
    <w:multiLevelType w:val="hybridMultilevel"/>
    <w:tmpl w:val="9FFE3C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93B18F3"/>
    <w:multiLevelType w:val="hybridMultilevel"/>
    <w:tmpl w:val="84808098"/>
    <w:lvl w:ilvl="0" w:tplc="CF2ED404">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4D725720"/>
    <w:multiLevelType w:val="hybridMultilevel"/>
    <w:tmpl w:val="41F007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4F581AC7"/>
    <w:multiLevelType w:val="hybridMultilevel"/>
    <w:tmpl w:val="BCB62ADC"/>
    <w:lvl w:ilvl="0" w:tplc="B8E4A890">
      <w:start w:val="1"/>
      <w:numFmt w:val="bullet"/>
      <w:pStyle w:val="List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0C3160D"/>
    <w:multiLevelType w:val="hybridMultilevel"/>
    <w:tmpl w:val="428A05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50EB168E"/>
    <w:multiLevelType w:val="hybridMultilevel"/>
    <w:tmpl w:val="0666F41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53924BDF"/>
    <w:multiLevelType w:val="multilevel"/>
    <w:tmpl w:val="B7A27A3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4" w15:restartNumberingAfterBreak="0">
    <w:nsid w:val="55154E91"/>
    <w:multiLevelType w:val="multilevel"/>
    <w:tmpl w:val="45EAB2A6"/>
    <w:lvl w:ilvl="0">
      <w:start w:val="1"/>
      <w:numFmt w:val="decimal"/>
      <w:pStyle w:val="Heading1"/>
      <w:lvlText w:val="%1"/>
      <w:lvlJc w:val="left"/>
      <w:pPr>
        <w:ind w:left="851" w:hanging="851"/>
      </w:pPr>
      <w:rPr>
        <w:rFonts w:hint="default"/>
      </w:rPr>
    </w:lvl>
    <w:lvl w:ilvl="1">
      <w:start w:val="1"/>
      <w:numFmt w:val="decimal"/>
      <w:pStyle w:val="Heading2"/>
      <w:lvlText w:val="%1.%2"/>
      <w:lvlJc w:val="left"/>
      <w:pPr>
        <w:ind w:left="851" w:hanging="851"/>
      </w:pPr>
      <w:rPr>
        <w:rFonts w:hint="default"/>
      </w:rPr>
    </w:lvl>
    <w:lvl w:ilvl="2">
      <w:start w:val="1"/>
      <w:numFmt w:val="decimal"/>
      <w:lvlText w:val="%1.%2.%3"/>
      <w:lvlJc w:val="left"/>
      <w:pPr>
        <w:ind w:left="2552" w:hanging="850"/>
      </w:pPr>
      <w:rPr>
        <w:rFonts w:hint="default"/>
      </w:rPr>
    </w:lvl>
    <w:lvl w:ilvl="3">
      <w:start w:val="1"/>
      <w:numFmt w:val="none"/>
      <w:pStyle w:val="Heading4"/>
      <w:lvlText w:val=""/>
      <w:lvlJc w:val="left"/>
      <w:pPr>
        <w:ind w:left="1701" w:firstLine="0"/>
      </w:pPr>
      <w:rPr>
        <w:rFonts w:hint="default"/>
      </w:rPr>
    </w:lvl>
    <w:lvl w:ilvl="4">
      <w:start w:val="1"/>
      <w:numFmt w:val="none"/>
      <w:pStyle w:val="Heading5"/>
      <w:lvlText w:val=""/>
      <w:lvlJc w:val="left"/>
      <w:pPr>
        <w:ind w:left="1701" w:firstLine="0"/>
      </w:pPr>
      <w:rPr>
        <w:rFonts w:hint="default"/>
      </w:rPr>
    </w:lvl>
    <w:lvl w:ilvl="5">
      <w:start w:val="1"/>
      <w:numFmt w:val="none"/>
      <w:pStyle w:val="Heading6"/>
      <w:lvlText w:val=""/>
      <w:lvlJc w:val="left"/>
      <w:pPr>
        <w:ind w:left="1701" w:firstLine="0"/>
      </w:pPr>
      <w:rPr>
        <w:rFonts w:hint="default"/>
      </w:rPr>
    </w:lvl>
    <w:lvl w:ilvl="6">
      <w:start w:val="1"/>
      <w:numFmt w:val="none"/>
      <w:pStyle w:val="Heading7"/>
      <w:lvlText w:val=""/>
      <w:lvlJc w:val="left"/>
      <w:pPr>
        <w:ind w:left="1701" w:firstLine="0"/>
      </w:pPr>
      <w:rPr>
        <w:rFonts w:hint="default"/>
      </w:rPr>
    </w:lvl>
    <w:lvl w:ilvl="7">
      <w:start w:val="1"/>
      <w:numFmt w:val="none"/>
      <w:pStyle w:val="Heading8"/>
      <w:lvlText w:val=""/>
      <w:lvlJc w:val="left"/>
      <w:pPr>
        <w:ind w:left="1701" w:firstLine="0"/>
      </w:pPr>
      <w:rPr>
        <w:rFonts w:hint="default"/>
      </w:rPr>
    </w:lvl>
    <w:lvl w:ilvl="8">
      <w:start w:val="1"/>
      <w:numFmt w:val="lowerRoman"/>
      <w:lvlText w:val="%9."/>
      <w:lvlJc w:val="left"/>
      <w:pPr>
        <w:ind w:left="1701" w:firstLine="0"/>
      </w:pPr>
      <w:rPr>
        <w:rFonts w:hint="default"/>
      </w:rPr>
    </w:lvl>
  </w:abstractNum>
  <w:abstractNum w:abstractNumId="35" w15:restartNumberingAfterBreak="0">
    <w:nsid w:val="552D77BC"/>
    <w:multiLevelType w:val="hybridMultilevel"/>
    <w:tmpl w:val="8946C9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62BD4669"/>
    <w:multiLevelType w:val="hybridMultilevel"/>
    <w:tmpl w:val="D9C260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63BD1F2E"/>
    <w:multiLevelType w:val="hybridMultilevel"/>
    <w:tmpl w:val="D33431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649D308D"/>
    <w:multiLevelType w:val="hybridMultilevel"/>
    <w:tmpl w:val="D8B8B718"/>
    <w:lvl w:ilvl="0" w:tplc="B35EAD2A">
      <w:numFmt w:val="bullet"/>
      <w:lvlText w:val="•"/>
      <w:lvlJc w:val="left"/>
      <w:pPr>
        <w:ind w:left="1080" w:hanging="720"/>
      </w:pPr>
      <w:rPr>
        <w:rFonts w:ascii="Century Gothic" w:eastAsia="Times New Roman" w:hAnsi="Century Gothic"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6AFF10FB"/>
    <w:multiLevelType w:val="hybridMultilevel"/>
    <w:tmpl w:val="38740C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6C4B573C"/>
    <w:multiLevelType w:val="hybridMultilevel"/>
    <w:tmpl w:val="F5BA79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6E3B0D4F"/>
    <w:multiLevelType w:val="hybridMultilevel"/>
    <w:tmpl w:val="1980C31A"/>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71952AAB"/>
    <w:multiLevelType w:val="hybridMultilevel"/>
    <w:tmpl w:val="55E496F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74B7676D"/>
    <w:multiLevelType w:val="multilevel"/>
    <w:tmpl w:val="3A0C5676"/>
    <w:lvl w:ilvl="0">
      <w:start w:val="24"/>
      <w:numFmt w:val="decimal"/>
      <w:lvlText w:val="%1"/>
      <w:lvlJc w:val="left"/>
      <w:pPr>
        <w:ind w:left="360" w:hanging="360"/>
      </w:pPr>
      <w:rPr>
        <w:rFonts w:cs="Arial" w:hint="default"/>
      </w:rPr>
    </w:lvl>
    <w:lvl w:ilvl="1">
      <w:start w:val="4"/>
      <w:numFmt w:val="decimal"/>
      <w:lvlText w:val="%1.%2"/>
      <w:lvlJc w:val="left"/>
      <w:pPr>
        <w:ind w:left="360" w:hanging="360"/>
      </w:pPr>
      <w:rPr>
        <w:rFonts w:cs="Arial" w:hint="default"/>
      </w:rPr>
    </w:lvl>
    <w:lvl w:ilvl="2">
      <w:start w:val="1"/>
      <w:numFmt w:val="decimal"/>
      <w:lvlText w:val="%1.%2.%3"/>
      <w:lvlJc w:val="left"/>
      <w:pPr>
        <w:ind w:left="720" w:hanging="720"/>
      </w:pPr>
      <w:rPr>
        <w:rFonts w:cs="Arial" w:hint="default"/>
      </w:rPr>
    </w:lvl>
    <w:lvl w:ilvl="3">
      <w:start w:val="1"/>
      <w:numFmt w:val="decimal"/>
      <w:lvlText w:val="%1.%2.%3.%4"/>
      <w:lvlJc w:val="left"/>
      <w:pPr>
        <w:ind w:left="1080" w:hanging="1080"/>
      </w:pPr>
      <w:rPr>
        <w:rFonts w:cs="Arial" w:hint="default"/>
      </w:rPr>
    </w:lvl>
    <w:lvl w:ilvl="4">
      <w:start w:val="1"/>
      <w:numFmt w:val="decimal"/>
      <w:lvlText w:val="%1.%2.%3.%4.%5"/>
      <w:lvlJc w:val="left"/>
      <w:pPr>
        <w:ind w:left="1080" w:hanging="1080"/>
      </w:pPr>
      <w:rPr>
        <w:rFonts w:cs="Arial" w:hint="default"/>
      </w:rPr>
    </w:lvl>
    <w:lvl w:ilvl="5">
      <w:start w:val="1"/>
      <w:numFmt w:val="decimal"/>
      <w:lvlText w:val="%1.%2.%3.%4.%5.%6"/>
      <w:lvlJc w:val="left"/>
      <w:pPr>
        <w:ind w:left="1440" w:hanging="1440"/>
      </w:pPr>
      <w:rPr>
        <w:rFonts w:cs="Arial" w:hint="default"/>
      </w:rPr>
    </w:lvl>
    <w:lvl w:ilvl="6">
      <w:start w:val="1"/>
      <w:numFmt w:val="decimal"/>
      <w:lvlText w:val="%1.%2.%3.%4.%5.%6.%7"/>
      <w:lvlJc w:val="left"/>
      <w:pPr>
        <w:ind w:left="1440" w:hanging="1440"/>
      </w:pPr>
      <w:rPr>
        <w:rFonts w:cs="Arial" w:hint="default"/>
      </w:rPr>
    </w:lvl>
    <w:lvl w:ilvl="7">
      <w:start w:val="1"/>
      <w:numFmt w:val="decimal"/>
      <w:lvlText w:val="%1.%2.%3.%4.%5.%6.%7.%8"/>
      <w:lvlJc w:val="left"/>
      <w:pPr>
        <w:ind w:left="1800" w:hanging="1800"/>
      </w:pPr>
      <w:rPr>
        <w:rFonts w:cs="Arial" w:hint="default"/>
      </w:rPr>
    </w:lvl>
    <w:lvl w:ilvl="8">
      <w:start w:val="1"/>
      <w:numFmt w:val="decimal"/>
      <w:lvlText w:val="%1.%2.%3.%4.%5.%6.%7.%8.%9"/>
      <w:lvlJc w:val="left"/>
      <w:pPr>
        <w:ind w:left="2160" w:hanging="2160"/>
      </w:pPr>
      <w:rPr>
        <w:rFonts w:cs="Arial" w:hint="default"/>
      </w:rPr>
    </w:lvl>
  </w:abstractNum>
  <w:abstractNum w:abstractNumId="44" w15:restartNumberingAfterBreak="0">
    <w:nsid w:val="75951801"/>
    <w:multiLevelType w:val="singleLevel"/>
    <w:tmpl w:val="35F45D7C"/>
    <w:lvl w:ilvl="0">
      <w:start w:val="1"/>
      <w:numFmt w:val="bullet"/>
      <w:pStyle w:val="Bullet"/>
      <w:lvlText w:val=""/>
      <w:lvlJc w:val="left"/>
      <w:pPr>
        <w:tabs>
          <w:tab w:val="num" w:pos="567"/>
        </w:tabs>
        <w:ind w:left="567" w:hanging="567"/>
      </w:pPr>
      <w:rPr>
        <w:rFonts w:ascii="Symbol" w:hAnsi="Symbol" w:hint="default"/>
        <w:sz w:val="16"/>
      </w:rPr>
    </w:lvl>
  </w:abstractNum>
  <w:abstractNum w:abstractNumId="45" w15:restartNumberingAfterBreak="0">
    <w:nsid w:val="75D36E72"/>
    <w:multiLevelType w:val="hybridMultilevel"/>
    <w:tmpl w:val="C99C10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76100CAC"/>
    <w:multiLevelType w:val="hybridMultilevel"/>
    <w:tmpl w:val="AB5A33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763B0836"/>
    <w:multiLevelType w:val="hybridMultilevel"/>
    <w:tmpl w:val="F7229432"/>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7DA86479"/>
    <w:multiLevelType w:val="hybridMultilevel"/>
    <w:tmpl w:val="7556D7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7E9B56FD"/>
    <w:multiLevelType w:val="hybridMultilevel"/>
    <w:tmpl w:val="D54EB1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E9D1287"/>
    <w:multiLevelType w:val="hybridMultilevel"/>
    <w:tmpl w:val="F3384C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30"/>
  </w:num>
  <w:num w:numId="2">
    <w:abstractNumId w:val="34"/>
  </w:num>
  <w:num w:numId="3">
    <w:abstractNumId w:val="23"/>
  </w:num>
  <w:num w:numId="4">
    <w:abstractNumId w:val="38"/>
  </w:num>
  <w:num w:numId="5">
    <w:abstractNumId w:val="27"/>
  </w:num>
  <w:num w:numId="6">
    <w:abstractNumId w:val="22"/>
  </w:num>
  <w:num w:numId="7">
    <w:abstractNumId w:val="11"/>
  </w:num>
  <w:num w:numId="8">
    <w:abstractNumId w:val="44"/>
  </w:num>
  <w:num w:numId="9">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num>
  <w:num w:numId="11">
    <w:abstractNumId w:val="48"/>
  </w:num>
  <w:num w:numId="12">
    <w:abstractNumId w:val="8"/>
  </w:num>
  <w:num w:numId="13">
    <w:abstractNumId w:val="37"/>
  </w:num>
  <w:num w:numId="14">
    <w:abstractNumId w:val="46"/>
  </w:num>
  <w:num w:numId="15">
    <w:abstractNumId w:val="21"/>
  </w:num>
  <w:num w:numId="16">
    <w:abstractNumId w:val="24"/>
  </w:num>
  <w:num w:numId="17">
    <w:abstractNumId w:val="26"/>
  </w:num>
  <w:num w:numId="18">
    <w:abstractNumId w:val="40"/>
  </w:num>
  <w:num w:numId="19">
    <w:abstractNumId w:val="15"/>
  </w:num>
  <w:num w:numId="20">
    <w:abstractNumId w:val="13"/>
  </w:num>
  <w:num w:numId="2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1"/>
  </w:num>
  <w:num w:numId="23">
    <w:abstractNumId w:val="45"/>
  </w:num>
  <w:num w:numId="24">
    <w:abstractNumId w:val="47"/>
  </w:num>
  <w:num w:numId="25">
    <w:abstractNumId w:val="20"/>
  </w:num>
  <w:num w:numId="26">
    <w:abstractNumId w:val="19"/>
  </w:num>
  <w:num w:numId="27">
    <w:abstractNumId w:val="32"/>
  </w:num>
  <w:num w:numId="28">
    <w:abstractNumId w:val="2"/>
  </w:num>
  <w:num w:numId="29">
    <w:abstractNumId w:val="42"/>
  </w:num>
  <w:num w:numId="30">
    <w:abstractNumId w:val="39"/>
  </w:num>
  <w:num w:numId="31">
    <w:abstractNumId w:val="6"/>
  </w:num>
  <w:num w:numId="32">
    <w:abstractNumId w:val="18"/>
  </w:num>
  <w:num w:numId="33">
    <w:abstractNumId w:val="49"/>
  </w:num>
  <w:num w:numId="34">
    <w:abstractNumId w:val="27"/>
  </w:num>
  <w:num w:numId="35">
    <w:abstractNumId w:val="50"/>
  </w:num>
  <w:num w:numId="36">
    <w:abstractNumId w:val="33"/>
  </w:num>
  <w:num w:numId="37">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1"/>
  </w:num>
  <w:num w:numId="45">
    <w:abstractNumId w:val="9"/>
  </w:num>
  <w:num w:numId="46">
    <w:abstractNumId w:val="12"/>
  </w:num>
  <w:num w:numId="47">
    <w:abstractNumId w:val="29"/>
  </w:num>
  <w:num w:numId="48">
    <w:abstractNumId w:val="10"/>
  </w:num>
  <w:num w:numId="49">
    <w:abstractNumId w:val="36"/>
  </w:num>
  <w:num w:numId="50">
    <w:abstractNumId w:val="23"/>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5"/>
  </w:num>
  <w:num w:numId="52">
    <w:abstractNumId w:val="35"/>
  </w:num>
  <w:num w:numId="53">
    <w:abstractNumId w:val="16"/>
  </w:num>
  <w:num w:numId="54">
    <w:abstractNumId w:val="7"/>
  </w:num>
  <w:num w:numId="55">
    <w:abstractNumId w:val="3"/>
  </w:num>
  <w:num w:numId="56">
    <w:abstractNumId w:val="28"/>
  </w:num>
  <w:num w:numId="57">
    <w:abstractNumId w:val="43"/>
  </w:num>
  <w:num w:numId="58">
    <w:abstractNumId w:val="17"/>
  </w:num>
  <w:num w:numId="59">
    <w:abstractNumId w:val="25"/>
  </w:num>
  <w:num w:numId="60">
    <w:abstractNumId w:val="4"/>
  </w:num>
  <w:num w:numId="61">
    <w:abstractNumId w:val="1"/>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savePreviewPicture/>
  <w:hdrShapeDefaults>
    <o:shapedefaults v:ext="edit" spidmax="6145"/>
  </w:hdrShapeDefaults>
  <w:footnotePr>
    <w:numFmt w:val="lowerLette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B0AA3"/>
    <w:rsid w:val="00000142"/>
    <w:rsid w:val="000004EB"/>
    <w:rsid w:val="00000AEC"/>
    <w:rsid w:val="00000D57"/>
    <w:rsid w:val="00000DE9"/>
    <w:rsid w:val="00000EAF"/>
    <w:rsid w:val="00001C35"/>
    <w:rsid w:val="00002263"/>
    <w:rsid w:val="000022B1"/>
    <w:rsid w:val="00003505"/>
    <w:rsid w:val="00003D93"/>
    <w:rsid w:val="00003DB2"/>
    <w:rsid w:val="00004D02"/>
    <w:rsid w:val="00006794"/>
    <w:rsid w:val="00006ED4"/>
    <w:rsid w:val="000070C2"/>
    <w:rsid w:val="000070D3"/>
    <w:rsid w:val="00007253"/>
    <w:rsid w:val="00007E28"/>
    <w:rsid w:val="00010767"/>
    <w:rsid w:val="00010E94"/>
    <w:rsid w:val="00011738"/>
    <w:rsid w:val="0001296A"/>
    <w:rsid w:val="00013D53"/>
    <w:rsid w:val="00015260"/>
    <w:rsid w:val="00015805"/>
    <w:rsid w:val="000161B8"/>
    <w:rsid w:val="0001666B"/>
    <w:rsid w:val="00016E25"/>
    <w:rsid w:val="00017C59"/>
    <w:rsid w:val="00017D1B"/>
    <w:rsid w:val="00017F89"/>
    <w:rsid w:val="00020354"/>
    <w:rsid w:val="000210C6"/>
    <w:rsid w:val="00021774"/>
    <w:rsid w:val="00021A67"/>
    <w:rsid w:val="00022014"/>
    <w:rsid w:val="00022DAF"/>
    <w:rsid w:val="00023045"/>
    <w:rsid w:val="000232F9"/>
    <w:rsid w:val="00023FC9"/>
    <w:rsid w:val="0002424D"/>
    <w:rsid w:val="00025E23"/>
    <w:rsid w:val="00025EB2"/>
    <w:rsid w:val="00025F13"/>
    <w:rsid w:val="00025FFF"/>
    <w:rsid w:val="00026DE7"/>
    <w:rsid w:val="00027D3A"/>
    <w:rsid w:val="000301C5"/>
    <w:rsid w:val="00030CFE"/>
    <w:rsid w:val="000313D2"/>
    <w:rsid w:val="000316F7"/>
    <w:rsid w:val="00031F57"/>
    <w:rsid w:val="000336AB"/>
    <w:rsid w:val="00034F96"/>
    <w:rsid w:val="00035C52"/>
    <w:rsid w:val="00036649"/>
    <w:rsid w:val="0003690A"/>
    <w:rsid w:val="00037772"/>
    <w:rsid w:val="000402DC"/>
    <w:rsid w:val="00040579"/>
    <w:rsid w:val="00040A6D"/>
    <w:rsid w:val="00040D61"/>
    <w:rsid w:val="00040DA3"/>
    <w:rsid w:val="00040E19"/>
    <w:rsid w:val="000410C2"/>
    <w:rsid w:val="0004130D"/>
    <w:rsid w:val="00041C32"/>
    <w:rsid w:val="00041C4F"/>
    <w:rsid w:val="00041E55"/>
    <w:rsid w:val="00042203"/>
    <w:rsid w:val="00042462"/>
    <w:rsid w:val="00043185"/>
    <w:rsid w:val="000441A6"/>
    <w:rsid w:val="000448CD"/>
    <w:rsid w:val="00044EBA"/>
    <w:rsid w:val="0004570A"/>
    <w:rsid w:val="00051E53"/>
    <w:rsid w:val="000526E7"/>
    <w:rsid w:val="00052E8B"/>
    <w:rsid w:val="00052F78"/>
    <w:rsid w:val="0005324B"/>
    <w:rsid w:val="00053273"/>
    <w:rsid w:val="00053898"/>
    <w:rsid w:val="00053B31"/>
    <w:rsid w:val="00053F9D"/>
    <w:rsid w:val="00056C05"/>
    <w:rsid w:val="00060534"/>
    <w:rsid w:val="000609C6"/>
    <w:rsid w:val="00060A4C"/>
    <w:rsid w:val="00061398"/>
    <w:rsid w:val="000613C3"/>
    <w:rsid w:val="000625C7"/>
    <w:rsid w:val="00063374"/>
    <w:rsid w:val="000636AD"/>
    <w:rsid w:val="00063986"/>
    <w:rsid w:val="00064329"/>
    <w:rsid w:val="00064AC8"/>
    <w:rsid w:val="00064D08"/>
    <w:rsid w:val="00065519"/>
    <w:rsid w:val="00065DAD"/>
    <w:rsid w:val="00066D79"/>
    <w:rsid w:val="0006798D"/>
    <w:rsid w:val="0007108A"/>
    <w:rsid w:val="00071597"/>
    <w:rsid w:val="000715EC"/>
    <w:rsid w:val="00071A9A"/>
    <w:rsid w:val="0007237F"/>
    <w:rsid w:val="000724F7"/>
    <w:rsid w:val="0007255A"/>
    <w:rsid w:val="0007370B"/>
    <w:rsid w:val="00074180"/>
    <w:rsid w:val="00074BE4"/>
    <w:rsid w:val="0007528B"/>
    <w:rsid w:val="00075461"/>
    <w:rsid w:val="0007550C"/>
    <w:rsid w:val="00075968"/>
    <w:rsid w:val="000759E9"/>
    <w:rsid w:val="00075ABD"/>
    <w:rsid w:val="00075AE4"/>
    <w:rsid w:val="00075E63"/>
    <w:rsid w:val="00076055"/>
    <w:rsid w:val="0007611D"/>
    <w:rsid w:val="00076584"/>
    <w:rsid w:val="00077056"/>
    <w:rsid w:val="000771DA"/>
    <w:rsid w:val="00077795"/>
    <w:rsid w:val="00077ECA"/>
    <w:rsid w:val="00080095"/>
    <w:rsid w:val="000801ED"/>
    <w:rsid w:val="000805C8"/>
    <w:rsid w:val="0008152E"/>
    <w:rsid w:val="00081A04"/>
    <w:rsid w:val="00081D55"/>
    <w:rsid w:val="00082218"/>
    <w:rsid w:val="0008266F"/>
    <w:rsid w:val="0008291B"/>
    <w:rsid w:val="00082F37"/>
    <w:rsid w:val="00083150"/>
    <w:rsid w:val="000831A5"/>
    <w:rsid w:val="00083DB0"/>
    <w:rsid w:val="0008408B"/>
    <w:rsid w:val="000849C2"/>
    <w:rsid w:val="00084AFF"/>
    <w:rsid w:val="0008548A"/>
    <w:rsid w:val="000855D6"/>
    <w:rsid w:val="000858BA"/>
    <w:rsid w:val="00085AFC"/>
    <w:rsid w:val="00086637"/>
    <w:rsid w:val="000866F1"/>
    <w:rsid w:val="00086C4F"/>
    <w:rsid w:val="00086E02"/>
    <w:rsid w:val="0008722C"/>
    <w:rsid w:val="00087B27"/>
    <w:rsid w:val="00090769"/>
    <w:rsid w:val="00091F46"/>
    <w:rsid w:val="000925F3"/>
    <w:rsid w:val="00092697"/>
    <w:rsid w:val="000929D2"/>
    <w:rsid w:val="00092BB7"/>
    <w:rsid w:val="00092FA3"/>
    <w:rsid w:val="000936DE"/>
    <w:rsid w:val="000942B3"/>
    <w:rsid w:val="00095522"/>
    <w:rsid w:val="00095968"/>
    <w:rsid w:val="00095B6C"/>
    <w:rsid w:val="00096208"/>
    <w:rsid w:val="00097928"/>
    <w:rsid w:val="000A0019"/>
    <w:rsid w:val="000A0168"/>
    <w:rsid w:val="000A0247"/>
    <w:rsid w:val="000A09A0"/>
    <w:rsid w:val="000A11EB"/>
    <w:rsid w:val="000A171E"/>
    <w:rsid w:val="000A3592"/>
    <w:rsid w:val="000A3829"/>
    <w:rsid w:val="000A3AB9"/>
    <w:rsid w:val="000A4707"/>
    <w:rsid w:val="000A5037"/>
    <w:rsid w:val="000A5CF5"/>
    <w:rsid w:val="000A65FC"/>
    <w:rsid w:val="000A6655"/>
    <w:rsid w:val="000A6903"/>
    <w:rsid w:val="000A6AF1"/>
    <w:rsid w:val="000A6BE5"/>
    <w:rsid w:val="000A7EA5"/>
    <w:rsid w:val="000B1305"/>
    <w:rsid w:val="000B1541"/>
    <w:rsid w:val="000B1E1F"/>
    <w:rsid w:val="000B2025"/>
    <w:rsid w:val="000B287C"/>
    <w:rsid w:val="000B3347"/>
    <w:rsid w:val="000B3D67"/>
    <w:rsid w:val="000B432E"/>
    <w:rsid w:val="000B5309"/>
    <w:rsid w:val="000B583F"/>
    <w:rsid w:val="000B59A1"/>
    <w:rsid w:val="000B68ED"/>
    <w:rsid w:val="000B6DB8"/>
    <w:rsid w:val="000B7089"/>
    <w:rsid w:val="000B7E44"/>
    <w:rsid w:val="000C06D3"/>
    <w:rsid w:val="000C0C72"/>
    <w:rsid w:val="000C0F02"/>
    <w:rsid w:val="000C1054"/>
    <w:rsid w:val="000C2136"/>
    <w:rsid w:val="000C2E09"/>
    <w:rsid w:val="000C2E8D"/>
    <w:rsid w:val="000C34E8"/>
    <w:rsid w:val="000C3678"/>
    <w:rsid w:val="000C3C36"/>
    <w:rsid w:val="000C4438"/>
    <w:rsid w:val="000C45B6"/>
    <w:rsid w:val="000C4E15"/>
    <w:rsid w:val="000C579D"/>
    <w:rsid w:val="000C5ED0"/>
    <w:rsid w:val="000C695F"/>
    <w:rsid w:val="000C69D5"/>
    <w:rsid w:val="000C6C4C"/>
    <w:rsid w:val="000D022A"/>
    <w:rsid w:val="000D0379"/>
    <w:rsid w:val="000D0841"/>
    <w:rsid w:val="000D11E7"/>
    <w:rsid w:val="000D12F2"/>
    <w:rsid w:val="000D1A5D"/>
    <w:rsid w:val="000D2DAC"/>
    <w:rsid w:val="000D3BE9"/>
    <w:rsid w:val="000D481F"/>
    <w:rsid w:val="000D4ADB"/>
    <w:rsid w:val="000D638B"/>
    <w:rsid w:val="000D6A33"/>
    <w:rsid w:val="000D6A59"/>
    <w:rsid w:val="000D796B"/>
    <w:rsid w:val="000D7C33"/>
    <w:rsid w:val="000D7E72"/>
    <w:rsid w:val="000E012E"/>
    <w:rsid w:val="000E075A"/>
    <w:rsid w:val="000E11D2"/>
    <w:rsid w:val="000E16F1"/>
    <w:rsid w:val="000E1929"/>
    <w:rsid w:val="000E1D20"/>
    <w:rsid w:val="000E30EF"/>
    <w:rsid w:val="000E3175"/>
    <w:rsid w:val="000E3E7B"/>
    <w:rsid w:val="000E3F52"/>
    <w:rsid w:val="000E43E0"/>
    <w:rsid w:val="000E47F0"/>
    <w:rsid w:val="000E5BC5"/>
    <w:rsid w:val="000E630A"/>
    <w:rsid w:val="000E7E25"/>
    <w:rsid w:val="000F017F"/>
    <w:rsid w:val="000F1202"/>
    <w:rsid w:val="000F1A7D"/>
    <w:rsid w:val="000F1C9F"/>
    <w:rsid w:val="000F294F"/>
    <w:rsid w:val="000F2F41"/>
    <w:rsid w:val="000F3F99"/>
    <w:rsid w:val="000F4887"/>
    <w:rsid w:val="000F4C5A"/>
    <w:rsid w:val="000F4EC0"/>
    <w:rsid w:val="000F5158"/>
    <w:rsid w:val="000F61EE"/>
    <w:rsid w:val="000F641A"/>
    <w:rsid w:val="000F6AB0"/>
    <w:rsid w:val="000F6B9D"/>
    <w:rsid w:val="000F6DB9"/>
    <w:rsid w:val="00100C82"/>
    <w:rsid w:val="0010113B"/>
    <w:rsid w:val="00101178"/>
    <w:rsid w:val="00101EF4"/>
    <w:rsid w:val="00102762"/>
    <w:rsid w:val="001027C1"/>
    <w:rsid w:val="00102F4D"/>
    <w:rsid w:val="00102F77"/>
    <w:rsid w:val="00103046"/>
    <w:rsid w:val="0010312E"/>
    <w:rsid w:val="00103A32"/>
    <w:rsid w:val="00103E89"/>
    <w:rsid w:val="00103E8F"/>
    <w:rsid w:val="00103EF7"/>
    <w:rsid w:val="00104331"/>
    <w:rsid w:val="001044BD"/>
    <w:rsid w:val="00104989"/>
    <w:rsid w:val="001056C6"/>
    <w:rsid w:val="00105D97"/>
    <w:rsid w:val="00105F24"/>
    <w:rsid w:val="0010695B"/>
    <w:rsid w:val="00106A05"/>
    <w:rsid w:val="00106C7A"/>
    <w:rsid w:val="00106CC0"/>
    <w:rsid w:val="00107534"/>
    <w:rsid w:val="00107979"/>
    <w:rsid w:val="00107E77"/>
    <w:rsid w:val="0011025F"/>
    <w:rsid w:val="00110756"/>
    <w:rsid w:val="0011118B"/>
    <w:rsid w:val="0011149D"/>
    <w:rsid w:val="001118CF"/>
    <w:rsid w:val="00112320"/>
    <w:rsid w:val="0011272B"/>
    <w:rsid w:val="00113528"/>
    <w:rsid w:val="00113E96"/>
    <w:rsid w:val="00114276"/>
    <w:rsid w:val="00114345"/>
    <w:rsid w:val="001146F4"/>
    <w:rsid w:val="0011491C"/>
    <w:rsid w:val="00114D60"/>
    <w:rsid w:val="00114D80"/>
    <w:rsid w:val="00114FC9"/>
    <w:rsid w:val="0011556C"/>
    <w:rsid w:val="00115809"/>
    <w:rsid w:val="00116022"/>
    <w:rsid w:val="00116EDB"/>
    <w:rsid w:val="00117309"/>
    <w:rsid w:val="0011744F"/>
    <w:rsid w:val="00117B98"/>
    <w:rsid w:val="00120C09"/>
    <w:rsid w:val="00121041"/>
    <w:rsid w:val="0012132F"/>
    <w:rsid w:val="00121855"/>
    <w:rsid w:val="001219E8"/>
    <w:rsid w:val="00122671"/>
    <w:rsid w:val="001229D2"/>
    <w:rsid w:val="00122DC8"/>
    <w:rsid w:val="0012436A"/>
    <w:rsid w:val="00124C16"/>
    <w:rsid w:val="00125819"/>
    <w:rsid w:val="00125DB0"/>
    <w:rsid w:val="0012609A"/>
    <w:rsid w:val="001265C9"/>
    <w:rsid w:val="00126889"/>
    <w:rsid w:val="00126A9C"/>
    <w:rsid w:val="00126F74"/>
    <w:rsid w:val="00127348"/>
    <w:rsid w:val="001274BB"/>
    <w:rsid w:val="001302ED"/>
    <w:rsid w:val="00130926"/>
    <w:rsid w:val="00130C73"/>
    <w:rsid w:val="0013251B"/>
    <w:rsid w:val="00132941"/>
    <w:rsid w:val="00134D2B"/>
    <w:rsid w:val="001350AB"/>
    <w:rsid w:val="00135DB6"/>
    <w:rsid w:val="00137D07"/>
    <w:rsid w:val="0014189F"/>
    <w:rsid w:val="0014354C"/>
    <w:rsid w:val="00144146"/>
    <w:rsid w:val="0014415E"/>
    <w:rsid w:val="00144AAE"/>
    <w:rsid w:val="00144D9C"/>
    <w:rsid w:val="00144F55"/>
    <w:rsid w:val="00147949"/>
    <w:rsid w:val="00147D1E"/>
    <w:rsid w:val="00150021"/>
    <w:rsid w:val="00150086"/>
    <w:rsid w:val="0015026A"/>
    <w:rsid w:val="00150B66"/>
    <w:rsid w:val="00150BF7"/>
    <w:rsid w:val="001510F3"/>
    <w:rsid w:val="00152122"/>
    <w:rsid w:val="001522FE"/>
    <w:rsid w:val="001536C6"/>
    <w:rsid w:val="00153EFF"/>
    <w:rsid w:val="00154193"/>
    <w:rsid w:val="001545E1"/>
    <w:rsid w:val="00154B33"/>
    <w:rsid w:val="00154F97"/>
    <w:rsid w:val="001550F2"/>
    <w:rsid w:val="00155245"/>
    <w:rsid w:val="00155662"/>
    <w:rsid w:val="00155B0B"/>
    <w:rsid w:val="00157147"/>
    <w:rsid w:val="00160146"/>
    <w:rsid w:val="00161A11"/>
    <w:rsid w:val="00161AF9"/>
    <w:rsid w:val="001624D8"/>
    <w:rsid w:val="001646B1"/>
    <w:rsid w:val="00164737"/>
    <w:rsid w:val="00165086"/>
    <w:rsid w:val="00165351"/>
    <w:rsid w:val="0016541C"/>
    <w:rsid w:val="00165F87"/>
    <w:rsid w:val="00166060"/>
    <w:rsid w:val="00166361"/>
    <w:rsid w:val="001667FE"/>
    <w:rsid w:val="00167AEE"/>
    <w:rsid w:val="00167B88"/>
    <w:rsid w:val="0017016F"/>
    <w:rsid w:val="00172578"/>
    <w:rsid w:val="0017312A"/>
    <w:rsid w:val="00173A0C"/>
    <w:rsid w:val="00173A31"/>
    <w:rsid w:val="00173AEF"/>
    <w:rsid w:val="0017416F"/>
    <w:rsid w:val="0017434A"/>
    <w:rsid w:val="0017553E"/>
    <w:rsid w:val="00176095"/>
    <w:rsid w:val="001768B4"/>
    <w:rsid w:val="00176E0A"/>
    <w:rsid w:val="0017748D"/>
    <w:rsid w:val="00177935"/>
    <w:rsid w:val="00177F42"/>
    <w:rsid w:val="00177F8A"/>
    <w:rsid w:val="001801CB"/>
    <w:rsid w:val="00181BBF"/>
    <w:rsid w:val="00182F08"/>
    <w:rsid w:val="001832B3"/>
    <w:rsid w:val="001832BC"/>
    <w:rsid w:val="001832FB"/>
    <w:rsid w:val="001834AE"/>
    <w:rsid w:val="001834D2"/>
    <w:rsid w:val="0018393B"/>
    <w:rsid w:val="001854D6"/>
    <w:rsid w:val="001857CE"/>
    <w:rsid w:val="00185EE9"/>
    <w:rsid w:val="00185F97"/>
    <w:rsid w:val="00186AA8"/>
    <w:rsid w:val="00186D82"/>
    <w:rsid w:val="00186EB4"/>
    <w:rsid w:val="00186FD7"/>
    <w:rsid w:val="00187062"/>
    <w:rsid w:val="001907FF"/>
    <w:rsid w:val="00191081"/>
    <w:rsid w:val="00192034"/>
    <w:rsid w:val="001920B4"/>
    <w:rsid w:val="001922D0"/>
    <w:rsid w:val="00192D9B"/>
    <w:rsid w:val="00193394"/>
    <w:rsid w:val="0019375D"/>
    <w:rsid w:val="00195076"/>
    <w:rsid w:val="00195089"/>
    <w:rsid w:val="00195A70"/>
    <w:rsid w:val="001968C8"/>
    <w:rsid w:val="001A00FE"/>
    <w:rsid w:val="001A0C06"/>
    <w:rsid w:val="001A0D24"/>
    <w:rsid w:val="001A0D3F"/>
    <w:rsid w:val="001A0E7A"/>
    <w:rsid w:val="001A17DC"/>
    <w:rsid w:val="001A224E"/>
    <w:rsid w:val="001A237A"/>
    <w:rsid w:val="001A2C2D"/>
    <w:rsid w:val="001A42E1"/>
    <w:rsid w:val="001A47EA"/>
    <w:rsid w:val="001A5291"/>
    <w:rsid w:val="001A599A"/>
    <w:rsid w:val="001A61F0"/>
    <w:rsid w:val="001A7043"/>
    <w:rsid w:val="001A7111"/>
    <w:rsid w:val="001A722E"/>
    <w:rsid w:val="001A774C"/>
    <w:rsid w:val="001A7BA6"/>
    <w:rsid w:val="001A7F63"/>
    <w:rsid w:val="001B0935"/>
    <w:rsid w:val="001B09A2"/>
    <w:rsid w:val="001B0D7D"/>
    <w:rsid w:val="001B0E7C"/>
    <w:rsid w:val="001B1136"/>
    <w:rsid w:val="001B14C9"/>
    <w:rsid w:val="001B19CA"/>
    <w:rsid w:val="001B1E20"/>
    <w:rsid w:val="001B21E5"/>
    <w:rsid w:val="001B28E0"/>
    <w:rsid w:val="001B2AAA"/>
    <w:rsid w:val="001B2C67"/>
    <w:rsid w:val="001B3F76"/>
    <w:rsid w:val="001B517E"/>
    <w:rsid w:val="001B52BF"/>
    <w:rsid w:val="001B5D0A"/>
    <w:rsid w:val="001B5E13"/>
    <w:rsid w:val="001B6265"/>
    <w:rsid w:val="001B73C8"/>
    <w:rsid w:val="001B7939"/>
    <w:rsid w:val="001B7AE7"/>
    <w:rsid w:val="001C115A"/>
    <w:rsid w:val="001C200D"/>
    <w:rsid w:val="001C4091"/>
    <w:rsid w:val="001C45CA"/>
    <w:rsid w:val="001C45CB"/>
    <w:rsid w:val="001C550E"/>
    <w:rsid w:val="001C6C20"/>
    <w:rsid w:val="001C72E8"/>
    <w:rsid w:val="001D01D8"/>
    <w:rsid w:val="001D0344"/>
    <w:rsid w:val="001D0410"/>
    <w:rsid w:val="001D0A2C"/>
    <w:rsid w:val="001D0E38"/>
    <w:rsid w:val="001D0E47"/>
    <w:rsid w:val="001D0FA8"/>
    <w:rsid w:val="001D1994"/>
    <w:rsid w:val="001D1D8A"/>
    <w:rsid w:val="001D252B"/>
    <w:rsid w:val="001D2BE6"/>
    <w:rsid w:val="001D3000"/>
    <w:rsid w:val="001D40ED"/>
    <w:rsid w:val="001D441D"/>
    <w:rsid w:val="001D49BD"/>
    <w:rsid w:val="001D4D61"/>
    <w:rsid w:val="001D4D77"/>
    <w:rsid w:val="001D4DE2"/>
    <w:rsid w:val="001D545E"/>
    <w:rsid w:val="001D60DC"/>
    <w:rsid w:val="001D6477"/>
    <w:rsid w:val="001D74F2"/>
    <w:rsid w:val="001D78DD"/>
    <w:rsid w:val="001D7EED"/>
    <w:rsid w:val="001E0902"/>
    <w:rsid w:val="001E0983"/>
    <w:rsid w:val="001E11D2"/>
    <w:rsid w:val="001E24F9"/>
    <w:rsid w:val="001E28B6"/>
    <w:rsid w:val="001E5168"/>
    <w:rsid w:val="001E568A"/>
    <w:rsid w:val="001E57C9"/>
    <w:rsid w:val="001E5932"/>
    <w:rsid w:val="001E5FE0"/>
    <w:rsid w:val="001F044D"/>
    <w:rsid w:val="001F0FB6"/>
    <w:rsid w:val="001F10B6"/>
    <w:rsid w:val="001F164A"/>
    <w:rsid w:val="001F179B"/>
    <w:rsid w:val="001F1DD3"/>
    <w:rsid w:val="001F1EAD"/>
    <w:rsid w:val="001F2A76"/>
    <w:rsid w:val="001F3717"/>
    <w:rsid w:val="001F37BC"/>
    <w:rsid w:val="001F3D99"/>
    <w:rsid w:val="001F509A"/>
    <w:rsid w:val="001F5973"/>
    <w:rsid w:val="001F5DA4"/>
    <w:rsid w:val="001F6475"/>
    <w:rsid w:val="001F65B5"/>
    <w:rsid w:val="001F70CE"/>
    <w:rsid w:val="0020088D"/>
    <w:rsid w:val="00200E09"/>
    <w:rsid w:val="00200FF9"/>
    <w:rsid w:val="0020182E"/>
    <w:rsid w:val="00202359"/>
    <w:rsid w:val="002028E9"/>
    <w:rsid w:val="00202B13"/>
    <w:rsid w:val="00202D7B"/>
    <w:rsid w:val="00202DB0"/>
    <w:rsid w:val="00203E17"/>
    <w:rsid w:val="002041E4"/>
    <w:rsid w:val="002044EC"/>
    <w:rsid w:val="00204CCB"/>
    <w:rsid w:val="00204E58"/>
    <w:rsid w:val="002050EA"/>
    <w:rsid w:val="002069A2"/>
    <w:rsid w:val="00207470"/>
    <w:rsid w:val="00210A22"/>
    <w:rsid w:val="00210EBF"/>
    <w:rsid w:val="002117A9"/>
    <w:rsid w:val="00212088"/>
    <w:rsid w:val="002124BD"/>
    <w:rsid w:val="00212C71"/>
    <w:rsid w:val="002138EB"/>
    <w:rsid w:val="0021399C"/>
    <w:rsid w:val="00213E3F"/>
    <w:rsid w:val="00213E94"/>
    <w:rsid w:val="00214279"/>
    <w:rsid w:val="0021533B"/>
    <w:rsid w:val="00215592"/>
    <w:rsid w:val="002163CB"/>
    <w:rsid w:val="00216426"/>
    <w:rsid w:val="002170C9"/>
    <w:rsid w:val="00217E3D"/>
    <w:rsid w:val="0022165B"/>
    <w:rsid w:val="0022201F"/>
    <w:rsid w:val="00222554"/>
    <w:rsid w:val="0022275F"/>
    <w:rsid w:val="00222B31"/>
    <w:rsid w:val="00223BA5"/>
    <w:rsid w:val="00223F88"/>
    <w:rsid w:val="002241AB"/>
    <w:rsid w:val="002249B8"/>
    <w:rsid w:val="00224AD7"/>
    <w:rsid w:val="00224F6E"/>
    <w:rsid w:val="002251ED"/>
    <w:rsid w:val="0022534C"/>
    <w:rsid w:val="002260FF"/>
    <w:rsid w:val="00226D1A"/>
    <w:rsid w:val="0022765D"/>
    <w:rsid w:val="00227D4E"/>
    <w:rsid w:val="00227E2F"/>
    <w:rsid w:val="002303A6"/>
    <w:rsid w:val="00230F60"/>
    <w:rsid w:val="0023159C"/>
    <w:rsid w:val="002326CD"/>
    <w:rsid w:val="002332C0"/>
    <w:rsid w:val="002337F1"/>
    <w:rsid w:val="00233B9D"/>
    <w:rsid w:val="002344C7"/>
    <w:rsid w:val="0023499D"/>
    <w:rsid w:val="0023582B"/>
    <w:rsid w:val="00235857"/>
    <w:rsid w:val="0023685A"/>
    <w:rsid w:val="00236C3C"/>
    <w:rsid w:val="0023735B"/>
    <w:rsid w:val="0023754B"/>
    <w:rsid w:val="00240018"/>
    <w:rsid w:val="002406BE"/>
    <w:rsid w:val="00240C43"/>
    <w:rsid w:val="002410AE"/>
    <w:rsid w:val="00241222"/>
    <w:rsid w:val="0024159A"/>
    <w:rsid w:val="00241910"/>
    <w:rsid w:val="002428EA"/>
    <w:rsid w:val="0024296D"/>
    <w:rsid w:val="00243165"/>
    <w:rsid w:val="002432F2"/>
    <w:rsid w:val="00243549"/>
    <w:rsid w:val="00243BDF"/>
    <w:rsid w:val="00243C87"/>
    <w:rsid w:val="002455E3"/>
    <w:rsid w:val="002469BC"/>
    <w:rsid w:val="00246DA1"/>
    <w:rsid w:val="00247084"/>
    <w:rsid w:val="00247664"/>
    <w:rsid w:val="002501FD"/>
    <w:rsid w:val="002502C2"/>
    <w:rsid w:val="00250517"/>
    <w:rsid w:val="00250694"/>
    <w:rsid w:val="0025083D"/>
    <w:rsid w:val="00250986"/>
    <w:rsid w:val="00250A03"/>
    <w:rsid w:val="00250F5A"/>
    <w:rsid w:val="00251E83"/>
    <w:rsid w:val="00251FB3"/>
    <w:rsid w:val="00252371"/>
    <w:rsid w:val="00252AA0"/>
    <w:rsid w:val="00254504"/>
    <w:rsid w:val="00254A8B"/>
    <w:rsid w:val="00256201"/>
    <w:rsid w:val="00256A9D"/>
    <w:rsid w:val="00256BAB"/>
    <w:rsid w:val="002573E0"/>
    <w:rsid w:val="00257B3D"/>
    <w:rsid w:val="0026031F"/>
    <w:rsid w:val="002614B5"/>
    <w:rsid w:val="002616AB"/>
    <w:rsid w:val="002616BD"/>
    <w:rsid w:val="00261E5A"/>
    <w:rsid w:val="002624ED"/>
    <w:rsid w:val="002628DF"/>
    <w:rsid w:val="0026312A"/>
    <w:rsid w:val="00263418"/>
    <w:rsid w:val="0026373A"/>
    <w:rsid w:val="00263DBC"/>
    <w:rsid w:val="002641BF"/>
    <w:rsid w:val="00264576"/>
    <w:rsid w:val="002649E2"/>
    <w:rsid w:val="00264F87"/>
    <w:rsid w:val="00265C2A"/>
    <w:rsid w:val="00265CBF"/>
    <w:rsid w:val="00265FBF"/>
    <w:rsid w:val="0026700E"/>
    <w:rsid w:val="002673F5"/>
    <w:rsid w:val="00267462"/>
    <w:rsid w:val="002701AC"/>
    <w:rsid w:val="00270562"/>
    <w:rsid w:val="00271C78"/>
    <w:rsid w:val="00271E7F"/>
    <w:rsid w:val="00272454"/>
    <w:rsid w:val="00272BE0"/>
    <w:rsid w:val="00272D64"/>
    <w:rsid w:val="00272E0A"/>
    <w:rsid w:val="00272F3D"/>
    <w:rsid w:val="00273031"/>
    <w:rsid w:val="00273C4B"/>
    <w:rsid w:val="002742FB"/>
    <w:rsid w:val="002750FE"/>
    <w:rsid w:val="00276358"/>
    <w:rsid w:val="0027677B"/>
    <w:rsid w:val="002768CF"/>
    <w:rsid w:val="00277699"/>
    <w:rsid w:val="00280F63"/>
    <w:rsid w:val="00281F96"/>
    <w:rsid w:val="002821A6"/>
    <w:rsid w:val="002834A0"/>
    <w:rsid w:val="00283869"/>
    <w:rsid w:val="00284DA8"/>
    <w:rsid w:val="00285C97"/>
    <w:rsid w:val="002871F8"/>
    <w:rsid w:val="00287CF4"/>
    <w:rsid w:val="00290144"/>
    <w:rsid w:val="00290C16"/>
    <w:rsid w:val="00291C2D"/>
    <w:rsid w:val="00291D53"/>
    <w:rsid w:val="002931E8"/>
    <w:rsid w:val="00293371"/>
    <w:rsid w:val="00293A3A"/>
    <w:rsid w:val="00293B3B"/>
    <w:rsid w:val="0029422F"/>
    <w:rsid w:val="00294767"/>
    <w:rsid w:val="00294E75"/>
    <w:rsid w:val="002951AA"/>
    <w:rsid w:val="002953D1"/>
    <w:rsid w:val="002960E4"/>
    <w:rsid w:val="0029627B"/>
    <w:rsid w:val="002963E8"/>
    <w:rsid w:val="00297307"/>
    <w:rsid w:val="0029737B"/>
    <w:rsid w:val="002976B8"/>
    <w:rsid w:val="002979A2"/>
    <w:rsid w:val="00297D03"/>
    <w:rsid w:val="002A0136"/>
    <w:rsid w:val="002A0465"/>
    <w:rsid w:val="002A08D2"/>
    <w:rsid w:val="002A0E03"/>
    <w:rsid w:val="002A0E9D"/>
    <w:rsid w:val="002A138F"/>
    <w:rsid w:val="002A2FF1"/>
    <w:rsid w:val="002A32A4"/>
    <w:rsid w:val="002A3525"/>
    <w:rsid w:val="002A3CE7"/>
    <w:rsid w:val="002A5104"/>
    <w:rsid w:val="002A58A4"/>
    <w:rsid w:val="002A5A18"/>
    <w:rsid w:val="002A5D8D"/>
    <w:rsid w:val="002A5DBE"/>
    <w:rsid w:val="002A6117"/>
    <w:rsid w:val="002A6207"/>
    <w:rsid w:val="002A6470"/>
    <w:rsid w:val="002A6961"/>
    <w:rsid w:val="002A75FD"/>
    <w:rsid w:val="002A7BEF"/>
    <w:rsid w:val="002B0A25"/>
    <w:rsid w:val="002B0DE3"/>
    <w:rsid w:val="002B11A0"/>
    <w:rsid w:val="002B1423"/>
    <w:rsid w:val="002B1C0D"/>
    <w:rsid w:val="002B2104"/>
    <w:rsid w:val="002B2609"/>
    <w:rsid w:val="002B2BEB"/>
    <w:rsid w:val="002B466D"/>
    <w:rsid w:val="002B4901"/>
    <w:rsid w:val="002B497B"/>
    <w:rsid w:val="002B57CC"/>
    <w:rsid w:val="002B5BB1"/>
    <w:rsid w:val="002B66FD"/>
    <w:rsid w:val="002B671F"/>
    <w:rsid w:val="002B6ECA"/>
    <w:rsid w:val="002B72A8"/>
    <w:rsid w:val="002B7518"/>
    <w:rsid w:val="002B784C"/>
    <w:rsid w:val="002B78C4"/>
    <w:rsid w:val="002B7AD6"/>
    <w:rsid w:val="002B7B2B"/>
    <w:rsid w:val="002B7E9B"/>
    <w:rsid w:val="002C063C"/>
    <w:rsid w:val="002C0A44"/>
    <w:rsid w:val="002C0ADB"/>
    <w:rsid w:val="002C0F8E"/>
    <w:rsid w:val="002C14D7"/>
    <w:rsid w:val="002C1515"/>
    <w:rsid w:val="002C2014"/>
    <w:rsid w:val="002C22D4"/>
    <w:rsid w:val="002C2611"/>
    <w:rsid w:val="002C27E3"/>
    <w:rsid w:val="002C286B"/>
    <w:rsid w:val="002C2A99"/>
    <w:rsid w:val="002C2CC7"/>
    <w:rsid w:val="002C42F5"/>
    <w:rsid w:val="002C506E"/>
    <w:rsid w:val="002C5296"/>
    <w:rsid w:val="002C5E83"/>
    <w:rsid w:val="002C611C"/>
    <w:rsid w:val="002C6A38"/>
    <w:rsid w:val="002C7111"/>
    <w:rsid w:val="002C788D"/>
    <w:rsid w:val="002C7F66"/>
    <w:rsid w:val="002D23DD"/>
    <w:rsid w:val="002D24C6"/>
    <w:rsid w:val="002D25BB"/>
    <w:rsid w:val="002D3C8A"/>
    <w:rsid w:val="002D3D7E"/>
    <w:rsid w:val="002D4622"/>
    <w:rsid w:val="002D4F5C"/>
    <w:rsid w:val="002D5643"/>
    <w:rsid w:val="002D5B3D"/>
    <w:rsid w:val="002D7509"/>
    <w:rsid w:val="002E03FC"/>
    <w:rsid w:val="002E063B"/>
    <w:rsid w:val="002E0A9F"/>
    <w:rsid w:val="002E1C3C"/>
    <w:rsid w:val="002E1D86"/>
    <w:rsid w:val="002E2000"/>
    <w:rsid w:val="002E20ED"/>
    <w:rsid w:val="002E2107"/>
    <w:rsid w:val="002E27CF"/>
    <w:rsid w:val="002E29CF"/>
    <w:rsid w:val="002E2E76"/>
    <w:rsid w:val="002E311C"/>
    <w:rsid w:val="002E3450"/>
    <w:rsid w:val="002E366F"/>
    <w:rsid w:val="002E37E8"/>
    <w:rsid w:val="002E3CE2"/>
    <w:rsid w:val="002E40C5"/>
    <w:rsid w:val="002E4118"/>
    <w:rsid w:val="002E5281"/>
    <w:rsid w:val="002E5F65"/>
    <w:rsid w:val="002E67A6"/>
    <w:rsid w:val="002E6AF6"/>
    <w:rsid w:val="002E6FF9"/>
    <w:rsid w:val="002E7336"/>
    <w:rsid w:val="002E73AE"/>
    <w:rsid w:val="002E7946"/>
    <w:rsid w:val="002E7A59"/>
    <w:rsid w:val="002E7BE8"/>
    <w:rsid w:val="002F0031"/>
    <w:rsid w:val="002F0055"/>
    <w:rsid w:val="002F067F"/>
    <w:rsid w:val="002F0EE3"/>
    <w:rsid w:val="002F12FB"/>
    <w:rsid w:val="002F1992"/>
    <w:rsid w:val="002F1EEF"/>
    <w:rsid w:val="002F2143"/>
    <w:rsid w:val="002F234E"/>
    <w:rsid w:val="002F32CF"/>
    <w:rsid w:val="002F3B55"/>
    <w:rsid w:val="002F3CD9"/>
    <w:rsid w:val="002F3EEE"/>
    <w:rsid w:val="002F43C5"/>
    <w:rsid w:val="002F475B"/>
    <w:rsid w:val="002F4F37"/>
    <w:rsid w:val="002F4F7E"/>
    <w:rsid w:val="002F53BF"/>
    <w:rsid w:val="002F6410"/>
    <w:rsid w:val="002F7191"/>
    <w:rsid w:val="002F719E"/>
    <w:rsid w:val="002F7406"/>
    <w:rsid w:val="002F7615"/>
    <w:rsid w:val="002F7BE7"/>
    <w:rsid w:val="0030003A"/>
    <w:rsid w:val="003000CE"/>
    <w:rsid w:val="00300626"/>
    <w:rsid w:val="00300CFF"/>
    <w:rsid w:val="00300F85"/>
    <w:rsid w:val="003012AD"/>
    <w:rsid w:val="00301555"/>
    <w:rsid w:val="00301B07"/>
    <w:rsid w:val="00301E26"/>
    <w:rsid w:val="00302542"/>
    <w:rsid w:val="003036C1"/>
    <w:rsid w:val="00303A9D"/>
    <w:rsid w:val="00304433"/>
    <w:rsid w:val="0030592E"/>
    <w:rsid w:val="00305F83"/>
    <w:rsid w:val="003060EC"/>
    <w:rsid w:val="003073BC"/>
    <w:rsid w:val="0031025C"/>
    <w:rsid w:val="00310CF1"/>
    <w:rsid w:val="00310F23"/>
    <w:rsid w:val="00310FC9"/>
    <w:rsid w:val="00311502"/>
    <w:rsid w:val="00311B98"/>
    <w:rsid w:val="00311ED9"/>
    <w:rsid w:val="00311F99"/>
    <w:rsid w:val="003127BA"/>
    <w:rsid w:val="00312979"/>
    <w:rsid w:val="00313918"/>
    <w:rsid w:val="00314E4F"/>
    <w:rsid w:val="00314F1A"/>
    <w:rsid w:val="00315346"/>
    <w:rsid w:val="0031543D"/>
    <w:rsid w:val="00315757"/>
    <w:rsid w:val="00315E8A"/>
    <w:rsid w:val="00316C90"/>
    <w:rsid w:val="00321BB7"/>
    <w:rsid w:val="00322323"/>
    <w:rsid w:val="00322D63"/>
    <w:rsid w:val="0032316B"/>
    <w:rsid w:val="0032356A"/>
    <w:rsid w:val="00323BA1"/>
    <w:rsid w:val="00325098"/>
    <w:rsid w:val="00325A23"/>
    <w:rsid w:val="00325A8B"/>
    <w:rsid w:val="00325DBF"/>
    <w:rsid w:val="00330290"/>
    <w:rsid w:val="00331279"/>
    <w:rsid w:val="0033134C"/>
    <w:rsid w:val="0033143E"/>
    <w:rsid w:val="0033194D"/>
    <w:rsid w:val="00332FD6"/>
    <w:rsid w:val="00333722"/>
    <w:rsid w:val="00333A08"/>
    <w:rsid w:val="00334329"/>
    <w:rsid w:val="003347DB"/>
    <w:rsid w:val="00336644"/>
    <w:rsid w:val="00337C1F"/>
    <w:rsid w:val="003403AC"/>
    <w:rsid w:val="00340861"/>
    <w:rsid w:val="00340D54"/>
    <w:rsid w:val="00341A35"/>
    <w:rsid w:val="003423B8"/>
    <w:rsid w:val="00342812"/>
    <w:rsid w:val="00342DA2"/>
    <w:rsid w:val="0034355A"/>
    <w:rsid w:val="00343883"/>
    <w:rsid w:val="003443A4"/>
    <w:rsid w:val="003443E9"/>
    <w:rsid w:val="00345172"/>
    <w:rsid w:val="00346B9D"/>
    <w:rsid w:val="00346E74"/>
    <w:rsid w:val="00347627"/>
    <w:rsid w:val="00347637"/>
    <w:rsid w:val="00347B71"/>
    <w:rsid w:val="00350336"/>
    <w:rsid w:val="0035043C"/>
    <w:rsid w:val="0035064A"/>
    <w:rsid w:val="00350B5E"/>
    <w:rsid w:val="003516F2"/>
    <w:rsid w:val="00351743"/>
    <w:rsid w:val="003517DF"/>
    <w:rsid w:val="00351C21"/>
    <w:rsid w:val="00352265"/>
    <w:rsid w:val="00352806"/>
    <w:rsid w:val="003538CF"/>
    <w:rsid w:val="00353986"/>
    <w:rsid w:val="00353D1D"/>
    <w:rsid w:val="00353EBC"/>
    <w:rsid w:val="003543D8"/>
    <w:rsid w:val="00354670"/>
    <w:rsid w:val="003551AB"/>
    <w:rsid w:val="0035560B"/>
    <w:rsid w:val="00356243"/>
    <w:rsid w:val="00356322"/>
    <w:rsid w:val="003563AD"/>
    <w:rsid w:val="00356FBC"/>
    <w:rsid w:val="0036119A"/>
    <w:rsid w:val="00361FFA"/>
    <w:rsid w:val="0036241E"/>
    <w:rsid w:val="003634E6"/>
    <w:rsid w:val="0036360A"/>
    <w:rsid w:val="003650E8"/>
    <w:rsid w:val="00365646"/>
    <w:rsid w:val="00366155"/>
    <w:rsid w:val="00366652"/>
    <w:rsid w:val="00366EF0"/>
    <w:rsid w:val="00367348"/>
    <w:rsid w:val="00367DE1"/>
    <w:rsid w:val="00367E0C"/>
    <w:rsid w:val="00370113"/>
    <w:rsid w:val="00370BAF"/>
    <w:rsid w:val="00370E89"/>
    <w:rsid w:val="003714B0"/>
    <w:rsid w:val="00371C6E"/>
    <w:rsid w:val="0037210D"/>
    <w:rsid w:val="0037213F"/>
    <w:rsid w:val="00372A5A"/>
    <w:rsid w:val="00372B39"/>
    <w:rsid w:val="00372FA0"/>
    <w:rsid w:val="0037339D"/>
    <w:rsid w:val="00373A2A"/>
    <w:rsid w:val="00374E7A"/>
    <w:rsid w:val="00375253"/>
    <w:rsid w:val="00376722"/>
    <w:rsid w:val="00376E30"/>
    <w:rsid w:val="00376FFC"/>
    <w:rsid w:val="00377CFB"/>
    <w:rsid w:val="00381875"/>
    <w:rsid w:val="00382698"/>
    <w:rsid w:val="00382D92"/>
    <w:rsid w:val="0038311D"/>
    <w:rsid w:val="00383262"/>
    <w:rsid w:val="00383DA1"/>
    <w:rsid w:val="003854E3"/>
    <w:rsid w:val="003855B9"/>
    <w:rsid w:val="003857CF"/>
    <w:rsid w:val="00385C6A"/>
    <w:rsid w:val="003862B9"/>
    <w:rsid w:val="003862FB"/>
    <w:rsid w:val="0038657A"/>
    <w:rsid w:val="00386695"/>
    <w:rsid w:val="00386D7C"/>
    <w:rsid w:val="0039069B"/>
    <w:rsid w:val="00390FA5"/>
    <w:rsid w:val="003926D6"/>
    <w:rsid w:val="00393235"/>
    <w:rsid w:val="00393554"/>
    <w:rsid w:val="003940C9"/>
    <w:rsid w:val="00395CEB"/>
    <w:rsid w:val="00396BF5"/>
    <w:rsid w:val="003973DF"/>
    <w:rsid w:val="00397DAE"/>
    <w:rsid w:val="003A0183"/>
    <w:rsid w:val="003A0BC5"/>
    <w:rsid w:val="003A1697"/>
    <w:rsid w:val="003A262C"/>
    <w:rsid w:val="003A2C92"/>
    <w:rsid w:val="003A3535"/>
    <w:rsid w:val="003A38EC"/>
    <w:rsid w:val="003A3F55"/>
    <w:rsid w:val="003A404C"/>
    <w:rsid w:val="003A5323"/>
    <w:rsid w:val="003A570C"/>
    <w:rsid w:val="003A5846"/>
    <w:rsid w:val="003A6966"/>
    <w:rsid w:val="003A6F14"/>
    <w:rsid w:val="003A6F19"/>
    <w:rsid w:val="003A702E"/>
    <w:rsid w:val="003A7A72"/>
    <w:rsid w:val="003B08B0"/>
    <w:rsid w:val="003B2109"/>
    <w:rsid w:val="003B2FB7"/>
    <w:rsid w:val="003B3DA0"/>
    <w:rsid w:val="003B5FD2"/>
    <w:rsid w:val="003B6A8D"/>
    <w:rsid w:val="003B6E3C"/>
    <w:rsid w:val="003B7B0C"/>
    <w:rsid w:val="003B7CA3"/>
    <w:rsid w:val="003B7D60"/>
    <w:rsid w:val="003B7D95"/>
    <w:rsid w:val="003B7F79"/>
    <w:rsid w:val="003C0EBB"/>
    <w:rsid w:val="003C125F"/>
    <w:rsid w:val="003C150F"/>
    <w:rsid w:val="003C1B2F"/>
    <w:rsid w:val="003C1E33"/>
    <w:rsid w:val="003C1EC6"/>
    <w:rsid w:val="003C2220"/>
    <w:rsid w:val="003C2316"/>
    <w:rsid w:val="003C3840"/>
    <w:rsid w:val="003C5244"/>
    <w:rsid w:val="003C57CF"/>
    <w:rsid w:val="003C6902"/>
    <w:rsid w:val="003C76BE"/>
    <w:rsid w:val="003C7F4A"/>
    <w:rsid w:val="003D100A"/>
    <w:rsid w:val="003D1692"/>
    <w:rsid w:val="003D17E8"/>
    <w:rsid w:val="003D1D61"/>
    <w:rsid w:val="003D1F57"/>
    <w:rsid w:val="003D2B72"/>
    <w:rsid w:val="003D2C15"/>
    <w:rsid w:val="003D3924"/>
    <w:rsid w:val="003D3B3C"/>
    <w:rsid w:val="003D443F"/>
    <w:rsid w:val="003D4552"/>
    <w:rsid w:val="003E0791"/>
    <w:rsid w:val="003E092F"/>
    <w:rsid w:val="003E0F95"/>
    <w:rsid w:val="003E2029"/>
    <w:rsid w:val="003E2A2F"/>
    <w:rsid w:val="003E2EF5"/>
    <w:rsid w:val="003E3866"/>
    <w:rsid w:val="003E3D03"/>
    <w:rsid w:val="003E486B"/>
    <w:rsid w:val="003E4D0E"/>
    <w:rsid w:val="003E5168"/>
    <w:rsid w:val="003E54DD"/>
    <w:rsid w:val="003E6246"/>
    <w:rsid w:val="003E731B"/>
    <w:rsid w:val="003E749C"/>
    <w:rsid w:val="003E79F7"/>
    <w:rsid w:val="003F0529"/>
    <w:rsid w:val="003F2C62"/>
    <w:rsid w:val="003F2E65"/>
    <w:rsid w:val="003F3DEE"/>
    <w:rsid w:val="003F43B9"/>
    <w:rsid w:val="003F4E32"/>
    <w:rsid w:val="003F52D4"/>
    <w:rsid w:val="003F599E"/>
    <w:rsid w:val="003F7146"/>
    <w:rsid w:val="003F7642"/>
    <w:rsid w:val="003F7715"/>
    <w:rsid w:val="003F7921"/>
    <w:rsid w:val="003F7F7C"/>
    <w:rsid w:val="00400C2E"/>
    <w:rsid w:val="0040127D"/>
    <w:rsid w:val="004013EF"/>
    <w:rsid w:val="0040196B"/>
    <w:rsid w:val="00401DB4"/>
    <w:rsid w:val="00402161"/>
    <w:rsid w:val="00402B48"/>
    <w:rsid w:val="0040354D"/>
    <w:rsid w:val="004036A3"/>
    <w:rsid w:val="0040375D"/>
    <w:rsid w:val="00403A37"/>
    <w:rsid w:val="004044D2"/>
    <w:rsid w:val="00404B26"/>
    <w:rsid w:val="0040522F"/>
    <w:rsid w:val="00405E40"/>
    <w:rsid w:val="004066B3"/>
    <w:rsid w:val="00406D0F"/>
    <w:rsid w:val="00406F30"/>
    <w:rsid w:val="00407451"/>
    <w:rsid w:val="00407F32"/>
    <w:rsid w:val="004104A4"/>
    <w:rsid w:val="00410BB4"/>
    <w:rsid w:val="00410F45"/>
    <w:rsid w:val="004122AD"/>
    <w:rsid w:val="004126E1"/>
    <w:rsid w:val="004127CA"/>
    <w:rsid w:val="004129E5"/>
    <w:rsid w:val="00412AC1"/>
    <w:rsid w:val="00412C11"/>
    <w:rsid w:val="00412DF4"/>
    <w:rsid w:val="004130C3"/>
    <w:rsid w:val="0041360E"/>
    <w:rsid w:val="004137D1"/>
    <w:rsid w:val="00415076"/>
    <w:rsid w:val="0041543F"/>
    <w:rsid w:val="004156EF"/>
    <w:rsid w:val="00415732"/>
    <w:rsid w:val="00415F32"/>
    <w:rsid w:val="00416039"/>
    <w:rsid w:val="004169F1"/>
    <w:rsid w:val="004207AA"/>
    <w:rsid w:val="00423678"/>
    <w:rsid w:val="00423938"/>
    <w:rsid w:val="004239CC"/>
    <w:rsid w:val="00423A88"/>
    <w:rsid w:val="00423C21"/>
    <w:rsid w:val="00423C8A"/>
    <w:rsid w:val="004240C5"/>
    <w:rsid w:val="00424836"/>
    <w:rsid w:val="004251AB"/>
    <w:rsid w:val="004254C1"/>
    <w:rsid w:val="00425A3D"/>
    <w:rsid w:val="004263AB"/>
    <w:rsid w:val="004269CA"/>
    <w:rsid w:val="00427E23"/>
    <w:rsid w:val="004300EF"/>
    <w:rsid w:val="00431CE8"/>
    <w:rsid w:val="0043233D"/>
    <w:rsid w:val="00432774"/>
    <w:rsid w:val="00432B07"/>
    <w:rsid w:val="00432C29"/>
    <w:rsid w:val="00432CFC"/>
    <w:rsid w:val="00432E38"/>
    <w:rsid w:val="00433334"/>
    <w:rsid w:val="004339E1"/>
    <w:rsid w:val="004347F5"/>
    <w:rsid w:val="00434877"/>
    <w:rsid w:val="00434C1E"/>
    <w:rsid w:val="00435038"/>
    <w:rsid w:val="004359DB"/>
    <w:rsid w:val="00435D5E"/>
    <w:rsid w:val="0043633E"/>
    <w:rsid w:val="00436847"/>
    <w:rsid w:val="00437A4A"/>
    <w:rsid w:val="00437BAB"/>
    <w:rsid w:val="0044035C"/>
    <w:rsid w:val="004409F3"/>
    <w:rsid w:val="00440EEC"/>
    <w:rsid w:val="004422B4"/>
    <w:rsid w:val="00442C4B"/>
    <w:rsid w:val="00442D09"/>
    <w:rsid w:val="00443500"/>
    <w:rsid w:val="00444280"/>
    <w:rsid w:val="0044456A"/>
    <w:rsid w:val="0044531A"/>
    <w:rsid w:val="004454B3"/>
    <w:rsid w:val="00445D91"/>
    <w:rsid w:val="00446918"/>
    <w:rsid w:val="00447663"/>
    <w:rsid w:val="0044791C"/>
    <w:rsid w:val="00447B01"/>
    <w:rsid w:val="0045007A"/>
    <w:rsid w:val="00451198"/>
    <w:rsid w:val="0045130B"/>
    <w:rsid w:val="004515DF"/>
    <w:rsid w:val="00451A28"/>
    <w:rsid w:val="00451C91"/>
    <w:rsid w:val="004542FD"/>
    <w:rsid w:val="00454930"/>
    <w:rsid w:val="004552E5"/>
    <w:rsid w:val="004557B3"/>
    <w:rsid w:val="00456CBA"/>
    <w:rsid w:val="00456EEF"/>
    <w:rsid w:val="00457C19"/>
    <w:rsid w:val="00457C92"/>
    <w:rsid w:val="00460181"/>
    <w:rsid w:val="00460C6E"/>
    <w:rsid w:val="0046144F"/>
    <w:rsid w:val="00461D4B"/>
    <w:rsid w:val="00462777"/>
    <w:rsid w:val="00462D3F"/>
    <w:rsid w:val="004632B3"/>
    <w:rsid w:val="00463C8D"/>
    <w:rsid w:val="00463D4E"/>
    <w:rsid w:val="00465D32"/>
    <w:rsid w:val="00466041"/>
    <w:rsid w:val="00466633"/>
    <w:rsid w:val="00466CC0"/>
    <w:rsid w:val="004679F4"/>
    <w:rsid w:val="00467ADE"/>
    <w:rsid w:val="00470644"/>
    <w:rsid w:val="00471033"/>
    <w:rsid w:val="004714E9"/>
    <w:rsid w:val="0047180B"/>
    <w:rsid w:val="00473343"/>
    <w:rsid w:val="00473A8E"/>
    <w:rsid w:val="0047411C"/>
    <w:rsid w:val="00474420"/>
    <w:rsid w:val="00475119"/>
    <w:rsid w:val="004755A0"/>
    <w:rsid w:val="00475BBA"/>
    <w:rsid w:val="00475D72"/>
    <w:rsid w:val="00476319"/>
    <w:rsid w:val="00480569"/>
    <w:rsid w:val="00481189"/>
    <w:rsid w:val="004811CE"/>
    <w:rsid w:val="00482126"/>
    <w:rsid w:val="0048220C"/>
    <w:rsid w:val="00482768"/>
    <w:rsid w:val="00484603"/>
    <w:rsid w:val="0048465C"/>
    <w:rsid w:val="00485335"/>
    <w:rsid w:val="004868F2"/>
    <w:rsid w:val="004871B7"/>
    <w:rsid w:val="00487F94"/>
    <w:rsid w:val="0049004F"/>
    <w:rsid w:val="00490062"/>
    <w:rsid w:val="0049011C"/>
    <w:rsid w:val="0049063A"/>
    <w:rsid w:val="004908A0"/>
    <w:rsid w:val="0049092B"/>
    <w:rsid w:val="00490C42"/>
    <w:rsid w:val="0049143D"/>
    <w:rsid w:val="00491767"/>
    <w:rsid w:val="004917F2"/>
    <w:rsid w:val="00491AE7"/>
    <w:rsid w:val="0049234A"/>
    <w:rsid w:val="00492980"/>
    <w:rsid w:val="004930C3"/>
    <w:rsid w:val="0049330A"/>
    <w:rsid w:val="00493D35"/>
    <w:rsid w:val="00494246"/>
    <w:rsid w:val="004944B4"/>
    <w:rsid w:val="00494855"/>
    <w:rsid w:val="00494C1E"/>
    <w:rsid w:val="0049657D"/>
    <w:rsid w:val="00496ECB"/>
    <w:rsid w:val="0049759D"/>
    <w:rsid w:val="004979F9"/>
    <w:rsid w:val="00497DD8"/>
    <w:rsid w:val="004A0362"/>
    <w:rsid w:val="004A0D52"/>
    <w:rsid w:val="004A0DC3"/>
    <w:rsid w:val="004A1334"/>
    <w:rsid w:val="004A15BB"/>
    <w:rsid w:val="004A170E"/>
    <w:rsid w:val="004A1A6C"/>
    <w:rsid w:val="004A1D6E"/>
    <w:rsid w:val="004A1E82"/>
    <w:rsid w:val="004A22C4"/>
    <w:rsid w:val="004A2AB9"/>
    <w:rsid w:val="004A35E2"/>
    <w:rsid w:val="004A4058"/>
    <w:rsid w:val="004A44FA"/>
    <w:rsid w:val="004A45F0"/>
    <w:rsid w:val="004A4BF8"/>
    <w:rsid w:val="004A5B23"/>
    <w:rsid w:val="004A5C7C"/>
    <w:rsid w:val="004A625C"/>
    <w:rsid w:val="004A7F49"/>
    <w:rsid w:val="004B0268"/>
    <w:rsid w:val="004B0A12"/>
    <w:rsid w:val="004B0EE8"/>
    <w:rsid w:val="004B1063"/>
    <w:rsid w:val="004B136F"/>
    <w:rsid w:val="004B1E29"/>
    <w:rsid w:val="004B26CE"/>
    <w:rsid w:val="004B2E31"/>
    <w:rsid w:val="004B31F2"/>
    <w:rsid w:val="004B3732"/>
    <w:rsid w:val="004B3848"/>
    <w:rsid w:val="004B3F4E"/>
    <w:rsid w:val="004B4BAB"/>
    <w:rsid w:val="004B4CEA"/>
    <w:rsid w:val="004B555C"/>
    <w:rsid w:val="004B60F5"/>
    <w:rsid w:val="004B7375"/>
    <w:rsid w:val="004B7487"/>
    <w:rsid w:val="004B75CE"/>
    <w:rsid w:val="004B7BB3"/>
    <w:rsid w:val="004C02C8"/>
    <w:rsid w:val="004C094D"/>
    <w:rsid w:val="004C1CE8"/>
    <w:rsid w:val="004C2C16"/>
    <w:rsid w:val="004C60DE"/>
    <w:rsid w:val="004C692B"/>
    <w:rsid w:val="004C7527"/>
    <w:rsid w:val="004D07B9"/>
    <w:rsid w:val="004D0A57"/>
    <w:rsid w:val="004D0B46"/>
    <w:rsid w:val="004D0C10"/>
    <w:rsid w:val="004D1C0B"/>
    <w:rsid w:val="004D2001"/>
    <w:rsid w:val="004D2DF6"/>
    <w:rsid w:val="004D3ADB"/>
    <w:rsid w:val="004D3DD1"/>
    <w:rsid w:val="004D45E6"/>
    <w:rsid w:val="004D4896"/>
    <w:rsid w:val="004D4A57"/>
    <w:rsid w:val="004D4B01"/>
    <w:rsid w:val="004D4CA4"/>
    <w:rsid w:val="004D4FAB"/>
    <w:rsid w:val="004D623B"/>
    <w:rsid w:val="004D74FC"/>
    <w:rsid w:val="004D7C68"/>
    <w:rsid w:val="004E0A5F"/>
    <w:rsid w:val="004E0E6F"/>
    <w:rsid w:val="004E128B"/>
    <w:rsid w:val="004E19E0"/>
    <w:rsid w:val="004E1B05"/>
    <w:rsid w:val="004E1D31"/>
    <w:rsid w:val="004E1F7E"/>
    <w:rsid w:val="004E21B9"/>
    <w:rsid w:val="004E2F9B"/>
    <w:rsid w:val="004E30E7"/>
    <w:rsid w:val="004E35AA"/>
    <w:rsid w:val="004E35CA"/>
    <w:rsid w:val="004E3B1F"/>
    <w:rsid w:val="004E48A2"/>
    <w:rsid w:val="004E4F65"/>
    <w:rsid w:val="004E5010"/>
    <w:rsid w:val="004E5BB9"/>
    <w:rsid w:val="004E6152"/>
    <w:rsid w:val="004E663A"/>
    <w:rsid w:val="004E6AED"/>
    <w:rsid w:val="004E7296"/>
    <w:rsid w:val="004E7C04"/>
    <w:rsid w:val="004F083C"/>
    <w:rsid w:val="004F08D7"/>
    <w:rsid w:val="004F162F"/>
    <w:rsid w:val="004F1AF3"/>
    <w:rsid w:val="004F1E5C"/>
    <w:rsid w:val="004F2BED"/>
    <w:rsid w:val="004F3EF6"/>
    <w:rsid w:val="004F3F0F"/>
    <w:rsid w:val="004F405C"/>
    <w:rsid w:val="004F4C6D"/>
    <w:rsid w:val="004F4C94"/>
    <w:rsid w:val="004F5404"/>
    <w:rsid w:val="004F5412"/>
    <w:rsid w:val="004F5882"/>
    <w:rsid w:val="004F652A"/>
    <w:rsid w:val="004F684A"/>
    <w:rsid w:val="004F75BE"/>
    <w:rsid w:val="004F7B70"/>
    <w:rsid w:val="005001AD"/>
    <w:rsid w:val="00500A4F"/>
    <w:rsid w:val="00502C3E"/>
    <w:rsid w:val="00503001"/>
    <w:rsid w:val="00503832"/>
    <w:rsid w:val="00503900"/>
    <w:rsid w:val="00503FCD"/>
    <w:rsid w:val="00504327"/>
    <w:rsid w:val="005061CF"/>
    <w:rsid w:val="005076A2"/>
    <w:rsid w:val="00507B09"/>
    <w:rsid w:val="00510184"/>
    <w:rsid w:val="0051018B"/>
    <w:rsid w:val="00510242"/>
    <w:rsid w:val="005103EE"/>
    <w:rsid w:val="005109EC"/>
    <w:rsid w:val="00510B38"/>
    <w:rsid w:val="00511F44"/>
    <w:rsid w:val="0051362C"/>
    <w:rsid w:val="0051409D"/>
    <w:rsid w:val="00514AF8"/>
    <w:rsid w:val="00515593"/>
    <w:rsid w:val="00515A7B"/>
    <w:rsid w:val="00515FA6"/>
    <w:rsid w:val="00516DDE"/>
    <w:rsid w:val="0051766D"/>
    <w:rsid w:val="00517FD6"/>
    <w:rsid w:val="005203F2"/>
    <w:rsid w:val="00521569"/>
    <w:rsid w:val="00521E10"/>
    <w:rsid w:val="005235FC"/>
    <w:rsid w:val="0052375F"/>
    <w:rsid w:val="00523894"/>
    <w:rsid w:val="005243BF"/>
    <w:rsid w:val="005249A7"/>
    <w:rsid w:val="00524A2D"/>
    <w:rsid w:val="00524AC9"/>
    <w:rsid w:val="005300E5"/>
    <w:rsid w:val="00530B68"/>
    <w:rsid w:val="00530E59"/>
    <w:rsid w:val="005339D3"/>
    <w:rsid w:val="005343DB"/>
    <w:rsid w:val="0053446F"/>
    <w:rsid w:val="00534FCD"/>
    <w:rsid w:val="00535745"/>
    <w:rsid w:val="005357DD"/>
    <w:rsid w:val="00535BCA"/>
    <w:rsid w:val="00535E17"/>
    <w:rsid w:val="005362F3"/>
    <w:rsid w:val="005364E0"/>
    <w:rsid w:val="005369B5"/>
    <w:rsid w:val="00536B02"/>
    <w:rsid w:val="00537227"/>
    <w:rsid w:val="00537FFD"/>
    <w:rsid w:val="005400E4"/>
    <w:rsid w:val="00540D55"/>
    <w:rsid w:val="0054109B"/>
    <w:rsid w:val="0054198A"/>
    <w:rsid w:val="00541E7C"/>
    <w:rsid w:val="00542242"/>
    <w:rsid w:val="00542A75"/>
    <w:rsid w:val="00542D50"/>
    <w:rsid w:val="00543164"/>
    <w:rsid w:val="00543FFB"/>
    <w:rsid w:val="00544F51"/>
    <w:rsid w:val="005454D1"/>
    <w:rsid w:val="00546125"/>
    <w:rsid w:val="00546625"/>
    <w:rsid w:val="0054677D"/>
    <w:rsid w:val="00546BA1"/>
    <w:rsid w:val="00546CFC"/>
    <w:rsid w:val="00547756"/>
    <w:rsid w:val="0055011A"/>
    <w:rsid w:val="005502A8"/>
    <w:rsid w:val="00550329"/>
    <w:rsid w:val="005513C5"/>
    <w:rsid w:val="005515A8"/>
    <w:rsid w:val="005518D4"/>
    <w:rsid w:val="00552419"/>
    <w:rsid w:val="00552E2E"/>
    <w:rsid w:val="00553181"/>
    <w:rsid w:val="0055328E"/>
    <w:rsid w:val="00553CC9"/>
    <w:rsid w:val="00554A3D"/>
    <w:rsid w:val="00555180"/>
    <w:rsid w:val="00555768"/>
    <w:rsid w:val="00556279"/>
    <w:rsid w:val="0055633F"/>
    <w:rsid w:val="005563A4"/>
    <w:rsid w:val="005564E7"/>
    <w:rsid w:val="00556866"/>
    <w:rsid w:val="00556881"/>
    <w:rsid w:val="00556F58"/>
    <w:rsid w:val="00556F95"/>
    <w:rsid w:val="00557216"/>
    <w:rsid w:val="00560461"/>
    <w:rsid w:val="0056058B"/>
    <w:rsid w:val="005606D5"/>
    <w:rsid w:val="00560AFE"/>
    <w:rsid w:val="00560D34"/>
    <w:rsid w:val="00560DB8"/>
    <w:rsid w:val="0056123D"/>
    <w:rsid w:val="00561C24"/>
    <w:rsid w:val="00561D60"/>
    <w:rsid w:val="005627E7"/>
    <w:rsid w:val="00562F37"/>
    <w:rsid w:val="005635AA"/>
    <w:rsid w:val="00563C6A"/>
    <w:rsid w:val="00564289"/>
    <w:rsid w:val="005644B3"/>
    <w:rsid w:val="005644DD"/>
    <w:rsid w:val="00564681"/>
    <w:rsid w:val="005647FE"/>
    <w:rsid w:val="00564821"/>
    <w:rsid w:val="005655A6"/>
    <w:rsid w:val="00565AEA"/>
    <w:rsid w:val="00565E48"/>
    <w:rsid w:val="00567069"/>
    <w:rsid w:val="005673FD"/>
    <w:rsid w:val="0056796D"/>
    <w:rsid w:val="00570363"/>
    <w:rsid w:val="00570480"/>
    <w:rsid w:val="005708C8"/>
    <w:rsid w:val="00570B4C"/>
    <w:rsid w:val="00570B91"/>
    <w:rsid w:val="00570FBC"/>
    <w:rsid w:val="00570FDD"/>
    <w:rsid w:val="00571686"/>
    <w:rsid w:val="00571BD1"/>
    <w:rsid w:val="0057265E"/>
    <w:rsid w:val="00572AD1"/>
    <w:rsid w:val="005732F4"/>
    <w:rsid w:val="005737CC"/>
    <w:rsid w:val="0057531C"/>
    <w:rsid w:val="00575CF4"/>
    <w:rsid w:val="005767B3"/>
    <w:rsid w:val="005769C9"/>
    <w:rsid w:val="00577092"/>
    <w:rsid w:val="005778DF"/>
    <w:rsid w:val="00577F46"/>
    <w:rsid w:val="00577FB2"/>
    <w:rsid w:val="005808ED"/>
    <w:rsid w:val="00580B5B"/>
    <w:rsid w:val="00581096"/>
    <w:rsid w:val="0058110E"/>
    <w:rsid w:val="00581751"/>
    <w:rsid w:val="0058193C"/>
    <w:rsid w:val="00581BF3"/>
    <w:rsid w:val="0058213B"/>
    <w:rsid w:val="0058214A"/>
    <w:rsid w:val="0058222F"/>
    <w:rsid w:val="0058308A"/>
    <w:rsid w:val="00583A25"/>
    <w:rsid w:val="0058445C"/>
    <w:rsid w:val="00584C73"/>
    <w:rsid w:val="0058531D"/>
    <w:rsid w:val="00585347"/>
    <w:rsid w:val="00585492"/>
    <w:rsid w:val="005855BF"/>
    <w:rsid w:val="00585EB3"/>
    <w:rsid w:val="005864C2"/>
    <w:rsid w:val="0058661D"/>
    <w:rsid w:val="00586C94"/>
    <w:rsid w:val="005902DF"/>
    <w:rsid w:val="00590540"/>
    <w:rsid w:val="005906C6"/>
    <w:rsid w:val="00590A16"/>
    <w:rsid w:val="00590F4F"/>
    <w:rsid w:val="005915B1"/>
    <w:rsid w:val="005920AE"/>
    <w:rsid w:val="00592D14"/>
    <w:rsid w:val="00593FFB"/>
    <w:rsid w:val="00594158"/>
    <w:rsid w:val="005946B4"/>
    <w:rsid w:val="00595B3C"/>
    <w:rsid w:val="00595F6C"/>
    <w:rsid w:val="005961D7"/>
    <w:rsid w:val="00596F1F"/>
    <w:rsid w:val="0059783C"/>
    <w:rsid w:val="00597996"/>
    <w:rsid w:val="005A052B"/>
    <w:rsid w:val="005A07A1"/>
    <w:rsid w:val="005A0A5D"/>
    <w:rsid w:val="005A160F"/>
    <w:rsid w:val="005A17DA"/>
    <w:rsid w:val="005A2BCC"/>
    <w:rsid w:val="005A2D4E"/>
    <w:rsid w:val="005A33A2"/>
    <w:rsid w:val="005A4359"/>
    <w:rsid w:val="005A50A3"/>
    <w:rsid w:val="005A523E"/>
    <w:rsid w:val="005A52F7"/>
    <w:rsid w:val="005A6642"/>
    <w:rsid w:val="005A751D"/>
    <w:rsid w:val="005A7F25"/>
    <w:rsid w:val="005B06A4"/>
    <w:rsid w:val="005B06B4"/>
    <w:rsid w:val="005B0A19"/>
    <w:rsid w:val="005B0AA3"/>
    <w:rsid w:val="005B138F"/>
    <w:rsid w:val="005B23BF"/>
    <w:rsid w:val="005B2DB8"/>
    <w:rsid w:val="005B3164"/>
    <w:rsid w:val="005B3CB8"/>
    <w:rsid w:val="005B4027"/>
    <w:rsid w:val="005B40A3"/>
    <w:rsid w:val="005B4121"/>
    <w:rsid w:val="005B41F4"/>
    <w:rsid w:val="005B4709"/>
    <w:rsid w:val="005B48C6"/>
    <w:rsid w:val="005B545A"/>
    <w:rsid w:val="005B5A12"/>
    <w:rsid w:val="005B6C4B"/>
    <w:rsid w:val="005B6D55"/>
    <w:rsid w:val="005B7889"/>
    <w:rsid w:val="005C04E8"/>
    <w:rsid w:val="005C071F"/>
    <w:rsid w:val="005C14B1"/>
    <w:rsid w:val="005C2641"/>
    <w:rsid w:val="005C2787"/>
    <w:rsid w:val="005C2CEF"/>
    <w:rsid w:val="005C2D23"/>
    <w:rsid w:val="005C2E9F"/>
    <w:rsid w:val="005C32EC"/>
    <w:rsid w:val="005C4A37"/>
    <w:rsid w:val="005C4D7F"/>
    <w:rsid w:val="005C5043"/>
    <w:rsid w:val="005C5655"/>
    <w:rsid w:val="005C590A"/>
    <w:rsid w:val="005C65AF"/>
    <w:rsid w:val="005C682F"/>
    <w:rsid w:val="005C6F19"/>
    <w:rsid w:val="005C7500"/>
    <w:rsid w:val="005C7926"/>
    <w:rsid w:val="005D02EF"/>
    <w:rsid w:val="005D06B1"/>
    <w:rsid w:val="005D0DE3"/>
    <w:rsid w:val="005D1C37"/>
    <w:rsid w:val="005D1D3E"/>
    <w:rsid w:val="005D25BD"/>
    <w:rsid w:val="005D3129"/>
    <w:rsid w:val="005D3DFB"/>
    <w:rsid w:val="005D4EE4"/>
    <w:rsid w:val="005D5457"/>
    <w:rsid w:val="005D6662"/>
    <w:rsid w:val="005D66BF"/>
    <w:rsid w:val="005D6D30"/>
    <w:rsid w:val="005D7CBB"/>
    <w:rsid w:val="005D7F83"/>
    <w:rsid w:val="005E0785"/>
    <w:rsid w:val="005E0A03"/>
    <w:rsid w:val="005E133D"/>
    <w:rsid w:val="005E1757"/>
    <w:rsid w:val="005E1B0E"/>
    <w:rsid w:val="005E28FD"/>
    <w:rsid w:val="005E2C89"/>
    <w:rsid w:val="005E2E99"/>
    <w:rsid w:val="005E49C8"/>
    <w:rsid w:val="005E4B28"/>
    <w:rsid w:val="005E4BB2"/>
    <w:rsid w:val="005E4C7B"/>
    <w:rsid w:val="005E4E86"/>
    <w:rsid w:val="005E53ED"/>
    <w:rsid w:val="005E5461"/>
    <w:rsid w:val="005E5504"/>
    <w:rsid w:val="005E5F70"/>
    <w:rsid w:val="005E60ED"/>
    <w:rsid w:val="005E66AD"/>
    <w:rsid w:val="005F1566"/>
    <w:rsid w:val="005F1CE5"/>
    <w:rsid w:val="005F25C3"/>
    <w:rsid w:val="005F2E51"/>
    <w:rsid w:val="005F4115"/>
    <w:rsid w:val="005F4738"/>
    <w:rsid w:val="005F4769"/>
    <w:rsid w:val="005F5458"/>
    <w:rsid w:val="005F5CD2"/>
    <w:rsid w:val="005F5D49"/>
    <w:rsid w:val="005F7109"/>
    <w:rsid w:val="005F726F"/>
    <w:rsid w:val="005F76FD"/>
    <w:rsid w:val="005F7BD7"/>
    <w:rsid w:val="00600099"/>
    <w:rsid w:val="006006DB"/>
    <w:rsid w:val="00600A4B"/>
    <w:rsid w:val="00600AA9"/>
    <w:rsid w:val="00600D79"/>
    <w:rsid w:val="0060244D"/>
    <w:rsid w:val="006029D1"/>
    <w:rsid w:val="00602C68"/>
    <w:rsid w:val="00603C95"/>
    <w:rsid w:val="006045CA"/>
    <w:rsid w:val="0060493A"/>
    <w:rsid w:val="00605100"/>
    <w:rsid w:val="0060540C"/>
    <w:rsid w:val="00605BF7"/>
    <w:rsid w:val="0060602E"/>
    <w:rsid w:val="0060616E"/>
    <w:rsid w:val="00606302"/>
    <w:rsid w:val="006069E5"/>
    <w:rsid w:val="0060742D"/>
    <w:rsid w:val="00607F88"/>
    <w:rsid w:val="00611B63"/>
    <w:rsid w:val="00612418"/>
    <w:rsid w:val="00612B34"/>
    <w:rsid w:val="00612DE7"/>
    <w:rsid w:val="00613379"/>
    <w:rsid w:val="00613549"/>
    <w:rsid w:val="0061421C"/>
    <w:rsid w:val="00614D0B"/>
    <w:rsid w:val="0061508A"/>
    <w:rsid w:val="00615B72"/>
    <w:rsid w:val="00615F93"/>
    <w:rsid w:val="006164E5"/>
    <w:rsid w:val="0061708C"/>
    <w:rsid w:val="00617CA9"/>
    <w:rsid w:val="00620A52"/>
    <w:rsid w:val="00620B78"/>
    <w:rsid w:val="00620DD4"/>
    <w:rsid w:val="00621386"/>
    <w:rsid w:val="00621810"/>
    <w:rsid w:val="006225F1"/>
    <w:rsid w:val="00622990"/>
    <w:rsid w:val="006237D5"/>
    <w:rsid w:val="006237F6"/>
    <w:rsid w:val="00624BCC"/>
    <w:rsid w:val="00624D8F"/>
    <w:rsid w:val="006262A1"/>
    <w:rsid w:val="006268D8"/>
    <w:rsid w:val="006268E9"/>
    <w:rsid w:val="00627319"/>
    <w:rsid w:val="0062796D"/>
    <w:rsid w:val="0062796E"/>
    <w:rsid w:val="0063074C"/>
    <w:rsid w:val="00630AF2"/>
    <w:rsid w:val="00630E11"/>
    <w:rsid w:val="00630FB0"/>
    <w:rsid w:val="00631147"/>
    <w:rsid w:val="006313C4"/>
    <w:rsid w:val="006323D8"/>
    <w:rsid w:val="00633054"/>
    <w:rsid w:val="00633135"/>
    <w:rsid w:val="006332FB"/>
    <w:rsid w:val="00633313"/>
    <w:rsid w:val="00633816"/>
    <w:rsid w:val="006347B4"/>
    <w:rsid w:val="006347C4"/>
    <w:rsid w:val="006349DB"/>
    <w:rsid w:val="0063565D"/>
    <w:rsid w:val="0063587B"/>
    <w:rsid w:val="00635C29"/>
    <w:rsid w:val="00636236"/>
    <w:rsid w:val="0063682C"/>
    <w:rsid w:val="00637317"/>
    <w:rsid w:val="00637710"/>
    <w:rsid w:val="00637D67"/>
    <w:rsid w:val="00637E73"/>
    <w:rsid w:val="00640229"/>
    <w:rsid w:val="006403B7"/>
    <w:rsid w:val="006407C1"/>
    <w:rsid w:val="0064171B"/>
    <w:rsid w:val="00641879"/>
    <w:rsid w:val="00641F2F"/>
    <w:rsid w:val="006427ED"/>
    <w:rsid w:val="0064280B"/>
    <w:rsid w:val="00643065"/>
    <w:rsid w:val="0064402B"/>
    <w:rsid w:val="00645015"/>
    <w:rsid w:val="006451C7"/>
    <w:rsid w:val="006457F7"/>
    <w:rsid w:val="00645AFC"/>
    <w:rsid w:val="00645BD2"/>
    <w:rsid w:val="00646F96"/>
    <w:rsid w:val="0064795B"/>
    <w:rsid w:val="0065064D"/>
    <w:rsid w:val="006515D3"/>
    <w:rsid w:val="00651D6F"/>
    <w:rsid w:val="00652119"/>
    <w:rsid w:val="0065296D"/>
    <w:rsid w:val="00652981"/>
    <w:rsid w:val="00652E2D"/>
    <w:rsid w:val="006533C3"/>
    <w:rsid w:val="0065350F"/>
    <w:rsid w:val="00653992"/>
    <w:rsid w:val="006539CB"/>
    <w:rsid w:val="00653BDD"/>
    <w:rsid w:val="00653FAC"/>
    <w:rsid w:val="00654860"/>
    <w:rsid w:val="00654F43"/>
    <w:rsid w:val="006568D4"/>
    <w:rsid w:val="00656BCA"/>
    <w:rsid w:val="00656EBF"/>
    <w:rsid w:val="0065702E"/>
    <w:rsid w:val="006575B5"/>
    <w:rsid w:val="006579DC"/>
    <w:rsid w:val="006600E0"/>
    <w:rsid w:val="00660370"/>
    <w:rsid w:val="00660A47"/>
    <w:rsid w:val="00660C9B"/>
    <w:rsid w:val="006616FD"/>
    <w:rsid w:val="00661950"/>
    <w:rsid w:val="006619F0"/>
    <w:rsid w:val="00661AEB"/>
    <w:rsid w:val="00661E12"/>
    <w:rsid w:val="00662412"/>
    <w:rsid w:val="00663886"/>
    <w:rsid w:val="006647FB"/>
    <w:rsid w:val="0066593C"/>
    <w:rsid w:val="0066617A"/>
    <w:rsid w:val="00666666"/>
    <w:rsid w:val="0066696C"/>
    <w:rsid w:val="00667AE1"/>
    <w:rsid w:val="00667C20"/>
    <w:rsid w:val="00670218"/>
    <w:rsid w:val="0067026B"/>
    <w:rsid w:val="0067027E"/>
    <w:rsid w:val="00670855"/>
    <w:rsid w:val="00671017"/>
    <w:rsid w:val="006713EE"/>
    <w:rsid w:val="00671903"/>
    <w:rsid w:val="00673629"/>
    <w:rsid w:val="00673D59"/>
    <w:rsid w:val="006746D6"/>
    <w:rsid w:val="00674768"/>
    <w:rsid w:val="006749AC"/>
    <w:rsid w:val="00675549"/>
    <w:rsid w:val="00675F63"/>
    <w:rsid w:val="0067688F"/>
    <w:rsid w:val="00676B77"/>
    <w:rsid w:val="00676C7B"/>
    <w:rsid w:val="00677A70"/>
    <w:rsid w:val="00677ACD"/>
    <w:rsid w:val="00680741"/>
    <w:rsid w:val="00680BF2"/>
    <w:rsid w:val="00680CD3"/>
    <w:rsid w:val="00680D8E"/>
    <w:rsid w:val="00681A16"/>
    <w:rsid w:val="00681EC2"/>
    <w:rsid w:val="00681EC7"/>
    <w:rsid w:val="00682431"/>
    <w:rsid w:val="00682C77"/>
    <w:rsid w:val="00682E24"/>
    <w:rsid w:val="00683073"/>
    <w:rsid w:val="00684036"/>
    <w:rsid w:val="00684A45"/>
    <w:rsid w:val="00684AF9"/>
    <w:rsid w:val="00684CCF"/>
    <w:rsid w:val="00684F6F"/>
    <w:rsid w:val="006857BC"/>
    <w:rsid w:val="00685D0A"/>
    <w:rsid w:val="006864E9"/>
    <w:rsid w:val="0068651B"/>
    <w:rsid w:val="006867E9"/>
    <w:rsid w:val="00686812"/>
    <w:rsid w:val="00686D54"/>
    <w:rsid w:val="006873BB"/>
    <w:rsid w:val="00687E1D"/>
    <w:rsid w:val="00690AA8"/>
    <w:rsid w:val="00691032"/>
    <w:rsid w:val="006914A7"/>
    <w:rsid w:val="00691DE2"/>
    <w:rsid w:val="006920F5"/>
    <w:rsid w:val="00692450"/>
    <w:rsid w:val="00692535"/>
    <w:rsid w:val="0069264D"/>
    <w:rsid w:val="006928CA"/>
    <w:rsid w:val="00692A04"/>
    <w:rsid w:val="00693F2E"/>
    <w:rsid w:val="00694428"/>
    <w:rsid w:val="00694C2C"/>
    <w:rsid w:val="00695B9C"/>
    <w:rsid w:val="00697727"/>
    <w:rsid w:val="006A00AA"/>
    <w:rsid w:val="006A0590"/>
    <w:rsid w:val="006A17F8"/>
    <w:rsid w:val="006A23F9"/>
    <w:rsid w:val="006A247B"/>
    <w:rsid w:val="006A2FF5"/>
    <w:rsid w:val="006A35EC"/>
    <w:rsid w:val="006A3878"/>
    <w:rsid w:val="006A3B24"/>
    <w:rsid w:val="006A4E19"/>
    <w:rsid w:val="006A4E92"/>
    <w:rsid w:val="006A5361"/>
    <w:rsid w:val="006A563F"/>
    <w:rsid w:val="006A5946"/>
    <w:rsid w:val="006A5C6A"/>
    <w:rsid w:val="006A6417"/>
    <w:rsid w:val="006A6856"/>
    <w:rsid w:val="006A733D"/>
    <w:rsid w:val="006A7CF8"/>
    <w:rsid w:val="006B04FA"/>
    <w:rsid w:val="006B0A28"/>
    <w:rsid w:val="006B0D59"/>
    <w:rsid w:val="006B0DCF"/>
    <w:rsid w:val="006B10DD"/>
    <w:rsid w:val="006B1102"/>
    <w:rsid w:val="006B1E68"/>
    <w:rsid w:val="006B26A4"/>
    <w:rsid w:val="006B32D4"/>
    <w:rsid w:val="006B32FF"/>
    <w:rsid w:val="006B3344"/>
    <w:rsid w:val="006B3BB5"/>
    <w:rsid w:val="006B4297"/>
    <w:rsid w:val="006B4718"/>
    <w:rsid w:val="006B4A1C"/>
    <w:rsid w:val="006B4D0D"/>
    <w:rsid w:val="006B5246"/>
    <w:rsid w:val="006B52B8"/>
    <w:rsid w:val="006B5907"/>
    <w:rsid w:val="006B5A2D"/>
    <w:rsid w:val="006B5AED"/>
    <w:rsid w:val="006B5E09"/>
    <w:rsid w:val="006C0FC5"/>
    <w:rsid w:val="006C19BA"/>
    <w:rsid w:val="006C1EA7"/>
    <w:rsid w:val="006C282C"/>
    <w:rsid w:val="006C2C36"/>
    <w:rsid w:val="006C34C6"/>
    <w:rsid w:val="006C3AB5"/>
    <w:rsid w:val="006C3DE1"/>
    <w:rsid w:val="006C42CF"/>
    <w:rsid w:val="006C4E7D"/>
    <w:rsid w:val="006C642C"/>
    <w:rsid w:val="006C6935"/>
    <w:rsid w:val="006C6A0D"/>
    <w:rsid w:val="006C6E29"/>
    <w:rsid w:val="006C6F74"/>
    <w:rsid w:val="006C71E2"/>
    <w:rsid w:val="006C721A"/>
    <w:rsid w:val="006C7568"/>
    <w:rsid w:val="006C7868"/>
    <w:rsid w:val="006D082A"/>
    <w:rsid w:val="006D0A9D"/>
    <w:rsid w:val="006D257B"/>
    <w:rsid w:val="006D25D5"/>
    <w:rsid w:val="006D3691"/>
    <w:rsid w:val="006D40A1"/>
    <w:rsid w:val="006D4A49"/>
    <w:rsid w:val="006D4C8C"/>
    <w:rsid w:val="006D4DE6"/>
    <w:rsid w:val="006D4DF2"/>
    <w:rsid w:val="006D4F8E"/>
    <w:rsid w:val="006D51BA"/>
    <w:rsid w:val="006D5A41"/>
    <w:rsid w:val="006D69AE"/>
    <w:rsid w:val="006D7405"/>
    <w:rsid w:val="006D772F"/>
    <w:rsid w:val="006D7D08"/>
    <w:rsid w:val="006E0B7A"/>
    <w:rsid w:val="006E12F0"/>
    <w:rsid w:val="006E2570"/>
    <w:rsid w:val="006E3432"/>
    <w:rsid w:val="006E42C2"/>
    <w:rsid w:val="006E460D"/>
    <w:rsid w:val="006E5129"/>
    <w:rsid w:val="006E5DEA"/>
    <w:rsid w:val="006E62A1"/>
    <w:rsid w:val="006E6E16"/>
    <w:rsid w:val="006E70FB"/>
    <w:rsid w:val="006E7184"/>
    <w:rsid w:val="006E7799"/>
    <w:rsid w:val="006F0339"/>
    <w:rsid w:val="006F073A"/>
    <w:rsid w:val="006F1190"/>
    <w:rsid w:val="006F15C8"/>
    <w:rsid w:val="006F1612"/>
    <w:rsid w:val="006F1A7C"/>
    <w:rsid w:val="006F1D89"/>
    <w:rsid w:val="006F26F6"/>
    <w:rsid w:val="006F31D5"/>
    <w:rsid w:val="006F38F7"/>
    <w:rsid w:val="006F3C4E"/>
    <w:rsid w:val="006F4525"/>
    <w:rsid w:val="006F47B2"/>
    <w:rsid w:val="006F5056"/>
    <w:rsid w:val="006F5533"/>
    <w:rsid w:val="006F5D24"/>
    <w:rsid w:val="006F682B"/>
    <w:rsid w:val="006F68B7"/>
    <w:rsid w:val="006F6C82"/>
    <w:rsid w:val="006F6DB1"/>
    <w:rsid w:val="006F742A"/>
    <w:rsid w:val="00700AA1"/>
    <w:rsid w:val="00700D56"/>
    <w:rsid w:val="00700D89"/>
    <w:rsid w:val="0070113B"/>
    <w:rsid w:val="0070379B"/>
    <w:rsid w:val="007038F1"/>
    <w:rsid w:val="00703A9B"/>
    <w:rsid w:val="00703EBE"/>
    <w:rsid w:val="00705590"/>
    <w:rsid w:val="007055C4"/>
    <w:rsid w:val="0070680A"/>
    <w:rsid w:val="00706C10"/>
    <w:rsid w:val="00706E61"/>
    <w:rsid w:val="00707422"/>
    <w:rsid w:val="007079F1"/>
    <w:rsid w:val="00707A4F"/>
    <w:rsid w:val="00707C9D"/>
    <w:rsid w:val="00707FA5"/>
    <w:rsid w:val="007101D6"/>
    <w:rsid w:val="0071156B"/>
    <w:rsid w:val="007117DA"/>
    <w:rsid w:val="007118F8"/>
    <w:rsid w:val="00711F00"/>
    <w:rsid w:val="007143CF"/>
    <w:rsid w:val="007147EE"/>
    <w:rsid w:val="0071490A"/>
    <w:rsid w:val="00715678"/>
    <w:rsid w:val="0071569C"/>
    <w:rsid w:val="00715CF2"/>
    <w:rsid w:val="00716167"/>
    <w:rsid w:val="007172E1"/>
    <w:rsid w:val="007175A9"/>
    <w:rsid w:val="0072059B"/>
    <w:rsid w:val="00720638"/>
    <w:rsid w:val="00720A68"/>
    <w:rsid w:val="00721518"/>
    <w:rsid w:val="00721835"/>
    <w:rsid w:val="007218AC"/>
    <w:rsid w:val="00721B74"/>
    <w:rsid w:val="007237BE"/>
    <w:rsid w:val="00724270"/>
    <w:rsid w:val="00724B95"/>
    <w:rsid w:val="007252D9"/>
    <w:rsid w:val="00725BE1"/>
    <w:rsid w:val="0072624D"/>
    <w:rsid w:val="00726420"/>
    <w:rsid w:val="00726E08"/>
    <w:rsid w:val="00727541"/>
    <w:rsid w:val="00727A84"/>
    <w:rsid w:val="007309AA"/>
    <w:rsid w:val="00730FEB"/>
    <w:rsid w:val="007319A1"/>
    <w:rsid w:val="00731A81"/>
    <w:rsid w:val="00731D0A"/>
    <w:rsid w:val="0073261B"/>
    <w:rsid w:val="00732891"/>
    <w:rsid w:val="00735ECE"/>
    <w:rsid w:val="0073617B"/>
    <w:rsid w:val="007363DC"/>
    <w:rsid w:val="00736450"/>
    <w:rsid w:val="0073676C"/>
    <w:rsid w:val="00736E18"/>
    <w:rsid w:val="007371C4"/>
    <w:rsid w:val="007378D9"/>
    <w:rsid w:val="00737BFD"/>
    <w:rsid w:val="00737CE4"/>
    <w:rsid w:val="00737E07"/>
    <w:rsid w:val="00740CB1"/>
    <w:rsid w:val="00740FD9"/>
    <w:rsid w:val="00741669"/>
    <w:rsid w:val="00741BFD"/>
    <w:rsid w:val="007427CE"/>
    <w:rsid w:val="007436D2"/>
    <w:rsid w:val="0074440E"/>
    <w:rsid w:val="007444CE"/>
    <w:rsid w:val="00744B37"/>
    <w:rsid w:val="007457DD"/>
    <w:rsid w:val="00746300"/>
    <w:rsid w:val="00746BE8"/>
    <w:rsid w:val="007473CE"/>
    <w:rsid w:val="0074756E"/>
    <w:rsid w:val="007476CB"/>
    <w:rsid w:val="0074775A"/>
    <w:rsid w:val="00747D6C"/>
    <w:rsid w:val="00747F4F"/>
    <w:rsid w:val="007501BB"/>
    <w:rsid w:val="00750292"/>
    <w:rsid w:val="00750F9F"/>
    <w:rsid w:val="00751CF2"/>
    <w:rsid w:val="00751CF5"/>
    <w:rsid w:val="007520AD"/>
    <w:rsid w:val="0075219B"/>
    <w:rsid w:val="007535A2"/>
    <w:rsid w:val="00754715"/>
    <w:rsid w:val="007552EF"/>
    <w:rsid w:val="00755BBC"/>
    <w:rsid w:val="0075658C"/>
    <w:rsid w:val="00756E9E"/>
    <w:rsid w:val="00756FC4"/>
    <w:rsid w:val="007575A4"/>
    <w:rsid w:val="00757A93"/>
    <w:rsid w:val="00757B42"/>
    <w:rsid w:val="00757D65"/>
    <w:rsid w:val="00757EC3"/>
    <w:rsid w:val="00760D0A"/>
    <w:rsid w:val="00760D6C"/>
    <w:rsid w:val="00760E6A"/>
    <w:rsid w:val="00760EE4"/>
    <w:rsid w:val="007619FC"/>
    <w:rsid w:val="00762384"/>
    <w:rsid w:val="00762590"/>
    <w:rsid w:val="00762CC3"/>
    <w:rsid w:val="00762ED8"/>
    <w:rsid w:val="007635B7"/>
    <w:rsid w:val="00763C2E"/>
    <w:rsid w:val="0076417D"/>
    <w:rsid w:val="007649CB"/>
    <w:rsid w:val="007650BA"/>
    <w:rsid w:val="00765E65"/>
    <w:rsid w:val="00766799"/>
    <w:rsid w:val="00766D77"/>
    <w:rsid w:val="007671FF"/>
    <w:rsid w:val="00767276"/>
    <w:rsid w:val="00767BF7"/>
    <w:rsid w:val="0077036F"/>
    <w:rsid w:val="00770378"/>
    <w:rsid w:val="007703FB"/>
    <w:rsid w:val="00770999"/>
    <w:rsid w:val="00770E07"/>
    <w:rsid w:val="007718F4"/>
    <w:rsid w:val="00771FFB"/>
    <w:rsid w:val="0077298C"/>
    <w:rsid w:val="00772AD0"/>
    <w:rsid w:val="00772B27"/>
    <w:rsid w:val="00772FA9"/>
    <w:rsid w:val="0077327F"/>
    <w:rsid w:val="00773C0F"/>
    <w:rsid w:val="00773C4C"/>
    <w:rsid w:val="007740BF"/>
    <w:rsid w:val="00775DAE"/>
    <w:rsid w:val="00775F5D"/>
    <w:rsid w:val="00776142"/>
    <w:rsid w:val="00776569"/>
    <w:rsid w:val="007766EF"/>
    <w:rsid w:val="00776B76"/>
    <w:rsid w:val="00776B83"/>
    <w:rsid w:val="00776D72"/>
    <w:rsid w:val="00777037"/>
    <w:rsid w:val="007770BB"/>
    <w:rsid w:val="00777AF6"/>
    <w:rsid w:val="0078060E"/>
    <w:rsid w:val="00780E4C"/>
    <w:rsid w:val="00781501"/>
    <w:rsid w:val="00781C3B"/>
    <w:rsid w:val="00782239"/>
    <w:rsid w:val="00782DE1"/>
    <w:rsid w:val="00783690"/>
    <w:rsid w:val="007854DC"/>
    <w:rsid w:val="00785526"/>
    <w:rsid w:val="007855D4"/>
    <w:rsid w:val="007867D5"/>
    <w:rsid w:val="0078686B"/>
    <w:rsid w:val="007868C5"/>
    <w:rsid w:val="00786DFE"/>
    <w:rsid w:val="00787519"/>
    <w:rsid w:val="00787E5A"/>
    <w:rsid w:val="00791084"/>
    <w:rsid w:val="007915CE"/>
    <w:rsid w:val="00791BA7"/>
    <w:rsid w:val="007920A1"/>
    <w:rsid w:val="00793BE8"/>
    <w:rsid w:val="007943C2"/>
    <w:rsid w:val="00794A20"/>
    <w:rsid w:val="007969F8"/>
    <w:rsid w:val="007972F4"/>
    <w:rsid w:val="00797825"/>
    <w:rsid w:val="007A092B"/>
    <w:rsid w:val="007A1760"/>
    <w:rsid w:val="007A183C"/>
    <w:rsid w:val="007A196D"/>
    <w:rsid w:val="007A2E4C"/>
    <w:rsid w:val="007A3590"/>
    <w:rsid w:val="007A3A9C"/>
    <w:rsid w:val="007A3AE4"/>
    <w:rsid w:val="007A43DC"/>
    <w:rsid w:val="007A4951"/>
    <w:rsid w:val="007A4A4F"/>
    <w:rsid w:val="007A5084"/>
    <w:rsid w:val="007A596F"/>
    <w:rsid w:val="007A5D17"/>
    <w:rsid w:val="007A5E3A"/>
    <w:rsid w:val="007A7440"/>
    <w:rsid w:val="007A7C66"/>
    <w:rsid w:val="007B05CA"/>
    <w:rsid w:val="007B1032"/>
    <w:rsid w:val="007B1223"/>
    <w:rsid w:val="007B13C4"/>
    <w:rsid w:val="007B15A8"/>
    <w:rsid w:val="007B3BA8"/>
    <w:rsid w:val="007B3D27"/>
    <w:rsid w:val="007B56CE"/>
    <w:rsid w:val="007B5CF9"/>
    <w:rsid w:val="007B6C45"/>
    <w:rsid w:val="007B70B1"/>
    <w:rsid w:val="007B79CC"/>
    <w:rsid w:val="007B7B06"/>
    <w:rsid w:val="007C04A0"/>
    <w:rsid w:val="007C0DD2"/>
    <w:rsid w:val="007C1AEC"/>
    <w:rsid w:val="007C241E"/>
    <w:rsid w:val="007C2526"/>
    <w:rsid w:val="007C258D"/>
    <w:rsid w:val="007C2D10"/>
    <w:rsid w:val="007C39C0"/>
    <w:rsid w:val="007C435D"/>
    <w:rsid w:val="007C451A"/>
    <w:rsid w:val="007C4904"/>
    <w:rsid w:val="007C499C"/>
    <w:rsid w:val="007C4C20"/>
    <w:rsid w:val="007C505A"/>
    <w:rsid w:val="007C56BB"/>
    <w:rsid w:val="007C5D3C"/>
    <w:rsid w:val="007C7918"/>
    <w:rsid w:val="007C7B1E"/>
    <w:rsid w:val="007D0501"/>
    <w:rsid w:val="007D2448"/>
    <w:rsid w:val="007D287C"/>
    <w:rsid w:val="007D350E"/>
    <w:rsid w:val="007D36F4"/>
    <w:rsid w:val="007D37A6"/>
    <w:rsid w:val="007D39C5"/>
    <w:rsid w:val="007D4C71"/>
    <w:rsid w:val="007D4DA1"/>
    <w:rsid w:val="007D4E6F"/>
    <w:rsid w:val="007D5793"/>
    <w:rsid w:val="007D6609"/>
    <w:rsid w:val="007D69E1"/>
    <w:rsid w:val="007D6CE3"/>
    <w:rsid w:val="007D7483"/>
    <w:rsid w:val="007D756A"/>
    <w:rsid w:val="007D75A8"/>
    <w:rsid w:val="007D78DD"/>
    <w:rsid w:val="007D7C04"/>
    <w:rsid w:val="007E28BD"/>
    <w:rsid w:val="007E2DE3"/>
    <w:rsid w:val="007E3455"/>
    <w:rsid w:val="007E3AE5"/>
    <w:rsid w:val="007E408D"/>
    <w:rsid w:val="007E483E"/>
    <w:rsid w:val="007E5129"/>
    <w:rsid w:val="007E575F"/>
    <w:rsid w:val="007E5779"/>
    <w:rsid w:val="007E59D8"/>
    <w:rsid w:val="007E5CCC"/>
    <w:rsid w:val="007E6A99"/>
    <w:rsid w:val="007E6D49"/>
    <w:rsid w:val="007E6E6A"/>
    <w:rsid w:val="007E71EC"/>
    <w:rsid w:val="007E7388"/>
    <w:rsid w:val="007E745F"/>
    <w:rsid w:val="007E7599"/>
    <w:rsid w:val="007F333A"/>
    <w:rsid w:val="007F34AB"/>
    <w:rsid w:val="007F4494"/>
    <w:rsid w:val="007F46B9"/>
    <w:rsid w:val="007F4C07"/>
    <w:rsid w:val="007F51DF"/>
    <w:rsid w:val="007F5827"/>
    <w:rsid w:val="007F688C"/>
    <w:rsid w:val="007F69C2"/>
    <w:rsid w:val="007F7577"/>
    <w:rsid w:val="007F78D2"/>
    <w:rsid w:val="0080046C"/>
    <w:rsid w:val="00800653"/>
    <w:rsid w:val="00800A52"/>
    <w:rsid w:val="00800CA3"/>
    <w:rsid w:val="008012E8"/>
    <w:rsid w:val="008017F3"/>
    <w:rsid w:val="0080181D"/>
    <w:rsid w:val="008018AF"/>
    <w:rsid w:val="00801B5B"/>
    <w:rsid w:val="008026DF"/>
    <w:rsid w:val="00803558"/>
    <w:rsid w:val="00803755"/>
    <w:rsid w:val="00803972"/>
    <w:rsid w:val="0080419E"/>
    <w:rsid w:val="008042C6"/>
    <w:rsid w:val="008046A9"/>
    <w:rsid w:val="00804934"/>
    <w:rsid w:val="0080561C"/>
    <w:rsid w:val="00806A1E"/>
    <w:rsid w:val="00807502"/>
    <w:rsid w:val="00807651"/>
    <w:rsid w:val="00807F14"/>
    <w:rsid w:val="00810140"/>
    <w:rsid w:val="00810894"/>
    <w:rsid w:val="00810A3E"/>
    <w:rsid w:val="00810F17"/>
    <w:rsid w:val="008110C8"/>
    <w:rsid w:val="00812040"/>
    <w:rsid w:val="00812558"/>
    <w:rsid w:val="008125E9"/>
    <w:rsid w:val="008126EF"/>
    <w:rsid w:val="00812F2F"/>
    <w:rsid w:val="008133DC"/>
    <w:rsid w:val="00814A9D"/>
    <w:rsid w:val="008151BA"/>
    <w:rsid w:val="008154B8"/>
    <w:rsid w:val="00816958"/>
    <w:rsid w:val="00816BC7"/>
    <w:rsid w:val="00817AE3"/>
    <w:rsid w:val="00820909"/>
    <w:rsid w:val="00820C0E"/>
    <w:rsid w:val="00821700"/>
    <w:rsid w:val="00821C2F"/>
    <w:rsid w:val="00821C5A"/>
    <w:rsid w:val="00821F6B"/>
    <w:rsid w:val="00821FAF"/>
    <w:rsid w:val="008221AF"/>
    <w:rsid w:val="00822A0C"/>
    <w:rsid w:val="00823981"/>
    <w:rsid w:val="00823D6B"/>
    <w:rsid w:val="0082495F"/>
    <w:rsid w:val="00824C33"/>
    <w:rsid w:val="00825367"/>
    <w:rsid w:val="00825C93"/>
    <w:rsid w:val="00826117"/>
    <w:rsid w:val="00826146"/>
    <w:rsid w:val="008271EF"/>
    <w:rsid w:val="0082758D"/>
    <w:rsid w:val="008275A8"/>
    <w:rsid w:val="00830200"/>
    <w:rsid w:val="008308F8"/>
    <w:rsid w:val="008314F6"/>
    <w:rsid w:val="00831559"/>
    <w:rsid w:val="00831C60"/>
    <w:rsid w:val="00831D7A"/>
    <w:rsid w:val="00833257"/>
    <w:rsid w:val="0083373F"/>
    <w:rsid w:val="00833A5D"/>
    <w:rsid w:val="00833E12"/>
    <w:rsid w:val="0083426E"/>
    <w:rsid w:val="0083497B"/>
    <w:rsid w:val="008351C5"/>
    <w:rsid w:val="008366C9"/>
    <w:rsid w:val="00836B88"/>
    <w:rsid w:val="008377A2"/>
    <w:rsid w:val="0083789F"/>
    <w:rsid w:val="00837A6B"/>
    <w:rsid w:val="00837D2C"/>
    <w:rsid w:val="0084014F"/>
    <w:rsid w:val="008405D3"/>
    <w:rsid w:val="00841467"/>
    <w:rsid w:val="008424BA"/>
    <w:rsid w:val="00843173"/>
    <w:rsid w:val="00843625"/>
    <w:rsid w:val="00843A5F"/>
    <w:rsid w:val="00844639"/>
    <w:rsid w:val="00844BB9"/>
    <w:rsid w:val="00844D1C"/>
    <w:rsid w:val="008455CD"/>
    <w:rsid w:val="0084692A"/>
    <w:rsid w:val="00846A6A"/>
    <w:rsid w:val="00846CBB"/>
    <w:rsid w:val="00847189"/>
    <w:rsid w:val="00847B1A"/>
    <w:rsid w:val="00850DBC"/>
    <w:rsid w:val="00850F9D"/>
    <w:rsid w:val="008519ED"/>
    <w:rsid w:val="00851CDE"/>
    <w:rsid w:val="00851D0A"/>
    <w:rsid w:val="00852970"/>
    <w:rsid w:val="00852DB1"/>
    <w:rsid w:val="008531C1"/>
    <w:rsid w:val="008537B7"/>
    <w:rsid w:val="00853A78"/>
    <w:rsid w:val="0085466B"/>
    <w:rsid w:val="00854814"/>
    <w:rsid w:val="00854BCC"/>
    <w:rsid w:val="00855503"/>
    <w:rsid w:val="00855E31"/>
    <w:rsid w:val="00856103"/>
    <w:rsid w:val="0085624C"/>
    <w:rsid w:val="0085680D"/>
    <w:rsid w:val="00857106"/>
    <w:rsid w:val="008576C7"/>
    <w:rsid w:val="00857A02"/>
    <w:rsid w:val="00860336"/>
    <w:rsid w:val="00860805"/>
    <w:rsid w:val="00862150"/>
    <w:rsid w:val="00862675"/>
    <w:rsid w:val="008633B6"/>
    <w:rsid w:val="00864100"/>
    <w:rsid w:val="0086412D"/>
    <w:rsid w:val="008641FC"/>
    <w:rsid w:val="00864240"/>
    <w:rsid w:val="0086498E"/>
    <w:rsid w:val="00864A23"/>
    <w:rsid w:val="00865368"/>
    <w:rsid w:val="008660CC"/>
    <w:rsid w:val="00866B07"/>
    <w:rsid w:val="00866D36"/>
    <w:rsid w:val="00867095"/>
    <w:rsid w:val="008672F3"/>
    <w:rsid w:val="00867D02"/>
    <w:rsid w:val="00870C60"/>
    <w:rsid w:val="00870D3D"/>
    <w:rsid w:val="00871185"/>
    <w:rsid w:val="00871606"/>
    <w:rsid w:val="0087168A"/>
    <w:rsid w:val="008723B0"/>
    <w:rsid w:val="008729C7"/>
    <w:rsid w:val="00872C33"/>
    <w:rsid w:val="00873175"/>
    <w:rsid w:val="00873785"/>
    <w:rsid w:val="00873999"/>
    <w:rsid w:val="00873C8F"/>
    <w:rsid w:val="00874096"/>
    <w:rsid w:val="008746F2"/>
    <w:rsid w:val="008749FD"/>
    <w:rsid w:val="00874AB1"/>
    <w:rsid w:val="0087523E"/>
    <w:rsid w:val="008756F6"/>
    <w:rsid w:val="00876D62"/>
    <w:rsid w:val="00877002"/>
    <w:rsid w:val="0087720F"/>
    <w:rsid w:val="008772EB"/>
    <w:rsid w:val="00877561"/>
    <w:rsid w:val="00877EBF"/>
    <w:rsid w:val="00880A57"/>
    <w:rsid w:val="00880F12"/>
    <w:rsid w:val="00882035"/>
    <w:rsid w:val="008825B6"/>
    <w:rsid w:val="00882AA7"/>
    <w:rsid w:val="00882E3A"/>
    <w:rsid w:val="008830FF"/>
    <w:rsid w:val="00883177"/>
    <w:rsid w:val="0088325F"/>
    <w:rsid w:val="00883359"/>
    <w:rsid w:val="00883C44"/>
    <w:rsid w:val="00883EAD"/>
    <w:rsid w:val="00883F1D"/>
    <w:rsid w:val="008849C5"/>
    <w:rsid w:val="008851E1"/>
    <w:rsid w:val="00885A36"/>
    <w:rsid w:val="00885C44"/>
    <w:rsid w:val="00886137"/>
    <w:rsid w:val="00886886"/>
    <w:rsid w:val="00886A74"/>
    <w:rsid w:val="00886DD7"/>
    <w:rsid w:val="008871FE"/>
    <w:rsid w:val="00887DE0"/>
    <w:rsid w:val="00887F11"/>
    <w:rsid w:val="00890477"/>
    <w:rsid w:val="008911B2"/>
    <w:rsid w:val="0089184F"/>
    <w:rsid w:val="00892918"/>
    <w:rsid w:val="00892AAB"/>
    <w:rsid w:val="0089313E"/>
    <w:rsid w:val="008935B4"/>
    <w:rsid w:val="0089385E"/>
    <w:rsid w:val="00893992"/>
    <w:rsid w:val="0089410C"/>
    <w:rsid w:val="00895437"/>
    <w:rsid w:val="00895DBF"/>
    <w:rsid w:val="00895E4D"/>
    <w:rsid w:val="008969D0"/>
    <w:rsid w:val="00897673"/>
    <w:rsid w:val="00897AA0"/>
    <w:rsid w:val="00897F3F"/>
    <w:rsid w:val="008A0FEF"/>
    <w:rsid w:val="008A159E"/>
    <w:rsid w:val="008A1D23"/>
    <w:rsid w:val="008A23A6"/>
    <w:rsid w:val="008A26D2"/>
    <w:rsid w:val="008A3585"/>
    <w:rsid w:val="008A3EC9"/>
    <w:rsid w:val="008A3FB9"/>
    <w:rsid w:val="008A4C80"/>
    <w:rsid w:val="008A54C5"/>
    <w:rsid w:val="008A56A4"/>
    <w:rsid w:val="008A57F6"/>
    <w:rsid w:val="008A5B20"/>
    <w:rsid w:val="008A5DFA"/>
    <w:rsid w:val="008A61EB"/>
    <w:rsid w:val="008A6337"/>
    <w:rsid w:val="008A633F"/>
    <w:rsid w:val="008A670A"/>
    <w:rsid w:val="008A6E05"/>
    <w:rsid w:val="008A70C9"/>
    <w:rsid w:val="008A74BE"/>
    <w:rsid w:val="008A7D4B"/>
    <w:rsid w:val="008B0925"/>
    <w:rsid w:val="008B11B7"/>
    <w:rsid w:val="008B1EA3"/>
    <w:rsid w:val="008B1F11"/>
    <w:rsid w:val="008B1FC8"/>
    <w:rsid w:val="008B2466"/>
    <w:rsid w:val="008B2498"/>
    <w:rsid w:val="008B435D"/>
    <w:rsid w:val="008B4383"/>
    <w:rsid w:val="008B485D"/>
    <w:rsid w:val="008B54CA"/>
    <w:rsid w:val="008B5883"/>
    <w:rsid w:val="008B5A70"/>
    <w:rsid w:val="008B5D45"/>
    <w:rsid w:val="008B5E4A"/>
    <w:rsid w:val="008B6329"/>
    <w:rsid w:val="008B6526"/>
    <w:rsid w:val="008B6A0A"/>
    <w:rsid w:val="008B708D"/>
    <w:rsid w:val="008B7ED6"/>
    <w:rsid w:val="008C006D"/>
    <w:rsid w:val="008C0947"/>
    <w:rsid w:val="008C0EF3"/>
    <w:rsid w:val="008C0FDF"/>
    <w:rsid w:val="008C1399"/>
    <w:rsid w:val="008C15ED"/>
    <w:rsid w:val="008C1AD0"/>
    <w:rsid w:val="008C22A9"/>
    <w:rsid w:val="008C269D"/>
    <w:rsid w:val="008C279E"/>
    <w:rsid w:val="008C3847"/>
    <w:rsid w:val="008C3D25"/>
    <w:rsid w:val="008C4A7A"/>
    <w:rsid w:val="008C55F7"/>
    <w:rsid w:val="008C5AED"/>
    <w:rsid w:val="008C5DD1"/>
    <w:rsid w:val="008C63E4"/>
    <w:rsid w:val="008C65D1"/>
    <w:rsid w:val="008C6AF0"/>
    <w:rsid w:val="008C71F8"/>
    <w:rsid w:val="008C7422"/>
    <w:rsid w:val="008D0359"/>
    <w:rsid w:val="008D1099"/>
    <w:rsid w:val="008D2F8A"/>
    <w:rsid w:val="008D31C0"/>
    <w:rsid w:val="008D4049"/>
    <w:rsid w:val="008D4AB6"/>
    <w:rsid w:val="008D4F5B"/>
    <w:rsid w:val="008D770D"/>
    <w:rsid w:val="008D7F85"/>
    <w:rsid w:val="008E01E3"/>
    <w:rsid w:val="008E04AB"/>
    <w:rsid w:val="008E0940"/>
    <w:rsid w:val="008E0B53"/>
    <w:rsid w:val="008E0E65"/>
    <w:rsid w:val="008E1039"/>
    <w:rsid w:val="008E2430"/>
    <w:rsid w:val="008E2441"/>
    <w:rsid w:val="008E28C3"/>
    <w:rsid w:val="008E2A12"/>
    <w:rsid w:val="008E2DA7"/>
    <w:rsid w:val="008E30B3"/>
    <w:rsid w:val="008E3355"/>
    <w:rsid w:val="008E3BAC"/>
    <w:rsid w:val="008E408D"/>
    <w:rsid w:val="008E464E"/>
    <w:rsid w:val="008E4DE4"/>
    <w:rsid w:val="008E51E6"/>
    <w:rsid w:val="008E5635"/>
    <w:rsid w:val="008E609A"/>
    <w:rsid w:val="008E6982"/>
    <w:rsid w:val="008E7463"/>
    <w:rsid w:val="008E7606"/>
    <w:rsid w:val="008E786A"/>
    <w:rsid w:val="008E7FCD"/>
    <w:rsid w:val="008F099A"/>
    <w:rsid w:val="008F0EDC"/>
    <w:rsid w:val="008F1133"/>
    <w:rsid w:val="008F16F6"/>
    <w:rsid w:val="008F1B1F"/>
    <w:rsid w:val="008F353D"/>
    <w:rsid w:val="008F59E4"/>
    <w:rsid w:val="008F73E4"/>
    <w:rsid w:val="008F75B2"/>
    <w:rsid w:val="008F7709"/>
    <w:rsid w:val="008F7DA0"/>
    <w:rsid w:val="009006B9"/>
    <w:rsid w:val="009008C8"/>
    <w:rsid w:val="00900E54"/>
    <w:rsid w:val="009013B0"/>
    <w:rsid w:val="009024EF"/>
    <w:rsid w:val="009037C5"/>
    <w:rsid w:val="00903EAF"/>
    <w:rsid w:val="00903EFC"/>
    <w:rsid w:val="00905014"/>
    <w:rsid w:val="00905880"/>
    <w:rsid w:val="00905E24"/>
    <w:rsid w:val="00906354"/>
    <w:rsid w:val="009064F5"/>
    <w:rsid w:val="009066E7"/>
    <w:rsid w:val="00906875"/>
    <w:rsid w:val="00906BCD"/>
    <w:rsid w:val="00907981"/>
    <w:rsid w:val="009103B1"/>
    <w:rsid w:val="00910620"/>
    <w:rsid w:val="009108F6"/>
    <w:rsid w:val="0091099A"/>
    <w:rsid w:val="00911137"/>
    <w:rsid w:val="00911832"/>
    <w:rsid w:val="009123B6"/>
    <w:rsid w:val="009124AC"/>
    <w:rsid w:val="009126BE"/>
    <w:rsid w:val="00912F92"/>
    <w:rsid w:val="0091362A"/>
    <w:rsid w:val="009137C3"/>
    <w:rsid w:val="0091393E"/>
    <w:rsid w:val="00913A06"/>
    <w:rsid w:val="00914242"/>
    <w:rsid w:val="00914280"/>
    <w:rsid w:val="00914358"/>
    <w:rsid w:val="0091491B"/>
    <w:rsid w:val="00914F85"/>
    <w:rsid w:val="00915155"/>
    <w:rsid w:val="00915F53"/>
    <w:rsid w:val="00916182"/>
    <w:rsid w:val="0091650E"/>
    <w:rsid w:val="009166E2"/>
    <w:rsid w:val="009177DA"/>
    <w:rsid w:val="00917FF6"/>
    <w:rsid w:val="00920356"/>
    <w:rsid w:val="009207E7"/>
    <w:rsid w:val="00922C99"/>
    <w:rsid w:val="009234F6"/>
    <w:rsid w:val="0092363E"/>
    <w:rsid w:val="00923D93"/>
    <w:rsid w:val="009240F8"/>
    <w:rsid w:val="009243CD"/>
    <w:rsid w:val="00924AAE"/>
    <w:rsid w:val="00924C8D"/>
    <w:rsid w:val="009250AF"/>
    <w:rsid w:val="0092589C"/>
    <w:rsid w:val="00925A70"/>
    <w:rsid w:val="00925DB1"/>
    <w:rsid w:val="00926A67"/>
    <w:rsid w:val="009300EE"/>
    <w:rsid w:val="009306E4"/>
    <w:rsid w:val="0093096A"/>
    <w:rsid w:val="00930E63"/>
    <w:rsid w:val="009317B3"/>
    <w:rsid w:val="00931D4B"/>
    <w:rsid w:val="00932032"/>
    <w:rsid w:val="0093282A"/>
    <w:rsid w:val="00932D42"/>
    <w:rsid w:val="00932ED9"/>
    <w:rsid w:val="00932EE5"/>
    <w:rsid w:val="0093452F"/>
    <w:rsid w:val="00934834"/>
    <w:rsid w:val="009349D4"/>
    <w:rsid w:val="00935BF4"/>
    <w:rsid w:val="0093601B"/>
    <w:rsid w:val="0093676E"/>
    <w:rsid w:val="00936CCE"/>
    <w:rsid w:val="00936E37"/>
    <w:rsid w:val="00936F70"/>
    <w:rsid w:val="00937250"/>
    <w:rsid w:val="00940312"/>
    <w:rsid w:val="00940346"/>
    <w:rsid w:val="00941639"/>
    <w:rsid w:val="00942F11"/>
    <w:rsid w:val="00943511"/>
    <w:rsid w:val="00943C8C"/>
    <w:rsid w:val="00944E5D"/>
    <w:rsid w:val="00945CD8"/>
    <w:rsid w:val="00945EA8"/>
    <w:rsid w:val="0094603E"/>
    <w:rsid w:val="00946160"/>
    <w:rsid w:val="0094706F"/>
    <w:rsid w:val="00947126"/>
    <w:rsid w:val="009472A8"/>
    <w:rsid w:val="00947892"/>
    <w:rsid w:val="009511AA"/>
    <w:rsid w:val="00951377"/>
    <w:rsid w:val="009522B3"/>
    <w:rsid w:val="0095253B"/>
    <w:rsid w:val="00952C29"/>
    <w:rsid w:val="0095397A"/>
    <w:rsid w:val="00955214"/>
    <w:rsid w:val="00956307"/>
    <w:rsid w:val="0095692E"/>
    <w:rsid w:val="00956CA2"/>
    <w:rsid w:val="009572DA"/>
    <w:rsid w:val="009573BE"/>
    <w:rsid w:val="00957754"/>
    <w:rsid w:val="00957FBD"/>
    <w:rsid w:val="00960BC6"/>
    <w:rsid w:val="009611CD"/>
    <w:rsid w:val="00961B1F"/>
    <w:rsid w:val="00962345"/>
    <w:rsid w:val="0096243E"/>
    <w:rsid w:val="00962D0C"/>
    <w:rsid w:val="00962E0C"/>
    <w:rsid w:val="00962F2A"/>
    <w:rsid w:val="009654CC"/>
    <w:rsid w:val="009654D5"/>
    <w:rsid w:val="009657D3"/>
    <w:rsid w:val="00965DA8"/>
    <w:rsid w:val="009667CD"/>
    <w:rsid w:val="00967531"/>
    <w:rsid w:val="00971495"/>
    <w:rsid w:val="00971715"/>
    <w:rsid w:val="009718C4"/>
    <w:rsid w:val="00971C28"/>
    <w:rsid w:val="00972140"/>
    <w:rsid w:val="0097235E"/>
    <w:rsid w:val="00972E8D"/>
    <w:rsid w:val="00973815"/>
    <w:rsid w:val="00974780"/>
    <w:rsid w:val="009749EB"/>
    <w:rsid w:val="00974B10"/>
    <w:rsid w:val="0097536E"/>
    <w:rsid w:val="009757D6"/>
    <w:rsid w:val="00977406"/>
    <w:rsid w:val="00977B40"/>
    <w:rsid w:val="00980484"/>
    <w:rsid w:val="009820D2"/>
    <w:rsid w:val="0098371B"/>
    <w:rsid w:val="0098435D"/>
    <w:rsid w:val="0098467E"/>
    <w:rsid w:val="0098494E"/>
    <w:rsid w:val="00984FAD"/>
    <w:rsid w:val="009852FD"/>
    <w:rsid w:val="00985570"/>
    <w:rsid w:val="00985E52"/>
    <w:rsid w:val="00986465"/>
    <w:rsid w:val="0098699E"/>
    <w:rsid w:val="00986BD1"/>
    <w:rsid w:val="00986C11"/>
    <w:rsid w:val="00987ED2"/>
    <w:rsid w:val="0099016B"/>
    <w:rsid w:val="009906A4"/>
    <w:rsid w:val="00990D18"/>
    <w:rsid w:val="00991166"/>
    <w:rsid w:val="00991DE1"/>
    <w:rsid w:val="009922CC"/>
    <w:rsid w:val="009928B8"/>
    <w:rsid w:val="00994172"/>
    <w:rsid w:val="00994862"/>
    <w:rsid w:val="00994ED4"/>
    <w:rsid w:val="0099517B"/>
    <w:rsid w:val="0099534E"/>
    <w:rsid w:val="00996426"/>
    <w:rsid w:val="0099728A"/>
    <w:rsid w:val="009978C8"/>
    <w:rsid w:val="009979C7"/>
    <w:rsid w:val="00997EDF"/>
    <w:rsid w:val="00997FE3"/>
    <w:rsid w:val="009A008E"/>
    <w:rsid w:val="009A0E97"/>
    <w:rsid w:val="009A1047"/>
    <w:rsid w:val="009A1096"/>
    <w:rsid w:val="009A132E"/>
    <w:rsid w:val="009A29BC"/>
    <w:rsid w:val="009A3E2D"/>
    <w:rsid w:val="009A3F9B"/>
    <w:rsid w:val="009A3F9F"/>
    <w:rsid w:val="009A45D0"/>
    <w:rsid w:val="009A466B"/>
    <w:rsid w:val="009A4868"/>
    <w:rsid w:val="009A4875"/>
    <w:rsid w:val="009A4B79"/>
    <w:rsid w:val="009A5782"/>
    <w:rsid w:val="009A5A07"/>
    <w:rsid w:val="009A5AD1"/>
    <w:rsid w:val="009A6818"/>
    <w:rsid w:val="009A6BBA"/>
    <w:rsid w:val="009A6EC9"/>
    <w:rsid w:val="009A6F22"/>
    <w:rsid w:val="009B0505"/>
    <w:rsid w:val="009B06C3"/>
    <w:rsid w:val="009B0838"/>
    <w:rsid w:val="009B1058"/>
    <w:rsid w:val="009B1E20"/>
    <w:rsid w:val="009B250D"/>
    <w:rsid w:val="009B28F0"/>
    <w:rsid w:val="009B35D2"/>
    <w:rsid w:val="009B508F"/>
    <w:rsid w:val="009B51C8"/>
    <w:rsid w:val="009B61DB"/>
    <w:rsid w:val="009B6EA6"/>
    <w:rsid w:val="009B7EB3"/>
    <w:rsid w:val="009C06DB"/>
    <w:rsid w:val="009C06E1"/>
    <w:rsid w:val="009C0FC9"/>
    <w:rsid w:val="009C13C5"/>
    <w:rsid w:val="009C1584"/>
    <w:rsid w:val="009C1BF4"/>
    <w:rsid w:val="009C1F17"/>
    <w:rsid w:val="009C3400"/>
    <w:rsid w:val="009C3951"/>
    <w:rsid w:val="009C4521"/>
    <w:rsid w:val="009C4558"/>
    <w:rsid w:val="009C52A7"/>
    <w:rsid w:val="009C52EF"/>
    <w:rsid w:val="009C5471"/>
    <w:rsid w:val="009C5714"/>
    <w:rsid w:val="009C6EF2"/>
    <w:rsid w:val="009C6F57"/>
    <w:rsid w:val="009C718D"/>
    <w:rsid w:val="009C7429"/>
    <w:rsid w:val="009C7DFB"/>
    <w:rsid w:val="009D1AB0"/>
    <w:rsid w:val="009D1CC0"/>
    <w:rsid w:val="009D2316"/>
    <w:rsid w:val="009D2866"/>
    <w:rsid w:val="009D2976"/>
    <w:rsid w:val="009D2A72"/>
    <w:rsid w:val="009D32D0"/>
    <w:rsid w:val="009D37A0"/>
    <w:rsid w:val="009D392A"/>
    <w:rsid w:val="009D3B18"/>
    <w:rsid w:val="009D3B8A"/>
    <w:rsid w:val="009D4817"/>
    <w:rsid w:val="009D505E"/>
    <w:rsid w:val="009D5348"/>
    <w:rsid w:val="009D5F2E"/>
    <w:rsid w:val="009D6230"/>
    <w:rsid w:val="009D65CC"/>
    <w:rsid w:val="009D68DE"/>
    <w:rsid w:val="009D6B00"/>
    <w:rsid w:val="009D6DB9"/>
    <w:rsid w:val="009D6EAE"/>
    <w:rsid w:val="009D7744"/>
    <w:rsid w:val="009D7CEC"/>
    <w:rsid w:val="009E11E0"/>
    <w:rsid w:val="009E1362"/>
    <w:rsid w:val="009E1A49"/>
    <w:rsid w:val="009E2247"/>
    <w:rsid w:val="009E24AC"/>
    <w:rsid w:val="009E24B1"/>
    <w:rsid w:val="009E2AA1"/>
    <w:rsid w:val="009E2AF7"/>
    <w:rsid w:val="009E2F97"/>
    <w:rsid w:val="009E2FD3"/>
    <w:rsid w:val="009E427D"/>
    <w:rsid w:val="009E4B1D"/>
    <w:rsid w:val="009E5071"/>
    <w:rsid w:val="009E53BF"/>
    <w:rsid w:val="009E5C7A"/>
    <w:rsid w:val="009E7A25"/>
    <w:rsid w:val="009E7C62"/>
    <w:rsid w:val="009F092A"/>
    <w:rsid w:val="009F1410"/>
    <w:rsid w:val="009F1552"/>
    <w:rsid w:val="009F183C"/>
    <w:rsid w:val="009F1A23"/>
    <w:rsid w:val="009F2E8A"/>
    <w:rsid w:val="009F3A99"/>
    <w:rsid w:val="009F3C4C"/>
    <w:rsid w:val="009F3EC1"/>
    <w:rsid w:val="009F40CC"/>
    <w:rsid w:val="009F4257"/>
    <w:rsid w:val="009F4F3D"/>
    <w:rsid w:val="009F5CC2"/>
    <w:rsid w:val="009F5D52"/>
    <w:rsid w:val="009F6326"/>
    <w:rsid w:val="009F6359"/>
    <w:rsid w:val="009F66B1"/>
    <w:rsid w:val="009F75C1"/>
    <w:rsid w:val="009F7CA0"/>
    <w:rsid w:val="009F7E95"/>
    <w:rsid w:val="00A00336"/>
    <w:rsid w:val="00A00490"/>
    <w:rsid w:val="00A0080E"/>
    <w:rsid w:val="00A00A6E"/>
    <w:rsid w:val="00A00C18"/>
    <w:rsid w:val="00A00DC4"/>
    <w:rsid w:val="00A01A33"/>
    <w:rsid w:val="00A01FD1"/>
    <w:rsid w:val="00A02256"/>
    <w:rsid w:val="00A022F2"/>
    <w:rsid w:val="00A024F0"/>
    <w:rsid w:val="00A02C2D"/>
    <w:rsid w:val="00A02CD3"/>
    <w:rsid w:val="00A03681"/>
    <w:rsid w:val="00A03C0B"/>
    <w:rsid w:val="00A03F14"/>
    <w:rsid w:val="00A04683"/>
    <w:rsid w:val="00A046F8"/>
    <w:rsid w:val="00A04B2F"/>
    <w:rsid w:val="00A05904"/>
    <w:rsid w:val="00A0593B"/>
    <w:rsid w:val="00A05C92"/>
    <w:rsid w:val="00A067E1"/>
    <w:rsid w:val="00A06BB2"/>
    <w:rsid w:val="00A06CF6"/>
    <w:rsid w:val="00A06FAD"/>
    <w:rsid w:val="00A11904"/>
    <w:rsid w:val="00A11A13"/>
    <w:rsid w:val="00A11E40"/>
    <w:rsid w:val="00A12E9A"/>
    <w:rsid w:val="00A13756"/>
    <w:rsid w:val="00A13C34"/>
    <w:rsid w:val="00A152E6"/>
    <w:rsid w:val="00A1674E"/>
    <w:rsid w:val="00A17284"/>
    <w:rsid w:val="00A20646"/>
    <w:rsid w:val="00A20BE2"/>
    <w:rsid w:val="00A212B9"/>
    <w:rsid w:val="00A21838"/>
    <w:rsid w:val="00A218B5"/>
    <w:rsid w:val="00A2285A"/>
    <w:rsid w:val="00A229CC"/>
    <w:rsid w:val="00A22C90"/>
    <w:rsid w:val="00A22D23"/>
    <w:rsid w:val="00A24026"/>
    <w:rsid w:val="00A24964"/>
    <w:rsid w:val="00A24989"/>
    <w:rsid w:val="00A253EC"/>
    <w:rsid w:val="00A25DDF"/>
    <w:rsid w:val="00A27AC8"/>
    <w:rsid w:val="00A27CAE"/>
    <w:rsid w:val="00A3030F"/>
    <w:rsid w:val="00A30748"/>
    <w:rsid w:val="00A30C4D"/>
    <w:rsid w:val="00A3178C"/>
    <w:rsid w:val="00A31C25"/>
    <w:rsid w:val="00A32C4A"/>
    <w:rsid w:val="00A34010"/>
    <w:rsid w:val="00A34200"/>
    <w:rsid w:val="00A350F9"/>
    <w:rsid w:val="00A35E6B"/>
    <w:rsid w:val="00A36DF2"/>
    <w:rsid w:val="00A37773"/>
    <w:rsid w:val="00A37CA6"/>
    <w:rsid w:val="00A40048"/>
    <w:rsid w:val="00A404C3"/>
    <w:rsid w:val="00A40AE5"/>
    <w:rsid w:val="00A410A4"/>
    <w:rsid w:val="00A41C13"/>
    <w:rsid w:val="00A41E85"/>
    <w:rsid w:val="00A422B2"/>
    <w:rsid w:val="00A4230C"/>
    <w:rsid w:val="00A430AA"/>
    <w:rsid w:val="00A430FB"/>
    <w:rsid w:val="00A434F2"/>
    <w:rsid w:val="00A43B47"/>
    <w:rsid w:val="00A43D60"/>
    <w:rsid w:val="00A4432C"/>
    <w:rsid w:val="00A44CE9"/>
    <w:rsid w:val="00A452B0"/>
    <w:rsid w:val="00A45B90"/>
    <w:rsid w:val="00A460F4"/>
    <w:rsid w:val="00A465F5"/>
    <w:rsid w:val="00A46B0B"/>
    <w:rsid w:val="00A46C4E"/>
    <w:rsid w:val="00A479A4"/>
    <w:rsid w:val="00A47EFB"/>
    <w:rsid w:val="00A51972"/>
    <w:rsid w:val="00A51C28"/>
    <w:rsid w:val="00A51D6D"/>
    <w:rsid w:val="00A52646"/>
    <w:rsid w:val="00A539A5"/>
    <w:rsid w:val="00A53A45"/>
    <w:rsid w:val="00A54A87"/>
    <w:rsid w:val="00A54E8B"/>
    <w:rsid w:val="00A55190"/>
    <w:rsid w:val="00A5520A"/>
    <w:rsid w:val="00A55A68"/>
    <w:rsid w:val="00A5696E"/>
    <w:rsid w:val="00A56B71"/>
    <w:rsid w:val="00A56C44"/>
    <w:rsid w:val="00A57FCF"/>
    <w:rsid w:val="00A60044"/>
    <w:rsid w:val="00A6053D"/>
    <w:rsid w:val="00A60AFD"/>
    <w:rsid w:val="00A6202A"/>
    <w:rsid w:val="00A623ED"/>
    <w:rsid w:val="00A62B8D"/>
    <w:rsid w:val="00A62E58"/>
    <w:rsid w:val="00A634DB"/>
    <w:rsid w:val="00A660B6"/>
    <w:rsid w:val="00A66498"/>
    <w:rsid w:val="00A6723F"/>
    <w:rsid w:val="00A67432"/>
    <w:rsid w:val="00A67A8B"/>
    <w:rsid w:val="00A67DAF"/>
    <w:rsid w:val="00A67EA5"/>
    <w:rsid w:val="00A707FD"/>
    <w:rsid w:val="00A70AD5"/>
    <w:rsid w:val="00A7193C"/>
    <w:rsid w:val="00A73D61"/>
    <w:rsid w:val="00A74C62"/>
    <w:rsid w:val="00A756B5"/>
    <w:rsid w:val="00A76752"/>
    <w:rsid w:val="00A77453"/>
    <w:rsid w:val="00A77724"/>
    <w:rsid w:val="00A77980"/>
    <w:rsid w:val="00A77CD0"/>
    <w:rsid w:val="00A77E36"/>
    <w:rsid w:val="00A81B91"/>
    <w:rsid w:val="00A82171"/>
    <w:rsid w:val="00A82715"/>
    <w:rsid w:val="00A82AE2"/>
    <w:rsid w:val="00A82AFB"/>
    <w:rsid w:val="00A82D21"/>
    <w:rsid w:val="00A84580"/>
    <w:rsid w:val="00A85C7F"/>
    <w:rsid w:val="00A85F83"/>
    <w:rsid w:val="00A86353"/>
    <w:rsid w:val="00A86FED"/>
    <w:rsid w:val="00A87DA6"/>
    <w:rsid w:val="00A90089"/>
    <w:rsid w:val="00A904A3"/>
    <w:rsid w:val="00A90882"/>
    <w:rsid w:val="00A90A24"/>
    <w:rsid w:val="00A914D6"/>
    <w:rsid w:val="00A917F0"/>
    <w:rsid w:val="00A91AD2"/>
    <w:rsid w:val="00A91BD3"/>
    <w:rsid w:val="00A92B6D"/>
    <w:rsid w:val="00A92E8D"/>
    <w:rsid w:val="00A940FE"/>
    <w:rsid w:val="00A94BBD"/>
    <w:rsid w:val="00A951D0"/>
    <w:rsid w:val="00A955F0"/>
    <w:rsid w:val="00A95F6D"/>
    <w:rsid w:val="00A96E36"/>
    <w:rsid w:val="00A978E8"/>
    <w:rsid w:val="00A97D30"/>
    <w:rsid w:val="00AA0560"/>
    <w:rsid w:val="00AA0CA3"/>
    <w:rsid w:val="00AA11B7"/>
    <w:rsid w:val="00AA11DC"/>
    <w:rsid w:val="00AA186F"/>
    <w:rsid w:val="00AA4374"/>
    <w:rsid w:val="00AA502E"/>
    <w:rsid w:val="00AA5E78"/>
    <w:rsid w:val="00AA6B63"/>
    <w:rsid w:val="00AA6D24"/>
    <w:rsid w:val="00AA75E1"/>
    <w:rsid w:val="00AA7FD9"/>
    <w:rsid w:val="00AB1FAD"/>
    <w:rsid w:val="00AB241F"/>
    <w:rsid w:val="00AB3141"/>
    <w:rsid w:val="00AB3997"/>
    <w:rsid w:val="00AB3A0B"/>
    <w:rsid w:val="00AB4035"/>
    <w:rsid w:val="00AB425D"/>
    <w:rsid w:val="00AB42E4"/>
    <w:rsid w:val="00AB5319"/>
    <w:rsid w:val="00AB56EE"/>
    <w:rsid w:val="00AB66E0"/>
    <w:rsid w:val="00AB6873"/>
    <w:rsid w:val="00AB71EA"/>
    <w:rsid w:val="00AB75B8"/>
    <w:rsid w:val="00AB7743"/>
    <w:rsid w:val="00AB7AAE"/>
    <w:rsid w:val="00AC08E5"/>
    <w:rsid w:val="00AC1BC0"/>
    <w:rsid w:val="00AC3062"/>
    <w:rsid w:val="00AC3CE7"/>
    <w:rsid w:val="00AC4142"/>
    <w:rsid w:val="00AC4D3C"/>
    <w:rsid w:val="00AC5A0D"/>
    <w:rsid w:val="00AC5D37"/>
    <w:rsid w:val="00AC7A61"/>
    <w:rsid w:val="00AC7B3D"/>
    <w:rsid w:val="00AC7EDF"/>
    <w:rsid w:val="00AD0009"/>
    <w:rsid w:val="00AD0721"/>
    <w:rsid w:val="00AD0816"/>
    <w:rsid w:val="00AD0913"/>
    <w:rsid w:val="00AD0AB7"/>
    <w:rsid w:val="00AD0B5E"/>
    <w:rsid w:val="00AD0E42"/>
    <w:rsid w:val="00AD0E8C"/>
    <w:rsid w:val="00AD11CF"/>
    <w:rsid w:val="00AD28B3"/>
    <w:rsid w:val="00AD3022"/>
    <w:rsid w:val="00AD3D35"/>
    <w:rsid w:val="00AD42D3"/>
    <w:rsid w:val="00AD4427"/>
    <w:rsid w:val="00AD4A30"/>
    <w:rsid w:val="00AD5417"/>
    <w:rsid w:val="00AD6247"/>
    <w:rsid w:val="00AD69B3"/>
    <w:rsid w:val="00AD6CDB"/>
    <w:rsid w:val="00AD6E69"/>
    <w:rsid w:val="00AD71CA"/>
    <w:rsid w:val="00AD7312"/>
    <w:rsid w:val="00AE07C3"/>
    <w:rsid w:val="00AE1839"/>
    <w:rsid w:val="00AE1B90"/>
    <w:rsid w:val="00AE1C9C"/>
    <w:rsid w:val="00AE1D73"/>
    <w:rsid w:val="00AE1EEF"/>
    <w:rsid w:val="00AE1FC4"/>
    <w:rsid w:val="00AE2831"/>
    <w:rsid w:val="00AE2CD1"/>
    <w:rsid w:val="00AE2D89"/>
    <w:rsid w:val="00AE3417"/>
    <w:rsid w:val="00AE45D7"/>
    <w:rsid w:val="00AE4774"/>
    <w:rsid w:val="00AE504F"/>
    <w:rsid w:val="00AE5126"/>
    <w:rsid w:val="00AE516E"/>
    <w:rsid w:val="00AE566A"/>
    <w:rsid w:val="00AE5C84"/>
    <w:rsid w:val="00AE640F"/>
    <w:rsid w:val="00AE66E5"/>
    <w:rsid w:val="00AE761A"/>
    <w:rsid w:val="00AF1764"/>
    <w:rsid w:val="00AF35AD"/>
    <w:rsid w:val="00AF35E2"/>
    <w:rsid w:val="00AF4296"/>
    <w:rsid w:val="00AF4543"/>
    <w:rsid w:val="00AF459E"/>
    <w:rsid w:val="00AF4CC1"/>
    <w:rsid w:val="00AF4E50"/>
    <w:rsid w:val="00AF4E67"/>
    <w:rsid w:val="00AF53E1"/>
    <w:rsid w:val="00AF54C8"/>
    <w:rsid w:val="00AF5518"/>
    <w:rsid w:val="00AF5E42"/>
    <w:rsid w:val="00AF698F"/>
    <w:rsid w:val="00AF6C27"/>
    <w:rsid w:val="00AF70C9"/>
    <w:rsid w:val="00AF7861"/>
    <w:rsid w:val="00AF7BFD"/>
    <w:rsid w:val="00B000FB"/>
    <w:rsid w:val="00B00717"/>
    <w:rsid w:val="00B010A1"/>
    <w:rsid w:val="00B01B96"/>
    <w:rsid w:val="00B01F6E"/>
    <w:rsid w:val="00B03F7D"/>
    <w:rsid w:val="00B0400A"/>
    <w:rsid w:val="00B047E2"/>
    <w:rsid w:val="00B056F6"/>
    <w:rsid w:val="00B057F4"/>
    <w:rsid w:val="00B0620A"/>
    <w:rsid w:val="00B0788C"/>
    <w:rsid w:val="00B10162"/>
    <w:rsid w:val="00B10361"/>
    <w:rsid w:val="00B10502"/>
    <w:rsid w:val="00B10E73"/>
    <w:rsid w:val="00B11A75"/>
    <w:rsid w:val="00B11C95"/>
    <w:rsid w:val="00B12DEF"/>
    <w:rsid w:val="00B130A6"/>
    <w:rsid w:val="00B148F8"/>
    <w:rsid w:val="00B149D0"/>
    <w:rsid w:val="00B1595B"/>
    <w:rsid w:val="00B161AF"/>
    <w:rsid w:val="00B164BA"/>
    <w:rsid w:val="00B16B8B"/>
    <w:rsid w:val="00B17755"/>
    <w:rsid w:val="00B177D8"/>
    <w:rsid w:val="00B179BB"/>
    <w:rsid w:val="00B17BAC"/>
    <w:rsid w:val="00B2115C"/>
    <w:rsid w:val="00B2129A"/>
    <w:rsid w:val="00B22070"/>
    <w:rsid w:val="00B2233E"/>
    <w:rsid w:val="00B230EF"/>
    <w:rsid w:val="00B23270"/>
    <w:rsid w:val="00B23274"/>
    <w:rsid w:val="00B2342E"/>
    <w:rsid w:val="00B23AAA"/>
    <w:rsid w:val="00B245C0"/>
    <w:rsid w:val="00B24C40"/>
    <w:rsid w:val="00B24F24"/>
    <w:rsid w:val="00B250BE"/>
    <w:rsid w:val="00B2532F"/>
    <w:rsid w:val="00B253E6"/>
    <w:rsid w:val="00B25F19"/>
    <w:rsid w:val="00B26CD1"/>
    <w:rsid w:val="00B27919"/>
    <w:rsid w:val="00B27B48"/>
    <w:rsid w:val="00B27BD4"/>
    <w:rsid w:val="00B30019"/>
    <w:rsid w:val="00B30712"/>
    <w:rsid w:val="00B3109D"/>
    <w:rsid w:val="00B314D5"/>
    <w:rsid w:val="00B3181F"/>
    <w:rsid w:val="00B31C32"/>
    <w:rsid w:val="00B32316"/>
    <w:rsid w:val="00B32A69"/>
    <w:rsid w:val="00B32D8C"/>
    <w:rsid w:val="00B33224"/>
    <w:rsid w:val="00B337D1"/>
    <w:rsid w:val="00B33830"/>
    <w:rsid w:val="00B33B3E"/>
    <w:rsid w:val="00B34A59"/>
    <w:rsid w:val="00B3525F"/>
    <w:rsid w:val="00B3585F"/>
    <w:rsid w:val="00B35C41"/>
    <w:rsid w:val="00B36A6C"/>
    <w:rsid w:val="00B36A8B"/>
    <w:rsid w:val="00B36ABC"/>
    <w:rsid w:val="00B40580"/>
    <w:rsid w:val="00B40848"/>
    <w:rsid w:val="00B40FB0"/>
    <w:rsid w:val="00B4128E"/>
    <w:rsid w:val="00B41A42"/>
    <w:rsid w:val="00B425A2"/>
    <w:rsid w:val="00B42D23"/>
    <w:rsid w:val="00B4369E"/>
    <w:rsid w:val="00B44291"/>
    <w:rsid w:val="00B44DE5"/>
    <w:rsid w:val="00B451FB"/>
    <w:rsid w:val="00B45318"/>
    <w:rsid w:val="00B45553"/>
    <w:rsid w:val="00B459D3"/>
    <w:rsid w:val="00B45B49"/>
    <w:rsid w:val="00B46289"/>
    <w:rsid w:val="00B4638F"/>
    <w:rsid w:val="00B465A2"/>
    <w:rsid w:val="00B46658"/>
    <w:rsid w:val="00B47DD4"/>
    <w:rsid w:val="00B47DF0"/>
    <w:rsid w:val="00B50341"/>
    <w:rsid w:val="00B5059A"/>
    <w:rsid w:val="00B5072A"/>
    <w:rsid w:val="00B508BC"/>
    <w:rsid w:val="00B510A2"/>
    <w:rsid w:val="00B51F69"/>
    <w:rsid w:val="00B530DA"/>
    <w:rsid w:val="00B53120"/>
    <w:rsid w:val="00B534B7"/>
    <w:rsid w:val="00B5374F"/>
    <w:rsid w:val="00B5378B"/>
    <w:rsid w:val="00B53A17"/>
    <w:rsid w:val="00B54204"/>
    <w:rsid w:val="00B542E1"/>
    <w:rsid w:val="00B5499B"/>
    <w:rsid w:val="00B560F6"/>
    <w:rsid w:val="00B6050B"/>
    <w:rsid w:val="00B60823"/>
    <w:rsid w:val="00B61F40"/>
    <w:rsid w:val="00B622E6"/>
    <w:rsid w:val="00B62390"/>
    <w:rsid w:val="00B626AF"/>
    <w:rsid w:val="00B627AE"/>
    <w:rsid w:val="00B62CA9"/>
    <w:rsid w:val="00B63449"/>
    <w:rsid w:val="00B643D3"/>
    <w:rsid w:val="00B64589"/>
    <w:rsid w:val="00B64817"/>
    <w:rsid w:val="00B64AD8"/>
    <w:rsid w:val="00B65CD5"/>
    <w:rsid w:val="00B66157"/>
    <w:rsid w:val="00B670A9"/>
    <w:rsid w:val="00B7030D"/>
    <w:rsid w:val="00B70441"/>
    <w:rsid w:val="00B70B3B"/>
    <w:rsid w:val="00B713AC"/>
    <w:rsid w:val="00B71450"/>
    <w:rsid w:val="00B739A5"/>
    <w:rsid w:val="00B746FF"/>
    <w:rsid w:val="00B74763"/>
    <w:rsid w:val="00B74CF8"/>
    <w:rsid w:val="00B752A7"/>
    <w:rsid w:val="00B76721"/>
    <w:rsid w:val="00B76A44"/>
    <w:rsid w:val="00B77049"/>
    <w:rsid w:val="00B803F4"/>
    <w:rsid w:val="00B80653"/>
    <w:rsid w:val="00B80C92"/>
    <w:rsid w:val="00B8120D"/>
    <w:rsid w:val="00B812C2"/>
    <w:rsid w:val="00B816EE"/>
    <w:rsid w:val="00B819EC"/>
    <w:rsid w:val="00B84103"/>
    <w:rsid w:val="00B8479E"/>
    <w:rsid w:val="00B847D6"/>
    <w:rsid w:val="00B84C90"/>
    <w:rsid w:val="00B84DE7"/>
    <w:rsid w:val="00B85A16"/>
    <w:rsid w:val="00B85A85"/>
    <w:rsid w:val="00B8627A"/>
    <w:rsid w:val="00B870F4"/>
    <w:rsid w:val="00B90076"/>
    <w:rsid w:val="00B90531"/>
    <w:rsid w:val="00B92299"/>
    <w:rsid w:val="00B929D0"/>
    <w:rsid w:val="00B943F5"/>
    <w:rsid w:val="00B94FD6"/>
    <w:rsid w:val="00B956BB"/>
    <w:rsid w:val="00B956D1"/>
    <w:rsid w:val="00B95D90"/>
    <w:rsid w:val="00B9622C"/>
    <w:rsid w:val="00B97930"/>
    <w:rsid w:val="00BA0BB2"/>
    <w:rsid w:val="00BA1974"/>
    <w:rsid w:val="00BA1D67"/>
    <w:rsid w:val="00BA1EFB"/>
    <w:rsid w:val="00BA21B3"/>
    <w:rsid w:val="00BA2A29"/>
    <w:rsid w:val="00BA2DAF"/>
    <w:rsid w:val="00BA3A11"/>
    <w:rsid w:val="00BA4DB9"/>
    <w:rsid w:val="00BA4DE6"/>
    <w:rsid w:val="00BA4DF0"/>
    <w:rsid w:val="00BA5E3F"/>
    <w:rsid w:val="00BA649B"/>
    <w:rsid w:val="00BA6508"/>
    <w:rsid w:val="00BA7331"/>
    <w:rsid w:val="00BA74AF"/>
    <w:rsid w:val="00BA77DE"/>
    <w:rsid w:val="00BA78A5"/>
    <w:rsid w:val="00BB159D"/>
    <w:rsid w:val="00BB168B"/>
    <w:rsid w:val="00BB1708"/>
    <w:rsid w:val="00BB1A27"/>
    <w:rsid w:val="00BB1BA1"/>
    <w:rsid w:val="00BB1F29"/>
    <w:rsid w:val="00BB2224"/>
    <w:rsid w:val="00BB27B1"/>
    <w:rsid w:val="00BB2A9D"/>
    <w:rsid w:val="00BB2B08"/>
    <w:rsid w:val="00BB3D8E"/>
    <w:rsid w:val="00BB3FA7"/>
    <w:rsid w:val="00BB45F5"/>
    <w:rsid w:val="00BB5E3E"/>
    <w:rsid w:val="00BB5FE7"/>
    <w:rsid w:val="00BB692B"/>
    <w:rsid w:val="00BB6D22"/>
    <w:rsid w:val="00BB79DD"/>
    <w:rsid w:val="00BB7A7C"/>
    <w:rsid w:val="00BB7D4F"/>
    <w:rsid w:val="00BC001F"/>
    <w:rsid w:val="00BC06DA"/>
    <w:rsid w:val="00BC1874"/>
    <w:rsid w:val="00BC1C9E"/>
    <w:rsid w:val="00BC2CBF"/>
    <w:rsid w:val="00BC32C4"/>
    <w:rsid w:val="00BC399A"/>
    <w:rsid w:val="00BC3ECC"/>
    <w:rsid w:val="00BC4B93"/>
    <w:rsid w:val="00BC5E4C"/>
    <w:rsid w:val="00BC69B6"/>
    <w:rsid w:val="00BC7D68"/>
    <w:rsid w:val="00BD0BD9"/>
    <w:rsid w:val="00BD11A4"/>
    <w:rsid w:val="00BD1431"/>
    <w:rsid w:val="00BD2DD3"/>
    <w:rsid w:val="00BD3392"/>
    <w:rsid w:val="00BD376A"/>
    <w:rsid w:val="00BD3B94"/>
    <w:rsid w:val="00BD74F8"/>
    <w:rsid w:val="00BE0078"/>
    <w:rsid w:val="00BE036B"/>
    <w:rsid w:val="00BE0564"/>
    <w:rsid w:val="00BE09D3"/>
    <w:rsid w:val="00BE15EF"/>
    <w:rsid w:val="00BE1769"/>
    <w:rsid w:val="00BE2819"/>
    <w:rsid w:val="00BE2BAC"/>
    <w:rsid w:val="00BE2E56"/>
    <w:rsid w:val="00BE3682"/>
    <w:rsid w:val="00BE4C55"/>
    <w:rsid w:val="00BE5112"/>
    <w:rsid w:val="00BE5843"/>
    <w:rsid w:val="00BE5BDD"/>
    <w:rsid w:val="00BE65B4"/>
    <w:rsid w:val="00BE6738"/>
    <w:rsid w:val="00BE6C36"/>
    <w:rsid w:val="00BE6D0F"/>
    <w:rsid w:val="00BE7E7C"/>
    <w:rsid w:val="00BF0490"/>
    <w:rsid w:val="00BF0952"/>
    <w:rsid w:val="00BF0B10"/>
    <w:rsid w:val="00BF0CD9"/>
    <w:rsid w:val="00BF0F87"/>
    <w:rsid w:val="00BF1528"/>
    <w:rsid w:val="00BF21CB"/>
    <w:rsid w:val="00BF2504"/>
    <w:rsid w:val="00BF2B60"/>
    <w:rsid w:val="00BF337C"/>
    <w:rsid w:val="00BF33CC"/>
    <w:rsid w:val="00BF341C"/>
    <w:rsid w:val="00BF3DF1"/>
    <w:rsid w:val="00BF45DF"/>
    <w:rsid w:val="00BF49BB"/>
    <w:rsid w:val="00BF63EF"/>
    <w:rsid w:val="00BF6653"/>
    <w:rsid w:val="00BF6AF0"/>
    <w:rsid w:val="00BF7736"/>
    <w:rsid w:val="00BF77DA"/>
    <w:rsid w:val="00C00263"/>
    <w:rsid w:val="00C01115"/>
    <w:rsid w:val="00C01261"/>
    <w:rsid w:val="00C0156E"/>
    <w:rsid w:val="00C0168A"/>
    <w:rsid w:val="00C01963"/>
    <w:rsid w:val="00C01B82"/>
    <w:rsid w:val="00C025E5"/>
    <w:rsid w:val="00C03A9B"/>
    <w:rsid w:val="00C043AD"/>
    <w:rsid w:val="00C05B38"/>
    <w:rsid w:val="00C05BAC"/>
    <w:rsid w:val="00C060D0"/>
    <w:rsid w:val="00C06352"/>
    <w:rsid w:val="00C0656A"/>
    <w:rsid w:val="00C065BB"/>
    <w:rsid w:val="00C06C1F"/>
    <w:rsid w:val="00C07285"/>
    <w:rsid w:val="00C07375"/>
    <w:rsid w:val="00C101AB"/>
    <w:rsid w:val="00C1062B"/>
    <w:rsid w:val="00C10663"/>
    <w:rsid w:val="00C11014"/>
    <w:rsid w:val="00C1104A"/>
    <w:rsid w:val="00C12050"/>
    <w:rsid w:val="00C125CE"/>
    <w:rsid w:val="00C133F3"/>
    <w:rsid w:val="00C13987"/>
    <w:rsid w:val="00C13AC6"/>
    <w:rsid w:val="00C13F60"/>
    <w:rsid w:val="00C14590"/>
    <w:rsid w:val="00C14A99"/>
    <w:rsid w:val="00C14FEB"/>
    <w:rsid w:val="00C1631E"/>
    <w:rsid w:val="00C163C9"/>
    <w:rsid w:val="00C16862"/>
    <w:rsid w:val="00C17137"/>
    <w:rsid w:val="00C17882"/>
    <w:rsid w:val="00C179C6"/>
    <w:rsid w:val="00C17B4F"/>
    <w:rsid w:val="00C209E0"/>
    <w:rsid w:val="00C20A43"/>
    <w:rsid w:val="00C20E20"/>
    <w:rsid w:val="00C21A6E"/>
    <w:rsid w:val="00C220B0"/>
    <w:rsid w:val="00C22293"/>
    <w:rsid w:val="00C2303C"/>
    <w:rsid w:val="00C23084"/>
    <w:rsid w:val="00C23368"/>
    <w:rsid w:val="00C247FD"/>
    <w:rsid w:val="00C248B9"/>
    <w:rsid w:val="00C24D55"/>
    <w:rsid w:val="00C24E56"/>
    <w:rsid w:val="00C25978"/>
    <w:rsid w:val="00C25C1A"/>
    <w:rsid w:val="00C25D84"/>
    <w:rsid w:val="00C25F40"/>
    <w:rsid w:val="00C26045"/>
    <w:rsid w:val="00C260AC"/>
    <w:rsid w:val="00C26447"/>
    <w:rsid w:val="00C26566"/>
    <w:rsid w:val="00C269CC"/>
    <w:rsid w:val="00C26EBA"/>
    <w:rsid w:val="00C26F5D"/>
    <w:rsid w:val="00C278B2"/>
    <w:rsid w:val="00C27C66"/>
    <w:rsid w:val="00C30E88"/>
    <w:rsid w:val="00C31268"/>
    <w:rsid w:val="00C3158A"/>
    <w:rsid w:val="00C3191D"/>
    <w:rsid w:val="00C31EF9"/>
    <w:rsid w:val="00C3237C"/>
    <w:rsid w:val="00C33229"/>
    <w:rsid w:val="00C333A1"/>
    <w:rsid w:val="00C34201"/>
    <w:rsid w:val="00C3431D"/>
    <w:rsid w:val="00C3442D"/>
    <w:rsid w:val="00C34C99"/>
    <w:rsid w:val="00C3570F"/>
    <w:rsid w:val="00C3655E"/>
    <w:rsid w:val="00C36705"/>
    <w:rsid w:val="00C368A4"/>
    <w:rsid w:val="00C36DF5"/>
    <w:rsid w:val="00C3722F"/>
    <w:rsid w:val="00C37983"/>
    <w:rsid w:val="00C37E24"/>
    <w:rsid w:val="00C40FD4"/>
    <w:rsid w:val="00C414FB"/>
    <w:rsid w:val="00C41FA3"/>
    <w:rsid w:val="00C4258C"/>
    <w:rsid w:val="00C42C85"/>
    <w:rsid w:val="00C42C96"/>
    <w:rsid w:val="00C4363E"/>
    <w:rsid w:val="00C4364F"/>
    <w:rsid w:val="00C439AF"/>
    <w:rsid w:val="00C43D01"/>
    <w:rsid w:val="00C4475A"/>
    <w:rsid w:val="00C44D51"/>
    <w:rsid w:val="00C44D6C"/>
    <w:rsid w:val="00C45BE9"/>
    <w:rsid w:val="00C45CFE"/>
    <w:rsid w:val="00C45DC5"/>
    <w:rsid w:val="00C46DDE"/>
    <w:rsid w:val="00C47401"/>
    <w:rsid w:val="00C478F1"/>
    <w:rsid w:val="00C47912"/>
    <w:rsid w:val="00C506A3"/>
    <w:rsid w:val="00C510F8"/>
    <w:rsid w:val="00C5117B"/>
    <w:rsid w:val="00C51981"/>
    <w:rsid w:val="00C5210C"/>
    <w:rsid w:val="00C52477"/>
    <w:rsid w:val="00C52878"/>
    <w:rsid w:val="00C52F46"/>
    <w:rsid w:val="00C53788"/>
    <w:rsid w:val="00C53DC5"/>
    <w:rsid w:val="00C54C57"/>
    <w:rsid w:val="00C55323"/>
    <w:rsid w:val="00C55DCA"/>
    <w:rsid w:val="00C55EE4"/>
    <w:rsid w:val="00C56F3B"/>
    <w:rsid w:val="00C570A8"/>
    <w:rsid w:val="00C57863"/>
    <w:rsid w:val="00C57AAB"/>
    <w:rsid w:val="00C62142"/>
    <w:rsid w:val="00C6227C"/>
    <w:rsid w:val="00C63602"/>
    <w:rsid w:val="00C63722"/>
    <w:rsid w:val="00C638C3"/>
    <w:rsid w:val="00C64292"/>
    <w:rsid w:val="00C64DC8"/>
    <w:rsid w:val="00C6512C"/>
    <w:rsid w:val="00C659EA"/>
    <w:rsid w:val="00C65A5E"/>
    <w:rsid w:val="00C66437"/>
    <w:rsid w:val="00C66F19"/>
    <w:rsid w:val="00C67251"/>
    <w:rsid w:val="00C67C68"/>
    <w:rsid w:val="00C67D41"/>
    <w:rsid w:val="00C70524"/>
    <w:rsid w:val="00C71865"/>
    <w:rsid w:val="00C71BF1"/>
    <w:rsid w:val="00C71DB8"/>
    <w:rsid w:val="00C71F4C"/>
    <w:rsid w:val="00C72497"/>
    <w:rsid w:val="00C7316D"/>
    <w:rsid w:val="00C735BB"/>
    <w:rsid w:val="00C73815"/>
    <w:rsid w:val="00C7455A"/>
    <w:rsid w:val="00C7491A"/>
    <w:rsid w:val="00C74B39"/>
    <w:rsid w:val="00C74C9C"/>
    <w:rsid w:val="00C751D3"/>
    <w:rsid w:val="00C754CF"/>
    <w:rsid w:val="00C75987"/>
    <w:rsid w:val="00C7599A"/>
    <w:rsid w:val="00C75A03"/>
    <w:rsid w:val="00C765E2"/>
    <w:rsid w:val="00C76829"/>
    <w:rsid w:val="00C76890"/>
    <w:rsid w:val="00C771CB"/>
    <w:rsid w:val="00C77F55"/>
    <w:rsid w:val="00C80491"/>
    <w:rsid w:val="00C80796"/>
    <w:rsid w:val="00C80824"/>
    <w:rsid w:val="00C80FF4"/>
    <w:rsid w:val="00C8115C"/>
    <w:rsid w:val="00C8143A"/>
    <w:rsid w:val="00C8209D"/>
    <w:rsid w:val="00C834F8"/>
    <w:rsid w:val="00C8397E"/>
    <w:rsid w:val="00C83FDB"/>
    <w:rsid w:val="00C85033"/>
    <w:rsid w:val="00C8558E"/>
    <w:rsid w:val="00C857B1"/>
    <w:rsid w:val="00C857BD"/>
    <w:rsid w:val="00C85FBA"/>
    <w:rsid w:val="00C865A0"/>
    <w:rsid w:val="00C86AD1"/>
    <w:rsid w:val="00C86F69"/>
    <w:rsid w:val="00C877CC"/>
    <w:rsid w:val="00C87821"/>
    <w:rsid w:val="00C87C7D"/>
    <w:rsid w:val="00C87D8C"/>
    <w:rsid w:val="00C87E9E"/>
    <w:rsid w:val="00C9039E"/>
    <w:rsid w:val="00C9054B"/>
    <w:rsid w:val="00C90A96"/>
    <w:rsid w:val="00C910AA"/>
    <w:rsid w:val="00C92154"/>
    <w:rsid w:val="00C92D4A"/>
    <w:rsid w:val="00C92DB7"/>
    <w:rsid w:val="00C935AC"/>
    <w:rsid w:val="00C93D60"/>
    <w:rsid w:val="00C93EE7"/>
    <w:rsid w:val="00C94229"/>
    <w:rsid w:val="00C95F21"/>
    <w:rsid w:val="00C96AB2"/>
    <w:rsid w:val="00C96E3A"/>
    <w:rsid w:val="00C971AF"/>
    <w:rsid w:val="00CA0959"/>
    <w:rsid w:val="00CA1161"/>
    <w:rsid w:val="00CA2C2C"/>
    <w:rsid w:val="00CA31A0"/>
    <w:rsid w:val="00CA37C7"/>
    <w:rsid w:val="00CA3FC7"/>
    <w:rsid w:val="00CA4AE2"/>
    <w:rsid w:val="00CA4C1D"/>
    <w:rsid w:val="00CA55E8"/>
    <w:rsid w:val="00CA58E0"/>
    <w:rsid w:val="00CA61CE"/>
    <w:rsid w:val="00CA79F5"/>
    <w:rsid w:val="00CA7C2A"/>
    <w:rsid w:val="00CB0178"/>
    <w:rsid w:val="00CB0C9B"/>
    <w:rsid w:val="00CB16D4"/>
    <w:rsid w:val="00CB1723"/>
    <w:rsid w:val="00CB3592"/>
    <w:rsid w:val="00CB3E64"/>
    <w:rsid w:val="00CB4086"/>
    <w:rsid w:val="00CB465C"/>
    <w:rsid w:val="00CB5768"/>
    <w:rsid w:val="00CB5E0F"/>
    <w:rsid w:val="00CB6445"/>
    <w:rsid w:val="00CB66A4"/>
    <w:rsid w:val="00CB7075"/>
    <w:rsid w:val="00CB7511"/>
    <w:rsid w:val="00CB77B1"/>
    <w:rsid w:val="00CB7DC2"/>
    <w:rsid w:val="00CB7E5E"/>
    <w:rsid w:val="00CC0541"/>
    <w:rsid w:val="00CC063A"/>
    <w:rsid w:val="00CC0825"/>
    <w:rsid w:val="00CC0BE2"/>
    <w:rsid w:val="00CC0D75"/>
    <w:rsid w:val="00CC1129"/>
    <w:rsid w:val="00CC1623"/>
    <w:rsid w:val="00CC1E80"/>
    <w:rsid w:val="00CC20BC"/>
    <w:rsid w:val="00CC2169"/>
    <w:rsid w:val="00CC2C76"/>
    <w:rsid w:val="00CC2FB2"/>
    <w:rsid w:val="00CC32AB"/>
    <w:rsid w:val="00CC33C3"/>
    <w:rsid w:val="00CC39FB"/>
    <w:rsid w:val="00CC46D8"/>
    <w:rsid w:val="00CC4EBF"/>
    <w:rsid w:val="00CC5252"/>
    <w:rsid w:val="00CC542C"/>
    <w:rsid w:val="00CC5499"/>
    <w:rsid w:val="00CC6450"/>
    <w:rsid w:val="00CC745D"/>
    <w:rsid w:val="00CD00D1"/>
    <w:rsid w:val="00CD0488"/>
    <w:rsid w:val="00CD0675"/>
    <w:rsid w:val="00CD1469"/>
    <w:rsid w:val="00CD1599"/>
    <w:rsid w:val="00CD17A0"/>
    <w:rsid w:val="00CD1BB3"/>
    <w:rsid w:val="00CD2516"/>
    <w:rsid w:val="00CD2874"/>
    <w:rsid w:val="00CD28ED"/>
    <w:rsid w:val="00CD2E13"/>
    <w:rsid w:val="00CD331A"/>
    <w:rsid w:val="00CD3A1A"/>
    <w:rsid w:val="00CD410A"/>
    <w:rsid w:val="00CD41EB"/>
    <w:rsid w:val="00CD4EF4"/>
    <w:rsid w:val="00CD6314"/>
    <w:rsid w:val="00CD637E"/>
    <w:rsid w:val="00CD6644"/>
    <w:rsid w:val="00CD6D4F"/>
    <w:rsid w:val="00CD78EE"/>
    <w:rsid w:val="00CE12CF"/>
    <w:rsid w:val="00CE21BC"/>
    <w:rsid w:val="00CE2361"/>
    <w:rsid w:val="00CE404D"/>
    <w:rsid w:val="00CE444C"/>
    <w:rsid w:val="00CE4A8C"/>
    <w:rsid w:val="00CE5EF5"/>
    <w:rsid w:val="00CE6106"/>
    <w:rsid w:val="00CE69D1"/>
    <w:rsid w:val="00CE6D77"/>
    <w:rsid w:val="00CF0417"/>
    <w:rsid w:val="00CF0A50"/>
    <w:rsid w:val="00CF0F8A"/>
    <w:rsid w:val="00CF1A5D"/>
    <w:rsid w:val="00CF1A82"/>
    <w:rsid w:val="00CF2227"/>
    <w:rsid w:val="00CF2251"/>
    <w:rsid w:val="00CF2998"/>
    <w:rsid w:val="00CF3C3F"/>
    <w:rsid w:val="00CF4151"/>
    <w:rsid w:val="00CF429E"/>
    <w:rsid w:val="00CF448A"/>
    <w:rsid w:val="00CF50EC"/>
    <w:rsid w:val="00CF5133"/>
    <w:rsid w:val="00CF5ED5"/>
    <w:rsid w:val="00CF6CB7"/>
    <w:rsid w:val="00CF7379"/>
    <w:rsid w:val="00CF7A3A"/>
    <w:rsid w:val="00CF7B02"/>
    <w:rsid w:val="00D00B3C"/>
    <w:rsid w:val="00D00D99"/>
    <w:rsid w:val="00D00DC2"/>
    <w:rsid w:val="00D012DF"/>
    <w:rsid w:val="00D01744"/>
    <w:rsid w:val="00D019B3"/>
    <w:rsid w:val="00D019FE"/>
    <w:rsid w:val="00D01ECA"/>
    <w:rsid w:val="00D022D1"/>
    <w:rsid w:val="00D02D45"/>
    <w:rsid w:val="00D0304B"/>
    <w:rsid w:val="00D03602"/>
    <w:rsid w:val="00D03D15"/>
    <w:rsid w:val="00D04305"/>
    <w:rsid w:val="00D0592E"/>
    <w:rsid w:val="00D05C08"/>
    <w:rsid w:val="00D06B8A"/>
    <w:rsid w:val="00D07373"/>
    <w:rsid w:val="00D0765A"/>
    <w:rsid w:val="00D10444"/>
    <w:rsid w:val="00D10CC0"/>
    <w:rsid w:val="00D10E1B"/>
    <w:rsid w:val="00D10F9F"/>
    <w:rsid w:val="00D112F1"/>
    <w:rsid w:val="00D11BB4"/>
    <w:rsid w:val="00D11CF1"/>
    <w:rsid w:val="00D120D3"/>
    <w:rsid w:val="00D12211"/>
    <w:rsid w:val="00D1271E"/>
    <w:rsid w:val="00D12892"/>
    <w:rsid w:val="00D12A34"/>
    <w:rsid w:val="00D13089"/>
    <w:rsid w:val="00D13196"/>
    <w:rsid w:val="00D1357A"/>
    <w:rsid w:val="00D13C55"/>
    <w:rsid w:val="00D13C8F"/>
    <w:rsid w:val="00D13EE4"/>
    <w:rsid w:val="00D13FE6"/>
    <w:rsid w:val="00D1419D"/>
    <w:rsid w:val="00D145D5"/>
    <w:rsid w:val="00D1463E"/>
    <w:rsid w:val="00D15B9E"/>
    <w:rsid w:val="00D15DD9"/>
    <w:rsid w:val="00D17883"/>
    <w:rsid w:val="00D17D11"/>
    <w:rsid w:val="00D20573"/>
    <w:rsid w:val="00D2057D"/>
    <w:rsid w:val="00D21A7D"/>
    <w:rsid w:val="00D21A8F"/>
    <w:rsid w:val="00D21FDE"/>
    <w:rsid w:val="00D220D3"/>
    <w:rsid w:val="00D226C7"/>
    <w:rsid w:val="00D22D1E"/>
    <w:rsid w:val="00D22EFF"/>
    <w:rsid w:val="00D236B4"/>
    <w:rsid w:val="00D23981"/>
    <w:rsid w:val="00D24D47"/>
    <w:rsid w:val="00D257B0"/>
    <w:rsid w:val="00D26021"/>
    <w:rsid w:val="00D262AD"/>
    <w:rsid w:val="00D262C3"/>
    <w:rsid w:val="00D26B87"/>
    <w:rsid w:val="00D279BB"/>
    <w:rsid w:val="00D27AE8"/>
    <w:rsid w:val="00D27B5B"/>
    <w:rsid w:val="00D301F0"/>
    <w:rsid w:val="00D30B22"/>
    <w:rsid w:val="00D316BB"/>
    <w:rsid w:val="00D32140"/>
    <w:rsid w:val="00D3259C"/>
    <w:rsid w:val="00D330F1"/>
    <w:rsid w:val="00D33BD7"/>
    <w:rsid w:val="00D3471D"/>
    <w:rsid w:val="00D348FD"/>
    <w:rsid w:val="00D358F9"/>
    <w:rsid w:val="00D363FE"/>
    <w:rsid w:val="00D36EBB"/>
    <w:rsid w:val="00D37938"/>
    <w:rsid w:val="00D3796A"/>
    <w:rsid w:val="00D37F63"/>
    <w:rsid w:val="00D40C16"/>
    <w:rsid w:val="00D417C9"/>
    <w:rsid w:val="00D4281A"/>
    <w:rsid w:val="00D42F4C"/>
    <w:rsid w:val="00D43052"/>
    <w:rsid w:val="00D43401"/>
    <w:rsid w:val="00D43F8B"/>
    <w:rsid w:val="00D4415D"/>
    <w:rsid w:val="00D443F5"/>
    <w:rsid w:val="00D44DD5"/>
    <w:rsid w:val="00D45112"/>
    <w:rsid w:val="00D4649F"/>
    <w:rsid w:val="00D47134"/>
    <w:rsid w:val="00D47581"/>
    <w:rsid w:val="00D47E41"/>
    <w:rsid w:val="00D50284"/>
    <w:rsid w:val="00D504B4"/>
    <w:rsid w:val="00D512D7"/>
    <w:rsid w:val="00D51D5D"/>
    <w:rsid w:val="00D52E24"/>
    <w:rsid w:val="00D52E2C"/>
    <w:rsid w:val="00D539B5"/>
    <w:rsid w:val="00D5477D"/>
    <w:rsid w:val="00D54BE9"/>
    <w:rsid w:val="00D54E4C"/>
    <w:rsid w:val="00D55D1F"/>
    <w:rsid w:val="00D55DB1"/>
    <w:rsid w:val="00D55EC8"/>
    <w:rsid w:val="00D56662"/>
    <w:rsid w:val="00D572C8"/>
    <w:rsid w:val="00D57A2D"/>
    <w:rsid w:val="00D607A8"/>
    <w:rsid w:val="00D615B2"/>
    <w:rsid w:val="00D615C2"/>
    <w:rsid w:val="00D6186E"/>
    <w:rsid w:val="00D62205"/>
    <w:rsid w:val="00D6231A"/>
    <w:rsid w:val="00D62335"/>
    <w:rsid w:val="00D62444"/>
    <w:rsid w:val="00D632F9"/>
    <w:rsid w:val="00D63C1E"/>
    <w:rsid w:val="00D6487B"/>
    <w:rsid w:val="00D6493B"/>
    <w:rsid w:val="00D64F15"/>
    <w:rsid w:val="00D6542E"/>
    <w:rsid w:val="00D66895"/>
    <w:rsid w:val="00D66AF2"/>
    <w:rsid w:val="00D672AF"/>
    <w:rsid w:val="00D677C0"/>
    <w:rsid w:val="00D70FBD"/>
    <w:rsid w:val="00D7149A"/>
    <w:rsid w:val="00D716A1"/>
    <w:rsid w:val="00D716D6"/>
    <w:rsid w:val="00D7212F"/>
    <w:rsid w:val="00D7387D"/>
    <w:rsid w:val="00D75122"/>
    <w:rsid w:val="00D752A9"/>
    <w:rsid w:val="00D75938"/>
    <w:rsid w:val="00D75D23"/>
    <w:rsid w:val="00D7623C"/>
    <w:rsid w:val="00D76D31"/>
    <w:rsid w:val="00D770AE"/>
    <w:rsid w:val="00D77A8D"/>
    <w:rsid w:val="00D8079E"/>
    <w:rsid w:val="00D80AD1"/>
    <w:rsid w:val="00D80DDF"/>
    <w:rsid w:val="00D8143A"/>
    <w:rsid w:val="00D81449"/>
    <w:rsid w:val="00D8162B"/>
    <w:rsid w:val="00D81E9E"/>
    <w:rsid w:val="00D81F33"/>
    <w:rsid w:val="00D82367"/>
    <w:rsid w:val="00D83261"/>
    <w:rsid w:val="00D843D0"/>
    <w:rsid w:val="00D844F6"/>
    <w:rsid w:val="00D84987"/>
    <w:rsid w:val="00D84F83"/>
    <w:rsid w:val="00D85C5A"/>
    <w:rsid w:val="00D85C5E"/>
    <w:rsid w:val="00D86AD3"/>
    <w:rsid w:val="00D87BD1"/>
    <w:rsid w:val="00D87FEF"/>
    <w:rsid w:val="00D90047"/>
    <w:rsid w:val="00D90554"/>
    <w:rsid w:val="00D90A73"/>
    <w:rsid w:val="00D90C76"/>
    <w:rsid w:val="00D9103F"/>
    <w:rsid w:val="00D91C77"/>
    <w:rsid w:val="00D92668"/>
    <w:rsid w:val="00D929E0"/>
    <w:rsid w:val="00D935C5"/>
    <w:rsid w:val="00D93A51"/>
    <w:rsid w:val="00D94291"/>
    <w:rsid w:val="00D942F0"/>
    <w:rsid w:val="00D9462F"/>
    <w:rsid w:val="00D94AA7"/>
    <w:rsid w:val="00D94B1D"/>
    <w:rsid w:val="00D94D91"/>
    <w:rsid w:val="00D94E57"/>
    <w:rsid w:val="00D95205"/>
    <w:rsid w:val="00D9522E"/>
    <w:rsid w:val="00D95B12"/>
    <w:rsid w:val="00D962BF"/>
    <w:rsid w:val="00D966F2"/>
    <w:rsid w:val="00D97229"/>
    <w:rsid w:val="00DA1B50"/>
    <w:rsid w:val="00DA1F1C"/>
    <w:rsid w:val="00DA2B06"/>
    <w:rsid w:val="00DA2CBB"/>
    <w:rsid w:val="00DA31E3"/>
    <w:rsid w:val="00DA3F0D"/>
    <w:rsid w:val="00DA4891"/>
    <w:rsid w:val="00DA498B"/>
    <w:rsid w:val="00DA5239"/>
    <w:rsid w:val="00DA5BB2"/>
    <w:rsid w:val="00DA6DA1"/>
    <w:rsid w:val="00DA7BE3"/>
    <w:rsid w:val="00DA7CFE"/>
    <w:rsid w:val="00DB0028"/>
    <w:rsid w:val="00DB06B5"/>
    <w:rsid w:val="00DB0743"/>
    <w:rsid w:val="00DB09D8"/>
    <w:rsid w:val="00DB0C13"/>
    <w:rsid w:val="00DB173E"/>
    <w:rsid w:val="00DB1948"/>
    <w:rsid w:val="00DB1A84"/>
    <w:rsid w:val="00DB1B8A"/>
    <w:rsid w:val="00DB2026"/>
    <w:rsid w:val="00DB270B"/>
    <w:rsid w:val="00DB3C3D"/>
    <w:rsid w:val="00DB45F0"/>
    <w:rsid w:val="00DB4B43"/>
    <w:rsid w:val="00DB6389"/>
    <w:rsid w:val="00DB700B"/>
    <w:rsid w:val="00DB720A"/>
    <w:rsid w:val="00DB726B"/>
    <w:rsid w:val="00DB755B"/>
    <w:rsid w:val="00DB7E07"/>
    <w:rsid w:val="00DC05AE"/>
    <w:rsid w:val="00DC20FC"/>
    <w:rsid w:val="00DC2661"/>
    <w:rsid w:val="00DC2C7F"/>
    <w:rsid w:val="00DC3002"/>
    <w:rsid w:val="00DC308B"/>
    <w:rsid w:val="00DC311F"/>
    <w:rsid w:val="00DC316F"/>
    <w:rsid w:val="00DC34CA"/>
    <w:rsid w:val="00DC410F"/>
    <w:rsid w:val="00DC5572"/>
    <w:rsid w:val="00DC573C"/>
    <w:rsid w:val="00DC5B67"/>
    <w:rsid w:val="00DC5D1B"/>
    <w:rsid w:val="00DC6B77"/>
    <w:rsid w:val="00DC6D10"/>
    <w:rsid w:val="00DC6ED0"/>
    <w:rsid w:val="00DC7236"/>
    <w:rsid w:val="00DC7BC5"/>
    <w:rsid w:val="00DC7C01"/>
    <w:rsid w:val="00DD1855"/>
    <w:rsid w:val="00DD1C23"/>
    <w:rsid w:val="00DD2136"/>
    <w:rsid w:val="00DD241A"/>
    <w:rsid w:val="00DD2D8D"/>
    <w:rsid w:val="00DD2E4C"/>
    <w:rsid w:val="00DD30B0"/>
    <w:rsid w:val="00DD344A"/>
    <w:rsid w:val="00DD3BB6"/>
    <w:rsid w:val="00DD3BFD"/>
    <w:rsid w:val="00DD4655"/>
    <w:rsid w:val="00DD4808"/>
    <w:rsid w:val="00DD4873"/>
    <w:rsid w:val="00DD57EE"/>
    <w:rsid w:val="00DD57FC"/>
    <w:rsid w:val="00DD5938"/>
    <w:rsid w:val="00DD73CF"/>
    <w:rsid w:val="00DD74FF"/>
    <w:rsid w:val="00DD7B1F"/>
    <w:rsid w:val="00DD7D58"/>
    <w:rsid w:val="00DE04E0"/>
    <w:rsid w:val="00DE0511"/>
    <w:rsid w:val="00DE0F83"/>
    <w:rsid w:val="00DE13C5"/>
    <w:rsid w:val="00DE22D1"/>
    <w:rsid w:val="00DE2865"/>
    <w:rsid w:val="00DE29C8"/>
    <w:rsid w:val="00DE39A4"/>
    <w:rsid w:val="00DE3CF4"/>
    <w:rsid w:val="00DE4A3D"/>
    <w:rsid w:val="00DE5079"/>
    <w:rsid w:val="00DE518A"/>
    <w:rsid w:val="00DE56E1"/>
    <w:rsid w:val="00DE5853"/>
    <w:rsid w:val="00DE5B26"/>
    <w:rsid w:val="00DE5BE0"/>
    <w:rsid w:val="00DE688B"/>
    <w:rsid w:val="00DE6DCA"/>
    <w:rsid w:val="00DE73A8"/>
    <w:rsid w:val="00DE7918"/>
    <w:rsid w:val="00DE7BB3"/>
    <w:rsid w:val="00DE7CCB"/>
    <w:rsid w:val="00DE7D67"/>
    <w:rsid w:val="00DF0850"/>
    <w:rsid w:val="00DF0F55"/>
    <w:rsid w:val="00DF0FF1"/>
    <w:rsid w:val="00DF12E5"/>
    <w:rsid w:val="00DF178E"/>
    <w:rsid w:val="00DF201F"/>
    <w:rsid w:val="00DF22B2"/>
    <w:rsid w:val="00DF3F1D"/>
    <w:rsid w:val="00DF3FD5"/>
    <w:rsid w:val="00DF49CD"/>
    <w:rsid w:val="00DF49D3"/>
    <w:rsid w:val="00DF4EBE"/>
    <w:rsid w:val="00DF5D15"/>
    <w:rsid w:val="00DF63E0"/>
    <w:rsid w:val="00DF7986"/>
    <w:rsid w:val="00E00ED4"/>
    <w:rsid w:val="00E01055"/>
    <w:rsid w:val="00E01351"/>
    <w:rsid w:val="00E016ED"/>
    <w:rsid w:val="00E01783"/>
    <w:rsid w:val="00E01912"/>
    <w:rsid w:val="00E02136"/>
    <w:rsid w:val="00E029CF"/>
    <w:rsid w:val="00E029E8"/>
    <w:rsid w:val="00E02A63"/>
    <w:rsid w:val="00E02C97"/>
    <w:rsid w:val="00E0357B"/>
    <w:rsid w:val="00E03832"/>
    <w:rsid w:val="00E0401D"/>
    <w:rsid w:val="00E04135"/>
    <w:rsid w:val="00E044D4"/>
    <w:rsid w:val="00E047D3"/>
    <w:rsid w:val="00E04ABD"/>
    <w:rsid w:val="00E04D86"/>
    <w:rsid w:val="00E05130"/>
    <w:rsid w:val="00E05A0C"/>
    <w:rsid w:val="00E067A2"/>
    <w:rsid w:val="00E06C4D"/>
    <w:rsid w:val="00E07D17"/>
    <w:rsid w:val="00E1001F"/>
    <w:rsid w:val="00E10624"/>
    <w:rsid w:val="00E112C7"/>
    <w:rsid w:val="00E11C38"/>
    <w:rsid w:val="00E11D84"/>
    <w:rsid w:val="00E12095"/>
    <w:rsid w:val="00E124D9"/>
    <w:rsid w:val="00E129FC"/>
    <w:rsid w:val="00E149F4"/>
    <w:rsid w:val="00E14D83"/>
    <w:rsid w:val="00E1513B"/>
    <w:rsid w:val="00E17598"/>
    <w:rsid w:val="00E17CBE"/>
    <w:rsid w:val="00E2019D"/>
    <w:rsid w:val="00E20AFA"/>
    <w:rsid w:val="00E20D14"/>
    <w:rsid w:val="00E2107A"/>
    <w:rsid w:val="00E218E1"/>
    <w:rsid w:val="00E2209B"/>
    <w:rsid w:val="00E229B9"/>
    <w:rsid w:val="00E235CA"/>
    <w:rsid w:val="00E235D0"/>
    <w:rsid w:val="00E239B6"/>
    <w:rsid w:val="00E23C17"/>
    <w:rsid w:val="00E24B01"/>
    <w:rsid w:val="00E24BD1"/>
    <w:rsid w:val="00E25345"/>
    <w:rsid w:val="00E258EF"/>
    <w:rsid w:val="00E26063"/>
    <w:rsid w:val="00E261A1"/>
    <w:rsid w:val="00E2631F"/>
    <w:rsid w:val="00E2714B"/>
    <w:rsid w:val="00E276C1"/>
    <w:rsid w:val="00E276F0"/>
    <w:rsid w:val="00E307BB"/>
    <w:rsid w:val="00E30D0B"/>
    <w:rsid w:val="00E32882"/>
    <w:rsid w:val="00E330A8"/>
    <w:rsid w:val="00E3323B"/>
    <w:rsid w:val="00E33527"/>
    <w:rsid w:val="00E33FD6"/>
    <w:rsid w:val="00E34A7B"/>
    <w:rsid w:val="00E34DFD"/>
    <w:rsid w:val="00E35666"/>
    <w:rsid w:val="00E356E1"/>
    <w:rsid w:val="00E35744"/>
    <w:rsid w:val="00E35BD5"/>
    <w:rsid w:val="00E35C12"/>
    <w:rsid w:val="00E36347"/>
    <w:rsid w:val="00E3653D"/>
    <w:rsid w:val="00E36957"/>
    <w:rsid w:val="00E37094"/>
    <w:rsid w:val="00E376F1"/>
    <w:rsid w:val="00E379C1"/>
    <w:rsid w:val="00E40513"/>
    <w:rsid w:val="00E40A30"/>
    <w:rsid w:val="00E41395"/>
    <w:rsid w:val="00E417A1"/>
    <w:rsid w:val="00E4239C"/>
    <w:rsid w:val="00E42AEA"/>
    <w:rsid w:val="00E42D87"/>
    <w:rsid w:val="00E42D96"/>
    <w:rsid w:val="00E43D1F"/>
    <w:rsid w:val="00E44DFB"/>
    <w:rsid w:val="00E4556A"/>
    <w:rsid w:val="00E45B53"/>
    <w:rsid w:val="00E46525"/>
    <w:rsid w:val="00E46F0D"/>
    <w:rsid w:val="00E47843"/>
    <w:rsid w:val="00E47B27"/>
    <w:rsid w:val="00E50A54"/>
    <w:rsid w:val="00E52B3B"/>
    <w:rsid w:val="00E52B6B"/>
    <w:rsid w:val="00E53F62"/>
    <w:rsid w:val="00E54624"/>
    <w:rsid w:val="00E548DB"/>
    <w:rsid w:val="00E549EA"/>
    <w:rsid w:val="00E55BFA"/>
    <w:rsid w:val="00E55C9C"/>
    <w:rsid w:val="00E55FB5"/>
    <w:rsid w:val="00E5606F"/>
    <w:rsid w:val="00E56DD0"/>
    <w:rsid w:val="00E56E69"/>
    <w:rsid w:val="00E56F17"/>
    <w:rsid w:val="00E57176"/>
    <w:rsid w:val="00E577D1"/>
    <w:rsid w:val="00E57B86"/>
    <w:rsid w:val="00E57DA5"/>
    <w:rsid w:val="00E6009A"/>
    <w:rsid w:val="00E60561"/>
    <w:rsid w:val="00E6142F"/>
    <w:rsid w:val="00E627DF"/>
    <w:rsid w:val="00E62975"/>
    <w:rsid w:val="00E629FF"/>
    <w:rsid w:val="00E62B1A"/>
    <w:rsid w:val="00E641C5"/>
    <w:rsid w:val="00E648E8"/>
    <w:rsid w:val="00E64B00"/>
    <w:rsid w:val="00E64C0E"/>
    <w:rsid w:val="00E64C22"/>
    <w:rsid w:val="00E64CC1"/>
    <w:rsid w:val="00E64E52"/>
    <w:rsid w:val="00E65145"/>
    <w:rsid w:val="00E651A2"/>
    <w:rsid w:val="00E65667"/>
    <w:rsid w:val="00E656B0"/>
    <w:rsid w:val="00E65733"/>
    <w:rsid w:val="00E6622F"/>
    <w:rsid w:val="00E66F00"/>
    <w:rsid w:val="00E67690"/>
    <w:rsid w:val="00E7040A"/>
    <w:rsid w:val="00E7089B"/>
    <w:rsid w:val="00E71156"/>
    <w:rsid w:val="00E714F2"/>
    <w:rsid w:val="00E7170E"/>
    <w:rsid w:val="00E72135"/>
    <w:rsid w:val="00E72A31"/>
    <w:rsid w:val="00E72FEC"/>
    <w:rsid w:val="00E73291"/>
    <w:rsid w:val="00E740D1"/>
    <w:rsid w:val="00E75510"/>
    <w:rsid w:val="00E75609"/>
    <w:rsid w:val="00E75F6B"/>
    <w:rsid w:val="00E76C50"/>
    <w:rsid w:val="00E770AF"/>
    <w:rsid w:val="00E77193"/>
    <w:rsid w:val="00E77258"/>
    <w:rsid w:val="00E77E6D"/>
    <w:rsid w:val="00E801A7"/>
    <w:rsid w:val="00E802CC"/>
    <w:rsid w:val="00E80669"/>
    <w:rsid w:val="00E80E06"/>
    <w:rsid w:val="00E80F81"/>
    <w:rsid w:val="00E8136E"/>
    <w:rsid w:val="00E81BFE"/>
    <w:rsid w:val="00E82021"/>
    <w:rsid w:val="00E82A06"/>
    <w:rsid w:val="00E82A86"/>
    <w:rsid w:val="00E83D04"/>
    <w:rsid w:val="00E8454C"/>
    <w:rsid w:val="00E84922"/>
    <w:rsid w:val="00E84FF2"/>
    <w:rsid w:val="00E86173"/>
    <w:rsid w:val="00E86560"/>
    <w:rsid w:val="00E900FF"/>
    <w:rsid w:val="00E9021F"/>
    <w:rsid w:val="00E9047B"/>
    <w:rsid w:val="00E9053E"/>
    <w:rsid w:val="00E9093F"/>
    <w:rsid w:val="00E90A16"/>
    <w:rsid w:val="00E90C66"/>
    <w:rsid w:val="00E91B1B"/>
    <w:rsid w:val="00E921AE"/>
    <w:rsid w:val="00E92FE0"/>
    <w:rsid w:val="00E943E7"/>
    <w:rsid w:val="00E94481"/>
    <w:rsid w:val="00E94946"/>
    <w:rsid w:val="00E94E35"/>
    <w:rsid w:val="00E94E77"/>
    <w:rsid w:val="00E950B0"/>
    <w:rsid w:val="00E954E0"/>
    <w:rsid w:val="00E969A3"/>
    <w:rsid w:val="00E96B85"/>
    <w:rsid w:val="00EA264C"/>
    <w:rsid w:val="00EA35F8"/>
    <w:rsid w:val="00EA40CA"/>
    <w:rsid w:val="00EA449A"/>
    <w:rsid w:val="00EA505F"/>
    <w:rsid w:val="00EA638D"/>
    <w:rsid w:val="00EA66FD"/>
    <w:rsid w:val="00EA6789"/>
    <w:rsid w:val="00EA6AF4"/>
    <w:rsid w:val="00EA6EB2"/>
    <w:rsid w:val="00EA7846"/>
    <w:rsid w:val="00EB02CE"/>
    <w:rsid w:val="00EB0970"/>
    <w:rsid w:val="00EB0C10"/>
    <w:rsid w:val="00EB0E7C"/>
    <w:rsid w:val="00EB1C69"/>
    <w:rsid w:val="00EB1DAB"/>
    <w:rsid w:val="00EB1E7A"/>
    <w:rsid w:val="00EB20C0"/>
    <w:rsid w:val="00EB303B"/>
    <w:rsid w:val="00EB371C"/>
    <w:rsid w:val="00EB3B07"/>
    <w:rsid w:val="00EB3C31"/>
    <w:rsid w:val="00EB407C"/>
    <w:rsid w:val="00EB538B"/>
    <w:rsid w:val="00EB544D"/>
    <w:rsid w:val="00EB63BF"/>
    <w:rsid w:val="00EB64CD"/>
    <w:rsid w:val="00EB6E51"/>
    <w:rsid w:val="00EB72B0"/>
    <w:rsid w:val="00EC11D5"/>
    <w:rsid w:val="00EC155E"/>
    <w:rsid w:val="00EC1DEA"/>
    <w:rsid w:val="00EC1F56"/>
    <w:rsid w:val="00EC1F85"/>
    <w:rsid w:val="00EC2060"/>
    <w:rsid w:val="00EC20E3"/>
    <w:rsid w:val="00EC21B8"/>
    <w:rsid w:val="00EC3083"/>
    <w:rsid w:val="00EC36A1"/>
    <w:rsid w:val="00EC45E7"/>
    <w:rsid w:val="00EC460F"/>
    <w:rsid w:val="00EC4D89"/>
    <w:rsid w:val="00EC4FE7"/>
    <w:rsid w:val="00EC6A54"/>
    <w:rsid w:val="00EC715A"/>
    <w:rsid w:val="00EC74AF"/>
    <w:rsid w:val="00ED1A02"/>
    <w:rsid w:val="00ED26BC"/>
    <w:rsid w:val="00ED2CD6"/>
    <w:rsid w:val="00ED3172"/>
    <w:rsid w:val="00ED3439"/>
    <w:rsid w:val="00ED3EA2"/>
    <w:rsid w:val="00ED4BF9"/>
    <w:rsid w:val="00ED59B7"/>
    <w:rsid w:val="00ED686A"/>
    <w:rsid w:val="00ED6D8A"/>
    <w:rsid w:val="00ED6E78"/>
    <w:rsid w:val="00ED709B"/>
    <w:rsid w:val="00ED72DB"/>
    <w:rsid w:val="00ED756C"/>
    <w:rsid w:val="00ED7BB9"/>
    <w:rsid w:val="00EE0466"/>
    <w:rsid w:val="00EE14D4"/>
    <w:rsid w:val="00EE1659"/>
    <w:rsid w:val="00EE204F"/>
    <w:rsid w:val="00EE2ACF"/>
    <w:rsid w:val="00EE3195"/>
    <w:rsid w:val="00EE341E"/>
    <w:rsid w:val="00EE526C"/>
    <w:rsid w:val="00EE532F"/>
    <w:rsid w:val="00EE53DD"/>
    <w:rsid w:val="00EE5FB5"/>
    <w:rsid w:val="00EE689B"/>
    <w:rsid w:val="00EE72B7"/>
    <w:rsid w:val="00EE7E09"/>
    <w:rsid w:val="00EF006F"/>
    <w:rsid w:val="00EF0070"/>
    <w:rsid w:val="00EF0173"/>
    <w:rsid w:val="00EF05D2"/>
    <w:rsid w:val="00EF0982"/>
    <w:rsid w:val="00EF0AB6"/>
    <w:rsid w:val="00EF13DA"/>
    <w:rsid w:val="00EF17BC"/>
    <w:rsid w:val="00EF17C1"/>
    <w:rsid w:val="00EF1BA6"/>
    <w:rsid w:val="00EF24A3"/>
    <w:rsid w:val="00EF3278"/>
    <w:rsid w:val="00EF392B"/>
    <w:rsid w:val="00EF4AC0"/>
    <w:rsid w:val="00EF4BE2"/>
    <w:rsid w:val="00EF4FD8"/>
    <w:rsid w:val="00EF541C"/>
    <w:rsid w:val="00EF603E"/>
    <w:rsid w:val="00EF61E5"/>
    <w:rsid w:val="00EF69FF"/>
    <w:rsid w:val="00EF6AB8"/>
    <w:rsid w:val="00EF6F4E"/>
    <w:rsid w:val="00EF6FB8"/>
    <w:rsid w:val="00EF7882"/>
    <w:rsid w:val="00F00B67"/>
    <w:rsid w:val="00F025DD"/>
    <w:rsid w:val="00F02686"/>
    <w:rsid w:val="00F0324B"/>
    <w:rsid w:val="00F03D87"/>
    <w:rsid w:val="00F04A51"/>
    <w:rsid w:val="00F04E28"/>
    <w:rsid w:val="00F04F6C"/>
    <w:rsid w:val="00F055E7"/>
    <w:rsid w:val="00F064DC"/>
    <w:rsid w:val="00F06F56"/>
    <w:rsid w:val="00F071F7"/>
    <w:rsid w:val="00F0737E"/>
    <w:rsid w:val="00F07481"/>
    <w:rsid w:val="00F07E35"/>
    <w:rsid w:val="00F11026"/>
    <w:rsid w:val="00F115C0"/>
    <w:rsid w:val="00F1168B"/>
    <w:rsid w:val="00F11F16"/>
    <w:rsid w:val="00F12A0E"/>
    <w:rsid w:val="00F12B45"/>
    <w:rsid w:val="00F13749"/>
    <w:rsid w:val="00F1408F"/>
    <w:rsid w:val="00F1437D"/>
    <w:rsid w:val="00F1454E"/>
    <w:rsid w:val="00F15041"/>
    <w:rsid w:val="00F1529D"/>
    <w:rsid w:val="00F15927"/>
    <w:rsid w:val="00F15987"/>
    <w:rsid w:val="00F15B71"/>
    <w:rsid w:val="00F162E0"/>
    <w:rsid w:val="00F1653C"/>
    <w:rsid w:val="00F1654A"/>
    <w:rsid w:val="00F16D32"/>
    <w:rsid w:val="00F16DAD"/>
    <w:rsid w:val="00F1701C"/>
    <w:rsid w:val="00F170EA"/>
    <w:rsid w:val="00F17511"/>
    <w:rsid w:val="00F17FE5"/>
    <w:rsid w:val="00F20FC4"/>
    <w:rsid w:val="00F21845"/>
    <w:rsid w:val="00F22A31"/>
    <w:rsid w:val="00F22F51"/>
    <w:rsid w:val="00F23F39"/>
    <w:rsid w:val="00F24162"/>
    <w:rsid w:val="00F2427E"/>
    <w:rsid w:val="00F24595"/>
    <w:rsid w:val="00F24C8F"/>
    <w:rsid w:val="00F25231"/>
    <w:rsid w:val="00F253C2"/>
    <w:rsid w:val="00F2549D"/>
    <w:rsid w:val="00F2563D"/>
    <w:rsid w:val="00F258E9"/>
    <w:rsid w:val="00F2618C"/>
    <w:rsid w:val="00F264B6"/>
    <w:rsid w:val="00F26796"/>
    <w:rsid w:val="00F272B1"/>
    <w:rsid w:val="00F27AAC"/>
    <w:rsid w:val="00F30648"/>
    <w:rsid w:val="00F308DF"/>
    <w:rsid w:val="00F30A23"/>
    <w:rsid w:val="00F30ECB"/>
    <w:rsid w:val="00F31343"/>
    <w:rsid w:val="00F32C1A"/>
    <w:rsid w:val="00F33F20"/>
    <w:rsid w:val="00F34DF4"/>
    <w:rsid w:val="00F3534A"/>
    <w:rsid w:val="00F359A4"/>
    <w:rsid w:val="00F35A66"/>
    <w:rsid w:val="00F35F5E"/>
    <w:rsid w:val="00F3763F"/>
    <w:rsid w:val="00F3781B"/>
    <w:rsid w:val="00F40001"/>
    <w:rsid w:val="00F4040A"/>
    <w:rsid w:val="00F40996"/>
    <w:rsid w:val="00F414C6"/>
    <w:rsid w:val="00F41831"/>
    <w:rsid w:val="00F41987"/>
    <w:rsid w:val="00F42185"/>
    <w:rsid w:val="00F42439"/>
    <w:rsid w:val="00F426B8"/>
    <w:rsid w:val="00F4284B"/>
    <w:rsid w:val="00F43E2E"/>
    <w:rsid w:val="00F44AC0"/>
    <w:rsid w:val="00F46757"/>
    <w:rsid w:val="00F46AD2"/>
    <w:rsid w:val="00F46DD6"/>
    <w:rsid w:val="00F47059"/>
    <w:rsid w:val="00F47935"/>
    <w:rsid w:val="00F47B1B"/>
    <w:rsid w:val="00F47D2F"/>
    <w:rsid w:val="00F50164"/>
    <w:rsid w:val="00F50472"/>
    <w:rsid w:val="00F5047F"/>
    <w:rsid w:val="00F5063D"/>
    <w:rsid w:val="00F50AC3"/>
    <w:rsid w:val="00F51775"/>
    <w:rsid w:val="00F51C29"/>
    <w:rsid w:val="00F51F7F"/>
    <w:rsid w:val="00F523D1"/>
    <w:rsid w:val="00F535BF"/>
    <w:rsid w:val="00F54200"/>
    <w:rsid w:val="00F542A1"/>
    <w:rsid w:val="00F548EB"/>
    <w:rsid w:val="00F54C51"/>
    <w:rsid w:val="00F5590D"/>
    <w:rsid w:val="00F55B81"/>
    <w:rsid w:val="00F55FBF"/>
    <w:rsid w:val="00F55FDB"/>
    <w:rsid w:val="00F56044"/>
    <w:rsid w:val="00F56337"/>
    <w:rsid w:val="00F56E19"/>
    <w:rsid w:val="00F57B17"/>
    <w:rsid w:val="00F610CC"/>
    <w:rsid w:val="00F614EE"/>
    <w:rsid w:val="00F617B8"/>
    <w:rsid w:val="00F64316"/>
    <w:rsid w:val="00F645BC"/>
    <w:rsid w:val="00F64A15"/>
    <w:rsid w:val="00F650E5"/>
    <w:rsid w:val="00F65132"/>
    <w:rsid w:val="00F65145"/>
    <w:rsid w:val="00F65962"/>
    <w:rsid w:val="00F65A33"/>
    <w:rsid w:val="00F66272"/>
    <w:rsid w:val="00F6632E"/>
    <w:rsid w:val="00F66744"/>
    <w:rsid w:val="00F66EF3"/>
    <w:rsid w:val="00F67183"/>
    <w:rsid w:val="00F674B6"/>
    <w:rsid w:val="00F67AF6"/>
    <w:rsid w:val="00F67E6F"/>
    <w:rsid w:val="00F709D1"/>
    <w:rsid w:val="00F70AA1"/>
    <w:rsid w:val="00F7158D"/>
    <w:rsid w:val="00F7161D"/>
    <w:rsid w:val="00F717BC"/>
    <w:rsid w:val="00F71EAF"/>
    <w:rsid w:val="00F71FCF"/>
    <w:rsid w:val="00F722A7"/>
    <w:rsid w:val="00F72586"/>
    <w:rsid w:val="00F725B6"/>
    <w:rsid w:val="00F72A80"/>
    <w:rsid w:val="00F72E9A"/>
    <w:rsid w:val="00F73833"/>
    <w:rsid w:val="00F739A8"/>
    <w:rsid w:val="00F7442B"/>
    <w:rsid w:val="00F74935"/>
    <w:rsid w:val="00F74993"/>
    <w:rsid w:val="00F75A23"/>
    <w:rsid w:val="00F75C3D"/>
    <w:rsid w:val="00F75C8C"/>
    <w:rsid w:val="00F7695D"/>
    <w:rsid w:val="00F77186"/>
    <w:rsid w:val="00F77752"/>
    <w:rsid w:val="00F80432"/>
    <w:rsid w:val="00F80AAF"/>
    <w:rsid w:val="00F80C70"/>
    <w:rsid w:val="00F80D6C"/>
    <w:rsid w:val="00F80FDE"/>
    <w:rsid w:val="00F8184E"/>
    <w:rsid w:val="00F828EA"/>
    <w:rsid w:val="00F83531"/>
    <w:rsid w:val="00F843B8"/>
    <w:rsid w:val="00F845A6"/>
    <w:rsid w:val="00F850B5"/>
    <w:rsid w:val="00F850E0"/>
    <w:rsid w:val="00F85100"/>
    <w:rsid w:val="00F85E8D"/>
    <w:rsid w:val="00F87181"/>
    <w:rsid w:val="00F8794A"/>
    <w:rsid w:val="00F87FC9"/>
    <w:rsid w:val="00F901CF"/>
    <w:rsid w:val="00F90497"/>
    <w:rsid w:val="00F905E9"/>
    <w:rsid w:val="00F90A46"/>
    <w:rsid w:val="00F90BED"/>
    <w:rsid w:val="00F9120D"/>
    <w:rsid w:val="00F91267"/>
    <w:rsid w:val="00F91275"/>
    <w:rsid w:val="00F91418"/>
    <w:rsid w:val="00F91999"/>
    <w:rsid w:val="00F91E58"/>
    <w:rsid w:val="00F922C2"/>
    <w:rsid w:val="00F92541"/>
    <w:rsid w:val="00F929BF"/>
    <w:rsid w:val="00F92B9E"/>
    <w:rsid w:val="00F92CF2"/>
    <w:rsid w:val="00F94375"/>
    <w:rsid w:val="00F94461"/>
    <w:rsid w:val="00F959B2"/>
    <w:rsid w:val="00F95DBB"/>
    <w:rsid w:val="00F963B3"/>
    <w:rsid w:val="00F966F2"/>
    <w:rsid w:val="00FA0E10"/>
    <w:rsid w:val="00FA0F53"/>
    <w:rsid w:val="00FA13A3"/>
    <w:rsid w:val="00FA168A"/>
    <w:rsid w:val="00FA1784"/>
    <w:rsid w:val="00FA1E96"/>
    <w:rsid w:val="00FA2776"/>
    <w:rsid w:val="00FA2878"/>
    <w:rsid w:val="00FA290A"/>
    <w:rsid w:val="00FA36BD"/>
    <w:rsid w:val="00FA36D5"/>
    <w:rsid w:val="00FA499C"/>
    <w:rsid w:val="00FA5989"/>
    <w:rsid w:val="00FA6812"/>
    <w:rsid w:val="00FA75D2"/>
    <w:rsid w:val="00FB02A4"/>
    <w:rsid w:val="00FB0417"/>
    <w:rsid w:val="00FB0CF5"/>
    <w:rsid w:val="00FB0F60"/>
    <w:rsid w:val="00FB1280"/>
    <w:rsid w:val="00FB258E"/>
    <w:rsid w:val="00FB2B58"/>
    <w:rsid w:val="00FB2C5C"/>
    <w:rsid w:val="00FB33DB"/>
    <w:rsid w:val="00FB3D09"/>
    <w:rsid w:val="00FB47ED"/>
    <w:rsid w:val="00FB480E"/>
    <w:rsid w:val="00FB5172"/>
    <w:rsid w:val="00FB5EF1"/>
    <w:rsid w:val="00FB5F10"/>
    <w:rsid w:val="00FB6261"/>
    <w:rsid w:val="00FB633C"/>
    <w:rsid w:val="00FB6364"/>
    <w:rsid w:val="00FB65BA"/>
    <w:rsid w:val="00FB661B"/>
    <w:rsid w:val="00FB6989"/>
    <w:rsid w:val="00FB6DC8"/>
    <w:rsid w:val="00FB7555"/>
    <w:rsid w:val="00FB7872"/>
    <w:rsid w:val="00FC05D6"/>
    <w:rsid w:val="00FC067A"/>
    <w:rsid w:val="00FC079C"/>
    <w:rsid w:val="00FC0B02"/>
    <w:rsid w:val="00FC1835"/>
    <w:rsid w:val="00FC25E9"/>
    <w:rsid w:val="00FC2698"/>
    <w:rsid w:val="00FC29C8"/>
    <w:rsid w:val="00FC2A22"/>
    <w:rsid w:val="00FC3E96"/>
    <w:rsid w:val="00FC47C5"/>
    <w:rsid w:val="00FC47F1"/>
    <w:rsid w:val="00FC55C1"/>
    <w:rsid w:val="00FC55E9"/>
    <w:rsid w:val="00FC60EC"/>
    <w:rsid w:val="00FC6270"/>
    <w:rsid w:val="00FC6EAA"/>
    <w:rsid w:val="00FC7684"/>
    <w:rsid w:val="00FD12F6"/>
    <w:rsid w:val="00FD12FD"/>
    <w:rsid w:val="00FD1A16"/>
    <w:rsid w:val="00FD1C3B"/>
    <w:rsid w:val="00FD216A"/>
    <w:rsid w:val="00FD269B"/>
    <w:rsid w:val="00FD333D"/>
    <w:rsid w:val="00FD3C1E"/>
    <w:rsid w:val="00FD4D11"/>
    <w:rsid w:val="00FD592D"/>
    <w:rsid w:val="00FD7033"/>
    <w:rsid w:val="00FD7E33"/>
    <w:rsid w:val="00FE014A"/>
    <w:rsid w:val="00FE0BDF"/>
    <w:rsid w:val="00FE1438"/>
    <w:rsid w:val="00FE152B"/>
    <w:rsid w:val="00FE1764"/>
    <w:rsid w:val="00FE19DB"/>
    <w:rsid w:val="00FE19FF"/>
    <w:rsid w:val="00FE1CAB"/>
    <w:rsid w:val="00FE2195"/>
    <w:rsid w:val="00FE2908"/>
    <w:rsid w:val="00FE38AF"/>
    <w:rsid w:val="00FE3EAD"/>
    <w:rsid w:val="00FE43A9"/>
    <w:rsid w:val="00FE4823"/>
    <w:rsid w:val="00FE5524"/>
    <w:rsid w:val="00FE65B4"/>
    <w:rsid w:val="00FE6762"/>
    <w:rsid w:val="00FE67C3"/>
    <w:rsid w:val="00FE6B37"/>
    <w:rsid w:val="00FE74F1"/>
    <w:rsid w:val="00FE794E"/>
    <w:rsid w:val="00FE7E1B"/>
    <w:rsid w:val="00FF121D"/>
    <w:rsid w:val="00FF133A"/>
    <w:rsid w:val="00FF14A1"/>
    <w:rsid w:val="00FF1A1D"/>
    <w:rsid w:val="00FF2030"/>
    <w:rsid w:val="00FF3AFD"/>
    <w:rsid w:val="00FF40EC"/>
    <w:rsid w:val="00FF444D"/>
    <w:rsid w:val="00FF4986"/>
    <w:rsid w:val="00FF5CE0"/>
    <w:rsid w:val="00FF5D5B"/>
    <w:rsid w:val="00FF6C90"/>
  </w:rsids>
  <m:mathPr>
    <m:mathFont m:val="Cambria Math"/>
    <m:brkBin m:val="before"/>
    <m:brkBinSub m:val="--"/>
    <m:smallFrac m:val="0"/>
    <m:dispDef/>
    <m:lMargin m:val="0"/>
    <m:rMargin m:val="0"/>
    <m:defJc m:val="centerGroup"/>
    <m:wrapIndent m:val="1440"/>
    <m:intLim m:val="subSup"/>
    <m:naryLim m:val="undOvr"/>
  </m:mathPr>
  <w:themeFontLang w:val="en-AU" w:eastAsia="zh-CN" w:bidi="dz-BT"/>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1642B561"/>
  <w14:defaultImageDpi w14:val="96"/>
  <w15:chartTrackingRefBased/>
  <w15:docId w15:val="{18BFFF14-77E8-408C-90B9-D4320C1F1A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10" w:unhideWhenUsed="1" w:qFormat="1"/>
    <w:lsdException w:name="heading 6" w:semiHidden="1" w:uiPriority="11" w:unhideWhenUsed="1" w:qFormat="1"/>
    <w:lsdException w:name="heading 7" w:semiHidden="1" w:uiPriority="9"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2" w:unhideWhenUsed="1" w:qFormat="1"/>
    <w:lsdException w:name="List Number" w:semiHidden="1" w:uiPriority="22"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7"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46CBB"/>
    <w:pPr>
      <w:spacing w:before="120" w:after="120" w:line="276" w:lineRule="auto"/>
      <w:jc w:val="both"/>
    </w:pPr>
    <w:rPr>
      <w:rFonts w:ascii="Century Gothic" w:eastAsia="Times New Roman" w:hAnsi="Century Gothic" w:cs="Times New Roman"/>
      <w:color w:val="000000"/>
      <w:kern w:val="28"/>
      <w:sz w:val="21"/>
      <w:szCs w:val="20"/>
    </w:rPr>
  </w:style>
  <w:style w:type="paragraph" w:styleId="Heading1">
    <w:name w:val="heading 1"/>
    <w:aliases w:val="H1"/>
    <w:basedOn w:val="Normal"/>
    <w:next w:val="Normal"/>
    <w:link w:val="Heading1Char"/>
    <w:uiPriority w:val="9"/>
    <w:qFormat/>
    <w:rsid w:val="005B0AA3"/>
    <w:pPr>
      <w:keepNext/>
      <w:keepLines/>
      <w:numPr>
        <w:numId w:val="2"/>
      </w:numPr>
      <w:spacing w:after="240"/>
      <w:jc w:val="left"/>
      <w:outlineLvl w:val="0"/>
    </w:pPr>
    <w:rPr>
      <w:rFonts w:eastAsiaTheme="majorEastAsia" w:cstheme="majorBidi"/>
      <w:b/>
      <w:bCs/>
      <w:caps/>
      <w:color w:val="44546A" w:themeColor="text2"/>
      <w:sz w:val="32"/>
      <w:szCs w:val="28"/>
    </w:rPr>
  </w:style>
  <w:style w:type="paragraph" w:styleId="Heading2">
    <w:name w:val="heading 2"/>
    <w:aliases w:val="H2"/>
    <w:basedOn w:val="Normal"/>
    <w:next w:val="Normal"/>
    <w:link w:val="Heading2Char"/>
    <w:uiPriority w:val="9"/>
    <w:qFormat/>
    <w:rsid w:val="005B0AA3"/>
    <w:pPr>
      <w:keepNext/>
      <w:keepLines/>
      <w:numPr>
        <w:ilvl w:val="1"/>
        <w:numId w:val="2"/>
      </w:numPr>
      <w:spacing w:before="360"/>
      <w:outlineLvl w:val="1"/>
    </w:pPr>
    <w:rPr>
      <w:rFonts w:eastAsiaTheme="majorEastAsia" w:cstheme="majorBidi"/>
      <w:b/>
      <w:bCs/>
      <w:color w:val="44546A" w:themeColor="text2"/>
      <w:sz w:val="26"/>
      <w:szCs w:val="26"/>
    </w:rPr>
  </w:style>
  <w:style w:type="paragraph" w:styleId="Heading3">
    <w:name w:val="heading 3"/>
    <w:aliases w:val="H3"/>
    <w:basedOn w:val="Normal"/>
    <w:next w:val="Normal"/>
    <w:link w:val="Heading3Char"/>
    <w:uiPriority w:val="9"/>
    <w:unhideWhenUsed/>
    <w:qFormat/>
    <w:rsid w:val="00494246"/>
    <w:pPr>
      <w:keepNext/>
      <w:keepLines/>
      <w:spacing w:before="40" w:after="0"/>
      <w:outlineLvl w:val="2"/>
    </w:pPr>
    <w:rPr>
      <w:rFonts w:eastAsiaTheme="majorEastAsia" w:cstheme="majorBidi"/>
      <w:b/>
      <w:i/>
      <w:color w:val="44546A" w:themeColor="text2"/>
      <w:sz w:val="24"/>
      <w:szCs w:val="24"/>
    </w:rPr>
  </w:style>
  <w:style w:type="paragraph" w:styleId="Heading4">
    <w:name w:val="heading 4"/>
    <w:aliases w:val="H4"/>
    <w:basedOn w:val="Normal"/>
    <w:next w:val="Normal"/>
    <w:link w:val="Heading4Char"/>
    <w:uiPriority w:val="9"/>
    <w:qFormat/>
    <w:rsid w:val="00C86AD1"/>
    <w:pPr>
      <w:keepNext/>
      <w:keepLines/>
      <w:numPr>
        <w:ilvl w:val="3"/>
        <w:numId w:val="2"/>
      </w:numPr>
      <w:spacing w:before="160"/>
      <w:ind w:left="0"/>
      <w:outlineLvl w:val="3"/>
    </w:pPr>
    <w:rPr>
      <w:rFonts w:eastAsiaTheme="majorEastAsia" w:cstheme="majorBidi"/>
      <w:bCs/>
      <w:i/>
      <w:iCs/>
      <w:color w:val="auto"/>
      <w:u w:val="single"/>
    </w:rPr>
  </w:style>
  <w:style w:type="paragraph" w:styleId="Heading5">
    <w:name w:val="heading 5"/>
    <w:aliases w:val="H5"/>
    <w:basedOn w:val="Normal"/>
    <w:next w:val="Normal"/>
    <w:link w:val="Heading5Char"/>
    <w:uiPriority w:val="10"/>
    <w:qFormat/>
    <w:rsid w:val="005B0AA3"/>
    <w:pPr>
      <w:keepNext/>
      <w:keepLines/>
      <w:numPr>
        <w:ilvl w:val="4"/>
        <w:numId w:val="2"/>
      </w:numPr>
      <w:spacing w:before="200" w:after="0"/>
      <w:ind w:left="0"/>
      <w:outlineLvl w:val="4"/>
    </w:pPr>
    <w:rPr>
      <w:rFonts w:eastAsiaTheme="majorEastAsia" w:cstheme="majorBidi"/>
      <w:color w:val="1F4D78" w:themeColor="accent1" w:themeShade="7F"/>
    </w:rPr>
  </w:style>
  <w:style w:type="paragraph" w:styleId="Heading6">
    <w:name w:val="heading 6"/>
    <w:aliases w:val="H6"/>
    <w:basedOn w:val="Normal"/>
    <w:next w:val="Normal"/>
    <w:link w:val="Heading6Char"/>
    <w:uiPriority w:val="11"/>
    <w:unhideWhenUsed/>
    <w:qFormat/>
    <w:rsid w:val="005B0AA3"/>
    <w:pPr>
      <w:keepNext/>
      <w:keepLines/>
      <w:numPr>
        <w:ilvl w:val="5"/>
        <w:numId w:val="2"/>
      </w:numPr>
      <w:spacing w:before="200" w:after="0"/>
      <w:ind w:left="0"/>
      <w:outlineLvl w:val="5"/>
    </w:pPr>
    <w:rPr>
      <w:rFonts w:asciiTheme="majorHAnsi" w:eastAsiaTheme="majorEastAsia" w:hAnsiTheme="majorHAnsi" w:cstheme="majorBidi"/>
      <w:i/>
      <w:iCs/>
      <w:color w:val="1F4D78" w:themeColor="accent1" w:themeShade="7F"/>
    </w:rPr>
  </w:style>
  <w:style w:type="paragraph" w:styleId="Heading7">
    <w:name w:val="heading 7"/>
    <w:basedOn w:val="Normal"/>
    <w:next w:val="Normal"/>
    <w:link w:val="Heading7Char"/>
    <w:uiPriority w:val="9"/>
    <w:semiHidden/>
    <w:unhideWhenUsed/>
    <w:qFormat/>
    <w:rsid w:val="005B0AA3"/>
    <w:pPr>
      <w:keepNext/>
      <w:keepLines/>
      <w:numPr>
        <w:ilvl w:val="6"/>
        <w:numId w:val="2"/>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9"/>
    <w:unhideWhenUsed/>
    <w:qFormat/>
    <w:rsid w:val="005B0AA3"/>
    <w:pPr>
      <w:keepNext/>
      <w:keepLines/>
      <w:numPr>
        <w:ilvl w:val="7"/>
        <w:numId w:val="2"/>
      </w:numPr>
      <w:spacing w:before="200" w:after="0"/>
      <w:outlineLvl w:val="7"/>
    </w:pPr>
    <w:rPr>
      <w:rFonts w:asciiTheme="majorHAnsi" w:eastAsiaTheme="majorEastAsia" w:hAnsiTheme="majorHAnsi" w:cstheme="majorBidi"/>
      <w:color w:val="404040" w:themeColor="text1" w:themeTint="BF"/>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1 Char"/>
    <w:basedOn w:val="DefaultParagraphFont"/>
    <w:link w:val="Heading1"/>
    <w:uiPriority w:val="9"/>
    <w:rsid w:val="005B0AA3"/>
    <w:rPr>
      <w:rFonts w:ascii="Century Gothic" w:eastAsiaTheme="majorEastAsia" w:hAnsi="Century Gothic" w:cstheme="majorBidi"/>
      <w:b/>
      <w:bCs/>
      <w:caps/>
      <w:color w:val="44546A" w:themeColor="text2"/>
      <w:kern w:val="28"/>
      <w:sz w:val="32"/>
      <w:szCs w:val="28"/>
    </w:rPr>
  </w:style>
  <w:style w:type="character" w:customStyle="1" w:styleId="Heading2Char">
    <w:name w:val="Heading 2 Char"/>
    <w:aliases w:val="H2 Char"/>
    <w:basedOn w:val="DefaultParagraphFont"/>
    <w:link w:val="Heading2"/>
    <w:uiPriority w:val="9"/>
    <w:rsid w:val="005B0AA3"/>
    <w:rPr>
      <w:rFonts w:ascii="Century Gothic" w:eastAsiaTheme="majorEastAsia" w:hAnsi="Century Gothic" w:cstheme="majorBidi"/>
      <w:b/>
      <w:bCs/>
      <w:color w:val="44546A" w:themeColor="text2"/>
      <w:kern w:val="28"/>
      <w:sz w:val="26"/>
      <w:szCs w:val="26"/>
    </w:rPr>
  </w:style>
  <w:style w:type="character" w:customStyle="1" w:styleId="Heading3Char">
    <w:name w:val="Heading 3 Char"/>
    <w:aliases w:val="H3 Char"/>
    <w:basedOn w:val="DefaultParagraphFont"/>
    <w:link w:val="Heading3"/>
    <w:uiPriority w:val="9"/>
    <w:rsid w:val="00494246"/>
    <w:rPr>
      <w:rFonts w:ascii="Century Gothic" w:eastAsiaTheme="majorEastAsia" w:hAnsi="Century Gothic" w:cstheme="majorBidi"/>
      <w:b/>
      <w:i/>
      <w:color w:val="44546A" w:themeColor="text2"/>
      <w:kern w:val="28"/>
      <w:sz w:val="24"/>
      <w:szCs w:val="24"/>
    </w:rPr>
  </w:style>
  <w:style w:type="character" w:customStyle="1" w:styleId="Heading4Char">
    <w:name w:val="Heading 4 Char"/>
    <w:aliases w:val="H4 Char"/>
    <w:basedOn w:val="DefaultParagraphFont"/>
    <w:link w:val="Heading4"/>
    <w:uiPriority w:val="9"/>
    <w:rsid w:val="00C86AD1"/>
    <w:rPr>
      <w:rFonts w:ascii="Century Gothic" w:eastAsiaTheme="majorEastAsia" w:hAnsi="Century Gothic" w:cstheme="majorBidi"/>
      <w:bCs/>
      <w:i/>
      <w:iCs/>
      <w:kern w:val="28"/>
      <w:sz w:val="21"/>
      <w:szCs w:val="20"/>
      <w:u w:val="single"/>
    </w:rPr>
  </w:style>
  <w:style w:type="character" w:customStyle="1" w:styleId="Heading5Char">
    <w:name w:val="Heading 5 Char"/>
    <w:aliases w:val="H5 Char"/>
    <w:basedOn w:val="DefaultParagraphFont"/>
    <w:link w:val="Heading5"/>
    <w:uiPriority w:val="10"/>
    <w:rsid w:val="005B0AA3"/>
    <w:rPr>
      <w:rFonts w:ascii="Century Gothic" w:eastAsiaTheme="majorEastAsia" w:hAnsi="Century Gothic" w:cstheme="majorBidi"/>
      <w:color w:val="1F4D78" w:themeColor="accent1" w:themeShade="7F"/>
      <w:kern w:val="28"/>
      <w:sz w:val="21"/>
      <w:szCs w:val="20"/>
    </w:rPr>
  </w:style>
  <w:style w:type="character" w:customStyle="1" w:styleId="Heading6Char">
    <w:name w:val="Heading 6 Char"/>
    <w:aliases w:val="H6 Char"/>
    <w:basedOn w:val="DefaultParagraphFont"/>
    <w:link w:val="Heading6"/>
    <w:uiPriority w:val="11"/>
    <w:rsid w:val="005B0AA3"/>
    <w:rPr>
      <w:rFonts w:asciiTheme="majorHAnsi" w:eastAsiaTheme="majorEastAsia" w:hAnsiTheme="majorHAnsi" w:cstheme="majorBidi"/>
      <w:i/>
      <w:iCs/>
      <w:color w:val="1F4D78" w:themeColor="accent1" w:themeShade="7F"/>
      <w:kern w:val="28"/>
      <w:sz w:val="21"/>
      <w:szCs w:val="20"/>
    </w:rPr>
  </w:style>
  <w:style w:type="character" w:customStyle="1" w:styleId="Heading7Char">
    <w:name w:val="Heading 7 Char"/>
    <w:basedOn w:val="DefaultParagraphFont"/>
    <w:link w:val="Heading7"/>
    <w:uiPriority w:val="9"/>
    <w:semiHidden/>
    <w:rsid w:val="005B0AA3"/>
    <w:rPr>
      <w:rFonts w:asciiTheme="majorHAnsi" w:eastAsiaTheme="majorEastAsia" w:hAnsiTheme="majorHAnsi" w:cstheme="majorBidi"/>
      <w:i/>
      <w:iCs/>
      <w:color w:val="404040" w:themeColor="text1" w:themeTint="BF"/>
      <w:kern w:val="28"/>
      <w:sz w:val="21"/>
      <w:szCs w:val="20"/>
    </w:rPr>
  </w:style>
  <w:style w:type="character" w:customStyle="1" w:styleId="Heading8Char">
    <w:name w:val="Heading 8 Char"/>
    <w:basedOn w:val="DefaultParagraphFont"/>
    <w:link w:val="Heading8"/>
    <w:uiPriority w:val="99"/>
    <w:rsid w:val="005B0AA3"/>
    <w:rPr>
      <w:rFonts w:asciiTheme="majorHAnsi" w:eastAsiaTheme="majorEastAsia" w:hAnsiTheme="majorHAnsi" w:cstheme="majorBidi"/>
      <w:color w:val="404040" w:themeColor="text1" w:themeTint="BF"/>
      <w:kern w:val="28"/>
      <w:sz w:val="20"/>
      <w:szCs w:val="20"/>
    </w:rPr>
  </w:style>
  <w:style w:type="character" w:styleId="Hyperlink">
    <w:name w:val="Hyperlink"/>
    <w:basedOn w:val="DefaultParagraphFont"/>
    <w:uiPriority w:val="99"/>
    <w:rsid w:val="005B0AA3"/>
    <w:rPr>
      <w:color w:val="0000FF"/>
      <w:u w:val="single"/>
    </w:rPr>
  </w:style>
  <w:style w:type="paragraph" w:styleId="TOC1">
    <w:name w:val="toc 1"/>
    <w:basedOn w:val="Normal"/>
    <w:next w:val="Normal"/>
    <w:autoRedefine/>
    <w:uiPriority w:val="39"/>
    <w:unhideWhenUsed/>
    <w:rsid w:val="005B0AA3"/>
    <w:pPr>
      <w:spacing w:after="100"/>
    </w:pPr>
    <w:rPr>
      <w:b/>
      <w:caps/>
    </w:rPr>
  </w:style>
  <w:style w:type="paragraph" w:styleId="TOC2">
    <w:name w:val="toc 2"/>
    <w:basedOn w:val="Normal"/>
    <w:next w:val="Normal"/>
    <w:autoRedefine/>
    <w:uiPriority w:val="39"/>
    <w:unhideWhenUsed/>
    <w:rsid w:val="00C73815"/>
    <w:pPr>
      <w:tabs>
        <w:tab w:val="left" w:pos="660"/>
        <w:tab w:val="right" w:leader="dot" w:pos="9010"/>
      </w:tabs>
      <w:spacing w:after="100"/>
      <w:contextualSpacing/>
    </w:pPr>
    <w:rPr>
      <w:noProof/>
    </w:rPr>
  </w:style>
  <w:style w:type="paragraph" w:styleId="Header">
    <w:name w:val="header"/>
    <w:basedOn w:val="Normal"/>
    <w:link w:val="HeaderChar"/>
    <w:uiPriority w:val="99"/>
    <w:unhideWhenUsed/>
    <w:rsid w:val="005B0AA3"/>
    <w:pPr>
      <w:tabs>
        <w:tab w:val="center" w:pos="4513"/>
        <w:tab w:val="right" w:pos="9026"/>
      </w:tabs>
    </w:pPr>
  </w:style>
  <w:style w:type="character" w:customStyle="1" w:styleId="HeaderChar">
    <w:name w:val="Header Char"/>
    <w:basedOn w:val="DefaultParagraphFont"/>
    <w:link w:val="Header"/>
    <w:uiPriority w:val="99"/>
    <w:rsid w:val="005B0AA3"/>
    <w:rPr>
      <w:rFonts w:ascii="Century Gothic" w:eastAsia="Times New Roman" w:hAnsi="Century Gothic" w:cs="Times New Roman"/>
      <w:color w:val="000000"/>
      <w:kern w:val="28"/>
      <w:szCs w:val="20"/>
    </w:rPr>
  </w:style>
  <w:style w:type="paragraph" w:styleId="Footer">
    <w:name w:val="footer"/>
    <w:basedOn w:val="Normal"/>
    <w:link w:val="FooterChar"/>
    <w:uiPriority w:val="99"/>
    <w:unhideWhenUsed/>
    <w:rsid w:val="005B0AA3"/>
    <w:pPr>
      <w:tabs>
        <w:tab w:val="center" w:pos="4513"/>
        <w:tab w:val="right" w:pos="9026"/>
      </w:tabs>
    </w:pPr>
    <w:rPr>
      <w:sz w:val="20"/>
    </w:rPr>
  </w:style>
  <w:style w:type="character" w:customStyle="1" w:styleId="FooterChar">
    <w:name w:val="Footer Char"/>
    <w:basedOn w:val="DefaultParagraphFont"/>
    <w:link w:val="Footer"/>
    <w:uiPriority w:val="99"/>
    <w:rsid w:val="005B0AA3"/>
    <w:rPr>
      <w:rFonts w:ascii="Century Gothic" w:eastAsia="Times New Roman" w:hAnsi="Century Gothic" w:cs="Times New Roman"/>
      <w:color w:val="000000"/>
      <w:kern w:val="28"/>
      <w:sz w:val="20"/>
      <w:szCs w:val="20"/>
    </w:rPr>
  </w:style>
  <w:style w:type="paragraph" w:customStyle="1" w:styleId="H1anotincinTOC">
    <w:name w:val="H1a not inc. in TOC"/>
    <w:basedOn w:val="Heading1"/>
    <w:next w:val="Normal"/>
    <w:uiPriority w:val="5"/>
    <w:qFormat/>
    <w:rsid w:val="005B0AA3"/>
    <w:pPr>
      <w:keepLines w:val="0"/>
      <w:numPr>
        <w:numId w:val="0"/>
      </w:numPr>
      <w:spacing w:before="0"/>
      <w:outlineLvl w:val="9"/>
    </w:pPr>
    <w:rPr>
      <w:rFonts w:eastAsia="Times New Roman" w:cs="Arial"/>
      <w:color w:val="000000"/>
      <w:spacing w:val="40"/>
      <w:szCs w:val="32"/>
      <w:lang w:eastAsia="en-AU"/>
    </w:rPr>
  </w:style>
  <w:style w:type="paragraph" w:styleId="TableofFigures">
    <w:name w:val="table of figures"/>
    <w:basedOn w:val="Normal"/>
    <w:next w:val="Normal"/>
    <w:uiPriority w:val="99"/>
    <w:rsid w:val="005B0AA3"/>
    <w:pPr>
      <w:tabs>
        <w:tab w:val="left" w:pos="1080"/>
        <w:tab w:val="right" w:leader="dot" w:pos="9000"/>
      </w:tabs>
      <w:ind w:left="964" w:hanging="964"/>
    </w:pPr>
    <w:rPr>
      <w:kern w:val="0"/>
      <w:lang w:eastAsia="en-AU"/>
    </w:rPr>
  </w:style>
  <w:style w:type="paragraph" w:styleId="ListBullet">
    <w:name w:val="List Bullet"/>
    <w:basedOn w:val="ListParagraph"/>
    <w:uiPriority w:val="22"/>
    <w:qFormat/>
    <w:rsid w:val="005B0AA3"/>
    <w:pPr>
      <w:numPr>
        <w:numId w:val="1"/>
      </w:numPr>
      <w:contextualSpacing w:val="0"/>
    </w:pPr>
    <w:rPr>
      <w:rFonts w:cs="Arial"/>
      <w:szCs w:val="22"/>
      <w:lang w:eastAsia="en-AU"/>
    </w:rPr>
  </w:style>
  <w:style w:type="paragraph" w:styleId="ListParagraph">
    <w:name w:val="List Paragraph"/>
    <w:basedOn w:val="Normal"/>
    <w:link w:val="ListParagraphChar"/>
    <w:uiPriority w:val="34"/>
    <w:qFormat/>
    <w:rsid w:val="005B0AA3"/>
    <w:pPr>
      <w:ind w:left="720"/>
      <w:contextualSpacing/>
    </w:pPr>
  </w:style>
  <w:style w:type="character" w:customStyle="1" w:styleId="ListParagraphChar">
    <w:name w:val="List Paragraph Char"/>
    <w:link w:val="ListParagraph"/>
    <w:uiPriority w:val="34"/>
    <w:rsid w:val="006237D5"/>
    <w:rPr>
      <w:rFonts w:ascii="Century Gothic" w:eastAsia="Times New Roman" w:hAnsi="Century Gothic" w:cs="Times New Roman"/>
      <w:color w:val="000000"/>
      <w:kern w:val="28"/>
      <w:szCs w:val="20"/>
    </w:rPr>
  </w:style>
  <w:style w:type="character" w:styleId="CommentReference">
    <w:name w:val="annotation reference"/>
    <w:basedOn w:val="DefaultParagraphFont"/>
    <w:uiPriority w:val="99"/>
    <w:semiHidden/>
    <w:unhideWhenUsed/>
    <w:rsid w:val="001B09A2"/>
    <w:rPr>
      <w:sz w:val="16"/>
      <w:szCs w:val="16"/>
    </w:rPr>
  </w:style>
  <w:style w:type="paragraph" w:styleId="CommentText">
    <w:name w:val="annotation text"/>
    <w:basedOn w:val="Normal"/>
    <w:link w:val="CommentTextChar"/>
    <w:uiPriority w:val="99"/>
    <w:unhideWhenUsed/>
    <w:rsid w:val="001B09A2"/>
    <w:pPr>
      <w:spacing w:line="240" w:lineRule="auto"/>
    </w:pPr>
    <w:rPr>
      <w:sz w:val="20"/>
    </w:rPr>
  </w:style>
  <w:style w:type="character" w:customStyle="1" w:styleId="CommentTextChar">
    <w:name w:val="Comment Text Char"/>
    <w:basedOn w:val="DefaultParagraphFont"/>
    <w:link w:val="CommentText"/>
    <w:uiPriority w:val="99"/>
    <w:rsid w:val="001B09A2"/>
    <w:rPr>
      <w:rFonts w:ascii="Century Gothic" w:eastAsia="Times New Roman" w:hAnsi="Century Gothic" w:cs="Times New Roman"/>
      <w:color w:val="000000"/>
      <w:kern w:val="28"/>
      <w:sz w:val="20"/>
      <w:szCs w:val="20"/>
    </w:rPr>
  </w:style>
  <w:style w:type="paragraph" w:styleId="CommentSubject">
    <w:name w:val="annotation subject"/>
    <w:basedOn w:val="CommentText"/>
    <w:next w:val="CommentText"/>
    <w:link w:val="CommentSubjectChar"/>
    <w:uiPriority w:val="99"/>
    <w:semiHidden/>
    <w:unhideWhenUsed/>
    <w:rsid w:val="001B09A2"/>
    <w:rPr>
      <w:b/>
      <w:bCs/>
    </w:rPr>
  </w:style>
  <w:style w:type="character" w:customStyle="1" w:styleId="CommentSubjectChar">
    <w:name w:val="Comment Subject Char"/>
    <w:basedOn w:val="CommentTextChar"/>
    <w:link w:val="CommentSubject"/>
    <w:uiPriority w:val="99"/>
    <w:semiHidden/>
    <w:rsid w:val="001B09A2"/>
    <w:rPr>
      <w:rFonts w:ascii="Century Gothic" w:eastAsia="Times New Roman" w:hAnsi="Century Gothic" w:cs="Times New Roman"/>
      <w:b/>
      <w:bCs/>
      <w:color w:val="000000"/>
      <w:kern w:val="28"/>
      <w:sz w:val="20"/>
      <w:szCs w:val="20"/>
    </w:rPr>
  </w:style>
  <w:style w:type="paragraph" w:styleId="BalloonText">
    <w:name w:val="Balloon Text"/>
    <w:basedOn w:val="Normal"/>
    <w:link w:val="BalloonTextChar"/>
    <w:uiPriority w:val="99"/>
    <w:semiHidden/>
    <w:unhideWhenUsed/>
    <w:rsid w:val="001B09A2"/>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B09A2"/>
    <w:rPr>
      <w:rFonts w:ascii="Segoe UI" w:eastAsia="Times New Roman" w:hAnsi="Segoe UI" w:cs="Segoe UI"/>
      <w:color w:val="000000"/>
      <w:kern w:val="28"/>
      <w:sz w:val="18"/>
      <w:szCs w:val="18"/>
    </w:rPr>
  </w:style>
  <w:style w:type="paragraph" w:styleId="ListNumber">
    <w:name w:val="List Number"/>
    <w:basedOn w:val="ListParagraph"/>
    <w:uiPriority w:val="22"/>
    <w:qFormat/>
    <w:rsid w:val="00986C11"/>
    <w:pPr>
      <w:numPr>
        <w:numId w:val="3"/>
      </w:numPr>
      <w:contextualSpacing w:val="0"/>
    </w:pPr>
    <w:rPr>
      <w:rFonts w:cs="Arial"/>
      <w:szCs w:val="22"/>
      <w:lang w:eastAsia="en-AU"/>
    </w:rPr>
  </w:style>
  <w:style w:type="paragraph" w:styleId="Caption">
    <w:name w:val="caption"/>
    <w:aliases w:val="CaptionTable,CaptionTable Char,Centered Char,Caption Char1,Centered Char Char,Centered,Figures"/>
    <w:basedOn w:val="Normal"/>
    <w:next w:val="Normal"/>
    <w:link w:val="CaptionChar"/>
    <w:uiPriority w:val="35"/>
    <w:unhideWhenUsed/>
    <w:qFormat/>
    <w:rsid w:val="00986C11"/>
    <w:pPr>
      <w:spacing w:after="200" w:line="240" w:lineRule="auto"/>
    </w:pPr>
    <w:rPr>
      <w:b/>
      <w:bCs/>
      <w:color w:val="auto"/>
      <w:sz w:val="20"/>
      <w:szCs w:val="18"/>
    </w:rPr>
  </w:style>
  <w:style w:type="character" w:customStyle="1" w:styleId="CaptionChar">
    <w:name w:val="Caption Char"/>
    <w:aliases w:val="CaptionTable Char1,CaptionTable Char Char,Centered Char Char1,Caption Char1 Char,Centered Char Char Char,Centered Char1,Figures Char"/>
    <w:link w:val="Caption"/>
    <w:uiPriority w:val="35"/>
    <w:rsid w:val="00986C11"/>
    <w:rPr>
      <w:rFonts w:ascii="Century Gothic" w:eastAsia="Times New Roman" w:hAnsi="Century Gothic" w:cs="Times New Roman"/>
      <w:b/>
      <w:bCs/>
      <w:kern w:val="28"/>
      <w:sz w:val="20"/>
      <w:szCs w:val="18"/>
    </w:rPr>
  </w:style>
  <w:style w:type="paragraph" w:customStyle="1" w:styleId="Captions">
    <w:name w:val="Captions"/>
    <w:basedOn w:val="Normal"/>
    <w:next w:val="Normal"/>
    <w:autoRedefine/>
    <w:qFormat/>
    <w:rsid w:val="00F8184E"/>
    <w:pPr>
      <w:spacing w:after="240" w:line="240" w:lineRule="auto"/>
      <w:contextualSpacing/>
    </w:pPr>
    <w:rPr>
      <w:rFonts w:eastAsia="MS Mincho" w:cs="Arial"/>
      <w:b/>
      <w:bCs/>
      <w:color w:val="auto"/>
      <w:kern w:val="0"/>
      <w:sz w:val="20"/>
      <w:lang w:val="en-US"/>
    </w:rPr>
  </w:style>
  <w:style w:type="table" w:styleId="TableGrid">
    <w:name w:val="Table Grid"/>
    <w:basedOn w:val="TableNormal"/>
    <w:uiPriority w:val="39"/>
    <w:rsid w:val="007E51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Char7">
    <w:name w:val="Char Char7"/>
    <w:uiPriority w:val="99"/>
    <w:locked/>
    <w:rsid w:val="006237D5"/>
    <w:rPr>
      <w:rFonts w:ascii="Frutiger LT Std 45 Light" w:hAnsi="Frutiger LT Std 45 Light" w:cs="Frutiger LT Std 45 Light"/>
      <w:color w:val="548DD4"/>
      <w:spacing w:val="5"/>
      <w:kern w:val="28"/>
      <w:sz w:val="28"/>
      <w:szCs w:val="28"/>
      <w:lang w:val="en-AU" w:eastAsia="en-US" w:bidi="ar-SA"/>
    </w:rPr>
  </w:style>
  <w:style w:type="paragraph" w:customStyle="1" w:styleId="TableHeading">
    <w:name w:val="TableHeading"/>
    <w:basedOn w:val="Normal"/>
    <w:uiPriority w:val="13"/>
    <w:qFormat/>
    <w:rsid w:val="002241AB"/>
    <w:rPr>
      <w:rFonts w:cs="Arial"/>
      <w:b/>
      <w:sz w:val="20"/>
      <w:szCs w:val="22"/>
    </w:rPr>
  </w:style>
  <w:style w:type="paragraph" w:styleId="TOCHeading">
    <w:name w:val="TOC Heading"/>
    <w:basedOn w:val="Heading1"/>
    <w:next w:val="Normal"/>
    <w:uiPriority w:val="39"/>
    <w:unhideWhenUsed/>
    <w:qFormat/>
    <w:rsid w:val="00040A6D"/>
    <w:pPr>
      <w:numPr>
        <w:numId w:val="0"/>
      </w:numPr>
      <w:spacing w:before="240" w:after="0"/>
      <w:jc w:val="both"/>
      <w:outlineLvl w:val="9"/>
    </w:pPr>
    <w:rPr>
      <w:rFonts w:asciiTheme="majorHAnsi" w:hAnsiTheme="majorHAnsi"/>
      <w:b w:val="0"/>
      <w:bCs w:val="0"/>
      <w:caps w:val="0"/>
      <w:color w:val="2E74B5" w:themeColor="accent1" w:themeShade="BF"/>
      <w:szCs w:val="32"/>
    </w:rPr>
  </w:style>
  <w:style w:type="paragraph" w:styleId="FootnoteText">
    <w:name w:val="footnote text"/>
    <w:basedOn w:val="Normal"/>
    <w:link w:val="FootnoteTextChar"/>
    <w:uiPriority w:val="99"/>
    <w:semiHidden/>
    <w:unhideWhenUsed/>
    <w:rsid w:val="002E4118"/>
    <w:pPr>
      <w:spacing w:before="0" w:after="0" w:line="240" w:lineRule="auto"/>
    </w:pPr>
    <w:rPr>
      <w:sz w:val="20"/>
    </w:rPr>
  </w:style>
  <w:style w:type="character" w:customStyle="1" w:styleId="FootnoteTextChar">
    <w:name w:val="Footnote Text Char"/>
    <w:basedOn w:val="DefaultParagraphFont"/>
    <w:link w:val="FootnoteText"/>
    <w:uiPriority w:val="99"/>
    <w:semiHidden/>
    <w:rsid w:val="002E4118"/>
    <w:rPr>
      <w:rFonts w:ascii="Century Gothic" w:eastAsia="Times New Roman" w:hAnsi="Century Gothic" w:cs="Times New Roman"/>
      <w:color w:val="000000"/>
      <w:kern w:val="28"/>
      <w:sz w:val="20"/>
      <w:szCs w:val="20"/>
    </w:rPr>
  </w:style>
  <w:style w:type="character" w:styleId="FootnoteReference">
    <w:name w:val="footnote reference"/>
    <w:basedOn w:val="DefaultParagraphFont"/>
    <w:uiPriority w:val="99"/>
    <w:unhideWhenUsed/>
    <w:rsid w:val="002E4118"/>
    <w:rPr>
      <w:vertAlign w:val="superscript"/>
    </w:rPr>
  </w:style>
  <w:style w:type="paragraph" w:customStyle="1" w:styleId="Reporttext">
    <w:name w:val="Report text"/>
    <w:basedOn w:val="Normal"/>
    <w:link w:val="ReporttextChar"/>
    <w:qFormat/>
    <w:rsid w:val="004F5412"/>
    <w:pPr>
      <w:spacing w:before="0" w:after="170" w:line="260" w:lineRule="atLeast"/>
      <w:jc w:val="left"/>
    </w:pPr>
    <w:rPr>
      <w:rFonts w:ascii="Segoe UI" w:eastAsia="MS Mincho" w:hAnsi="Segoe UI"/>
      <w:color w:val="auto"/>
      <w:kern w:val="0"/>
      <w:sz w:val="20"/>
      <w:szCs w:val="18"/>
    </w:rPr>
  </w:style>
  <w:style w:type="character" w:customStyle="1" w:styleId="ReporttextChar">
    <w:name w:val="Report text Char"/>
    <w:basedOn w:val="DefaultParagraphFont"/>
    <w:link w:val="Reporttext"/>
    <w:rsid w:val="004F5412"/>
    <w:rPr>
      <w:rFonts w:ascii="Segoe UI" w:eastAsia="MS Mincho" w:hAnsi="Segoe UI" w:cs="Times New Roman"/>
      <w:sz w:val="20"/>
      <w:szCs w:val="18"/>
    </w:rPr>
  </w:style>
  <w:style w:type="paragraph" w:styleId="BodyText">
    <w:name w:val="Body Text"/>
    <w:link w:val="BodyTextChar"/>
    <w:uiPriority w:val="99"/>
    <w:semiHidden/>
    <w:unhideWhenUsed/>
    <w:rsid w:val="00C75987"/>
    <w:pPr>
      <w:spacing w:after="120" w:line="240" w:lineRule="auto"/>
      <w:jc w:val="center"/>
    </w:pPr>
    <w:rPr>
      <w:rFonts w:ascii="Gill Sans MT" w:eastAsia="Times New Roman" w:hAnsi="Gill Sans MT" w:cs="Times New Roman"/>
      <w:color w:val="000000"/>
      <w:kern w:val="28"/>
      <w:sz w:val="48"/>
      <w:szCs w:val="48"/>
      <w:lang w:val="en-US"/>
    </w:rPr>
  </w:style>
  <w:style w:type="character" w:customStyle="1" w:styleId="BodyTextChar">
    <w:name w:val="Body Text Char"/>
    <w:basedOn w:val="DefaultParagraphFont"/>
    <w:link w:val="BodyText"/>
    <w:uiPriority w:val="99"/>
    <w:semiHidden/>
    <w:rsid w:val="00C75987"/>
    <w:rPr>
      <w:rFonts w:ascii="Gill Sans MT" w:eastAsia="Times New Roman" w:hAnsi="Gill Sans MT" w:cs="Times New Roman"/>
      <w:color w:val="000000"/>
      <w:kern w:val="28"/>
      <w:sz w:val="48"/>
      <w:szCs w:val="48"/>
      <w:lang w:val="en-US"/>
    </w:rPr>
  </w:style>
  <w:style w:type="paragraph" w:styleId="TOC3">
    <w:name w:val="toc 3"/>
    <w:basedOn w:val="Normal"/>
    <w:next w:val="Normal"/>
    <w:autoRedefine/>
    <w:uiPriority w:val="39"/>
    <w:unhideWhenUsed/>
    <w:rsid w:val="00C73815"/>
    <w:pPr>
      <w:tabs>
        <w:tab w:val="left" w:pos="660"/>
        <w:tab w:val="right" w:leader="dot" w:pos="9010"/>
      </w:tabs>
      <w:spacing w:before="60" w:after="60"/>
      <w:ind w:left="113"/>
    </w:pPr>
    <w:rPr>
      <w:i/>
    </w:rPr>
  </w:style>
  <w:style w:type="paragraph" w:styleId="Title">
    <w:name w:val="Title"/>
    <w:basedOn w:val="Normal"/>
    <w:next w:val="Normal"/>
    <w:link w:val="TitleChar"/>
    <w:autoRedefine/>
    <w:uiPriority w:val="17"/>
    <w:qFormat/>
    <w:rsid w:val="00C75987"/>
    <w:pPr>
      <w:spacing w:after="960"/>
    </w:pPr>
    <w:rPr>
      <w:rFonts w:cs="Arial"/>
      <w:b/>
      <w:color w:val="0070C0"/>
      <w:sz w:val="40"/>
      <w:szCs w:val="43"/>
    </w:rPr>
  </w:style>
  <w:style w:type="character" w:customStyle="1" w:styleId="TitleChar">
    <w:name w:val="Title Char"/>
    <w:basedOn w:val="DefaultParagraphFont"/>
    <w:link w:val="Title"/>
    <w:uiPriority w:val="17"/>
    <w:rsid w:val="00C75987"/>
    <w:rPr>
      <w:rFonts w:ascii="Century Gothic" w:eastAsia="Times New Roman" w:hAnsi="Century Gothic" w:cs="Arial"/>
      <w:b/>
      <w:color w:val="0070C0"/>
      <w:kern w:val="28"/>
      <w:sz w:val="40"/>
      <w:szCs w:val="43"/>
    </w:rPr>
  </w:style>
  <w:style w:type="paragraph" w:styleId="TOC4">
    <w:name w:val="toc 4"/>
    <w:basedOn w:val="Normal"/>
    <w:next w:val="Normal"/>
    <w:autoRedefine/>
    <w:uiPriority w:val="39"/>
    <w:unhideWhenUsed/>
    <w:rsid w:val="00C75987"/>
    <w:pPr>
      <w:spacing w:after="100"/>
      <w:ind w:left="660"/>
    </w:pPr>
    <w:rPr>
      <w:rFonts w:ascii="Calibri" w:hAnsi="Calibri"/>
      <w:i/>
      <w:sz w:val="20"/>
    </w:rPr>
  </w:style>
  <w:style w:type="paragraph" w:customStyle="1" w:styleId="TableText">
    <w:name w:val="TableText"/>
    <w:basedOn w:val="Normal"/>
    <w:next w:val="Normal"/>
    <w:link w:val="TableTextChar"/>
    <w:uiPriority w:val="14"/>
    <w:qFormat/>
    <w:rsid w:val="00C75987"/>
    <w:rPr>
      <w:rFonts w:cs="Arial"/>
      <w:sz w:val="20"/>
      <w:szCs w:val="22"/>
    </w:rPr>
  </w:style>
  <w:style w:type="character" w:customStyle="1" w:styleId="TableTextChar">
    <w:name w:val="TableText Char"/>
    <w:basedOn w:val="DefaultParagraphFont"/>
    <w:link w:val="TableText"/>
    <w:uiPriority w:val="14"/>
    <w:rsid w:val="00C75987"/>
    <w:rPr>
      <w:rFonts w:ascii="Century Gothic" w:eastAsia="Times New Roman" w:hAnsi="Century Gothic" w:cs="Arial"/>
      <w:color w:val="000000"/>
      <w:kern w:val="28"/>
      <w:sz w:val="20"/>
    </w:rPr>
  </w:style>
  <w:style w:type="paragraph" w:customStyle="1" w:styleId="DocumentDetails">
    <w:name w:val="DocumentDetails"/>
    <w:basedOn w:val="Normal"/>
    <w:uiPriority w:val="99"/>
    <w:rsid w:val="00C75987"/>
    <w:pPr>
      <w:tabs>
        <w:tab w:val="left" w:pos="2552"/>
      </w:tabs>
      <w:ind w:left="2552" w:hanging="2552"/>
    </w:pPr>
    <w:rPr>
      <w:rFonts w:cs="Arial"/>
      <w:szCs w:val="22"/>
    </w:rPr>
  </w:style>
  <w:style w:type="character" w:styleId="Strong">
    <w:name w:val="Strong"/>
    <w:basedOn w:val="DefaultParagraphFont"/>
    <w:uiPriority w:val="22"/>
    <w:qFormat/>
    <w:rsid w:val="00C75987"/>
    <w:rPr>
      <w:b/>
      <w:bCs/>
    </w:rPr>
  </w:style>
  <w:style w:type="paragraph" w:customStyle="1" w:styleId="PrelimHeadings">
    <w:name w:val="PrelimHeadings"/>
    <w:basedOn w:val="Normal"/>
    <w:next w:val="Normal"/>
    <w:uiPriority w:val="99"/>
    <w:rsid w:val="00C75987"/>
    <w:rPr>
      <w:rFonts w:cs="Arial"/>
      <w:b/>
      <w:szCs w:val="22"/>
    </w:rPr>
  </w:style>
  <w:style w:type="paragraph" w:customStyle="1" w:styleId="PrelimText">
    <w:name w:val="PrelimText"/>
    <w:basedOn w:val="Normal"/>
    <w:uiPriority w:val="99"/>
    <w:rsid w:val="00C75987"/>
    <w:rPr>
      <w:rFonts w:cs="Arial"/>
      <w:szCs w:val="22"/>
    </w:rPr>
  </w:style>
  <w:style w:type="paragraph" w:styleId="PlainText">
    <w:name w:val="Plain Text"/>
    <w:basedOn w:val="Normal"/>
    <w:link w:val="PlainTextChar"/>
    <w:uiPriority w:val="99"/>
    <w:unhideWhenUsed/>
    <w:rsid w:val="00C75987"/>
    <w:rPr>
      <w:rFonts w:ascii="Consolas" w:hAnsi="Consolas" w:cs="Consolas"/>
      <w:szCs w:val="21"/>
    </w:rPr>
  </w:style>
  <w:style w:type="character" w:customStyle="1" w:styleId="PlainTextChar">
    <w:name w:val="Plain Text Char"/>
    <w:basedOn w:val="DefaultParagraphFont"/>
    <w:link w:val="PlainText"/>
    <w:uiPriority w:val="99"/>
    <w:rsid w:val="00C75987"/>
    <w:rPr>
      <w:rFonts w:ascii="Consolas" w:eastAsia="Times New Roman" w:hAnsi="Consolas" w:cs="Consolas"/>
      <w:color w:val="000000"/>
      <w:kern w:val="28"/>
      <w:sz w:val="21"/>
      <w:szCs w:val="21"/>
    </w:rPr>
  </w:style>
  <w:style w:type="paragraph" w:customStyle="1" w:styleId="PrelimTextLeftAlign">
    <w:name w:val="PrelimText+LeftAlign"/>
    <w:basedOn w:val="Normal"/>
    <w:uiPriority w:val="99"/>
    <w:rsid w:val="00C75987"/>
    <w:rPr>
      <w:rFonts w:cs="Arial"/>
      <w:szCs w:val="22"/>
    </w:rPr>
  </w:style>
  <w:style w:type="paragraph" w:customStyle="1" w:styleId="TitlePageVerticalPeriod">
    <w:name w:val="TitlePageVerticalPeriod"/>
    <w:basedOn w:val="Normal"/>
    <w:uiPriority w:val="99"/>
    <w:qFormat/>
    <w:rsid w:val="00C75987"/>
    <w:rPr>
      <w:rFonts w:ascii="Arial Bold" w:hAnsi="Arial Bold"/>
      <w:color w:val="0070C0"/>
      <w:sz w:val="36"/>
    </w:rPr>
  </w:style>
  <w:style w:type="paragraph" w:customStyle="1" w:styleId="Authors">
    <w:name w:val="Authors"/>
    <w:basedOn w:val="Normal"/>
    <w:uiPriority w:val="19"/>
    <w:qFormat/>
    <w:rsid w:val="00C75987"/>
    <w:pPr>
      <w:pBdr>
        <w:top w:val="single" w:sz="18" w:space="15" w:color="5B9BD5" w:themeColor="accent1"/>
        <w:bottom w:val="single" w:sz="18" w:space="30" w:color="5B9BD5" w:themeColor="accent1"/>
      </w:pBdr>
      <w:tabs>
        <w:tab w:val="left" w:pos="7740"/>
      </w:tabs>
      <w:spacing w:before="320" w:after="320"/>
    </w:pPr>
    <w:rPr>
      <w:rFonts w:cs="Arial"/>
      <w:color w:val="auto"/>
      <w:sz w:val="28"/>
      <w:szCs w:val="28"/>
    </w:rPr>
  </w:style>
  <w:style w:type="paragraph" w:customStyle="1" w:styleId="DraftReport">
    <w:name w:val="DraftReport"/>
    <w:basedOn w:val="Normal"/>
    <w:next w:val="Normal"/>
    <w:uiPriority w:val="99"/>
    <w:rsid w:val="00C75987"/>
    <w:pPr>
      <w:spacing w:after="360"/>
      <w:jc w:val="center"/>
    </w:pPr>
    <w:rPr>
      <w:rFonts w:ascii="Arial Bold" w:hAnsi="Arial Bold"/>
      <w:color w:val="999999"/>
      <w:sz w:val="72"/>
    </w:rPr>
  </w:style>
  <w:style w:type="paragraph" w:customStyle="1" w:styleId="Heading3a">
    <w:name w:val="Heading 3a"/>
    <w:basedOn w:val="Heading3"/>
    <w:next w:val="Normal"/>
    <w:uiPriority w:val="8"/>
    <w:rsid w:val="00C75987"/>
    <w:pPr>
      <w:keepLines w:val="0"/>
      <w:spacing w:before="240" w:after="240"/>
      <w:ind w:left="1440" w:hanging="720"/>
      <w:outlineLvl w:val="9"/>
    </w:pPr>
    <w:rPr>
      <w:rFonts w:eastAsia="Times New Roman" w:cs="Arial"/>
      <w:bCs/>
      <w:color w:val="000000"/>
      <w:kern w:val="0"/>
      <w:sz w:val="22"/>
      <w:szCs w:val="26"/>
      <w:lang w:eastAsia="en-AU"/>
    </w:rPr>
  </w:style>
  <w:style w:type="paragraph" w:styleId="ListBullet2">
    <w:name w:val="List Bullet 2"/>
    <w:basedOn w:val="ListParagraph"/>
    <w:uiPriority w:val="99"/>
    <w:unhideWhenUsed/>
    <w:rsid w:val="00C75987"/>
    <w:pPr>
      <w:numPr>
        <w:ilvl w:val="1"/>
        <w:numId w:val="6"/>
      </w:numPr>
      <w:contextualSpacing w:val="0"/>
    </w:pPr>
    <w:rPr>
      <w:rFonts w:cs="Arial"/>
      <w:szCs w:val="22"/>
      <w:lang w:eastAsia="en-AU"/>
    </w:rPr>
  </w:style>
  <w:style w:type="paragraph" w:customStyle="1" w:styleId="TableCaption">
    <w:name w:val="TableCaption"/>
    <w:basedOn w:val="Normal"/>
    <w:next w:val="Normal"/>
    <w:uiPriority w:val="12"/>
    <w:qFormat/>
    <w:rsid w:val="00C75987"/>
    <w:rPr>
      <w:b/>
      <w:sz w:val="20"/>
    </w:rPr>
  </w:style>
  <w:style w:type="paragraph" w:customStyle="1" w:styleId="FigureCaption">
    <w:name w:val="FigureCaption"/>
    <w:basedOn w:val="Normal"/>
    <w:uiPriority w:val="15"/>
    <w:qFormat/>
    <w:rsid w:val="00C75987"/>
    <w:rPr>
      <w:b/>
      <w:sz w:val="20"/>
    </w:rPr>
  </w:style>
  <w:style w:type="paragraph" w:customStyle="1" w:styleId="PhotoCaption">
    <w:name w:val="PhotoCaption"/>
    <w:basedOn w:val="Normal"/>
    <w:next w:val="Normal"/>
    <w:uiPriority w:val="16"/>
    <w:qFormat/>
    <w:rsid w:val="00C75987"/>
    <w:rPr>
      <w:b/>
      <w:sz w:val="20"/>
    </w:rPr>
  </w:style>
  <w:style w:type="paragraph" w:customStyle="1" w:styleId="UserNote">
    <w:name w:val="UserNote"/>
    <w:basedOn w:val="PrelimHeadings"/>
    <w:uiPriority w:val="99"/>
    <w:qFormat/>
    <w:rsid w:val="00C75987"/>
    <w:pPr>
      <w:jc w:val="left"/>
    </w:pPr>
    <w:rPr>
      <w:color w:val="FF0000"/>
      <w:sz w:val="28"/>
    </w:rPr>
  </w:style>
  <w:style w:type="character" w:customStyle="1" w:styleId="Red">
    <w:name w:val="Red"/>
    <w:basedOn w:val="DefaultParagraphFont"/>
    <w:uiPriority w:val="22"/>
    <w:qFormat/>
    <w:rsid w:val="00C75987"/>
    <w:rPr>
      <w:color w:val="FF0000"/>
    </w:rPr>
  </w:style>
  <w:style w:type="paragraph" w:customStyle="1" w:styleId="ReportSubtitle">
    <w:name w:val="ReportSubtitle"/>
    <w:basedOn w:val="Normal"/>
    <w:uiPriority w:val="18"/>
    <w:qFormat/>
    <w:rsid w:val="00C75987"/>
    <w:rPr>
      <w:b/>
      <w:color w:val="0070C0"/>
      <w:sz w:val="28"/>
      <w:szCs w:val="28"/>
    </w:rPr>
  </w:style>
  <w:style w:type="paragraph" w:customStyle="1" w:styleId="Default">
    <w:name w:val="Default"/>
    <w:unhideWhenUsed/>
    <w:rsid w:val="00C75987"/>
    <w:pPr>
      <w:autoSpaceDE w:val="0"/>
      <w:autoSpaceDN w:val="0"/>
      <w:adjustRightInd w:val="0"/>
      <w:spacing w:after="0" w:line="240" w:lineRule="auto"/>
    </w:pPr>
    <w:rPr>
      <w:rFonts w:ascii="Arial" w:hAnsi="Arial" w:cs="Arial"/>
      <w:color w:val="000000"/>
      <w:sz w:val="24"/>
      <w:szCs w:val="24"/>
    </w:rPr>
  </w:style>
  <w:style w:type="character" w:styleId="Emphasis">
    <w:name w:val="Emphasis"/>
    <w:basedOn w:val="DefaultParagraphFont"/>
    <w:uiPriority w:val="20"/>
    <w:qFormat/>
    <w:rsid w:val="00C75987"/>
    <w:rPr>
      <w:i/>
      <w:iCs/>
    </w:rPr>
  </w:style>
  <w:style w:type="paragraph" w:customStyle="1" w:styleId="H2anotincinTOC">
    <w:name w:val="H2a not inc. in TOC"/>
    <w:basedOn w:val="Heading2"/>
    <w:uiPriority w:val="7"/>
    <w:rsid w:val="00C75987"/>
    <w:pPr>
      <w:numPr>
        <w:ilvl w:val="0"/>
        <w:numId w:val="0"/>
      </w:numPr>
    </w:pPr>
  </w:style>
  <w:style w:type="paragraph" w:customStyle="1" w:styleId="H1notnumberedinTOC">
    <w:name w:val="H1 not numbered in TOC"/>
    <w:basedOn w:val="Heading1"/>
    <w:uiPriority w:val="4"/>
    <w:qFormat/>
    <w:rsid w:val="00C75987"/>
    <w:pPr>
      <w:numPr>
        <w:numId w:val="0"/>
      </w:numPr>
    </w:pPr>
  </w:style>
  <w:style w:type="paragraph" w:customStyle="1" w:styleId="H2notnumberedinTOC">
    <w:name w:val="H2 not numbered in TOC"/>
    <w:basedOn w:val="Heading2"/>
    <w:next w:val="Normal"/>
    <w:uiPriority w:val="6"/>
    <w:qFormat/>
    <w:rsid w:val="00C75987"/>
    <w:pPr>
      <w:numPr>
        <w:ilvl w:val="0"/>
        <w:numId w:val="0"/>
      </w:numPr>
      <w:ind w:left="720" w:hanging="720"/>
    </w:pPr>
  </w:style>
  <w:style w:type="paragraph" w:customStyle="1" w:styleId="References">
    <w:name w:val="References"/>
    <w:basedOn w:val="Normal"/>
    <w:uiPriority w:val="22"/>
    <w:qFormat/>
    <w:rsid w:val="00C75987"/>
    <w:pPr>
      <w:ind w:left="357" w:hanging="357"/>
    </w:pPr>
    <w:rPr>
      <w:rFonts w:cs="Arial"/>
      <w:szCs w:val="22"/>
    </w:rPr>
  </w:style>
  <w:style w:type="character" w:customStyle="1" w:styleId="DocumentMapChar">
    <w:name w:val="Document Map Char"/>
    <w:basedOn w:val="DefaultParagraphFont"/>
    <w:link w:val="DocumentMap"/>
    <w:uiPriority w:val="99"/>
    <w:semiHidden/>
    <w:rsid w:val="00C75987"/>
    <w:rPr>
      <w:rFonts w:ascii="Tahoma" w:eastAsia="Times New Roman" w:hAnsi="Tahoma" w:cs="Tahoma"/>
      <w:color w:val="000000"/>
      <w:kern w:val="28"/>
      <w:sz w:val="16"/>
      <w:szCs w:val="16"/>
    </w:rPr>
  </w:style>
  <w:style w:type="paragraph" w:styleId="DocumentMap">
    <w:name w:val="Document Map"/>
    <w:basedOn w:val="Normal"/>
    <w:link w:val="DocumentMapChar"/>
    <w:uiPriority w:val="99"/>
    <w:semiHidden/>
    <w:unhideWhenUsed/>
    <w:rsid w:val="00C75987"/>
    <w:pPr>
      <w:spacing w:after="0"/>
    </w:pPr>
    <w:rPr>
      <w:rFonts w:ascii="Tahoma" w:hAnsi="Tahoma" w:cs="Tahoma"/>
      <w:sz w:val="16"/>
      <w:szCs w:val="16"/>
    </w:rPr>
  </w:style>
  <w:style w:type="paragraph" w:styleId="Subtitle">
    <w:name w:val="Subtitle"/>
    <w:basedOn w:val="Heading2"/>
    <w:next w:val="Normal"/>
    <w:link w:val="SubtitleChar"/>
    <w:uiPriority w:val="11"/>
    <w:qFormat/>
    <w:rsid w:val="00C75987"/>
    <w:pPr>
      <w:numPr>
        <w:ilvl w:val="0"/>
        <w:numId w:val="0"/>
      </w:numPr>
      <w:spacing w:before="200" w:after="0"/>
      <w:jc w:val="center"/>
    </w:pPr>
    <w:rPr>
      <w:kern w:val="0"/>
      <w:sz w:val="28"/>
    </w:rPr>
  </w:style>
  <w:style w:type="character" w:customStyle="1" w:styleId="SubtitleChar">
    <w:name w:val="Subtitle Char"/>
    <w:basedOn w:val="DefaultParagraphFont"/>
    <w:link w:val="Subtitle"/>
    <w:uiPriority w:val="11"/>
    <w:rsid w:val="00C75987"/>
    <w:rPr>
      <w:rFonts w:ascii="Century Gothic" w:eastAsiaTheme="majorEastAsia" w:hAnsi="Century Gothic" w:cstheme="majorBidi"/>
      <w:b/>
      <w:bCs/>
      <w:color w:val="44546A" w:themeColor="text2"/>
      <w:sz w:val="28"/>
      <w:szCs w:val="26"/>
    </w:rPr>
  </w:style>
  <w:style w:type="paragraph" w:customStyle="1" w:styleId="Para0">
    <w:name w:val="Para 0"/>
    <w:basedOn w:val="Normal"/>
    <w:rsid w:val="00C75987"/>
    <w:pPr>
      <w:spacing w:after="220" w:line="300" w:lineRule="auto"/>
    </w:pPr>
    <w:rPr>
      <w:rFonts w:ascii="Arial" w:hAnsi="Arial"/>
      <w:kern w:val="0"/>
      <w:sz w:val="20"/>
      <w:lang w:val="en-GB"/>
    </w:rPr>
  </w:style>
  <w:style w:type="paragraph" w:customStyle="1" w:styleId="Para0bullet">
    <w:name w:val="Para 0 bullet"/>
    <w:basedOn w:val="Para0"/>
    <w:link w:val="Para0bulletChar"/>
    <w:rsid w:val="00C75987"/>
    <w:pPr>
      <w:numPr>
        <w:numId w:val="7"/>
      </w:numPr>
      <w:spacing w:after="60"/>
    </w:pPr>
  </w:style>
  <w:style w:type="character" w:customStyle="1" w:styleId="Para0bulletChar">
    <w:name w:val="Para 0 bullet Char"/>
    <w:link w:val="Para0bullet"/>
    <w:rsid w:val="00C75987"/>
    <w:rPr>
      <w:rFonts w:ascii="Arial" w:eastAsia="Times New Roman" w:hAnsi="Arial" w:cs="Times New Roman"/>
      <w:color w:val="000000"/>
      <w:sz w:val="20"/>
      <w:szCs w:val="20"/>
      <w:lang w:val="en-GB"/>
    </w:rPr>
  </w:style>
  <w:style w:type="paragraph" w:customStyle="1" w:styleId="EndNoteBibliography">
    <w:name w:val="EndNote Bibliography"/>
    <w:basedOn w:val="Normal"/>
    <w:link w:val="EndNoteBibliographyChar"/>
    <w:rsid w:val="00C75987"/>
    <w:pPr>
      <w:spacing w:after="200"/>
    </w:pPr>
    <w:rPr>
      <w:rFonts w:ascii="Calibri" w:eastAsiaTheme="minorHAnsi" w:hAnsi="Calibri" w:cs="Calibri"/>
      <w:noProof/>
      <w:color w:val="auto"/>
      <w:kern w:val="0"/>
      <w:szCs w:val="22"/>
      <w:lang w:val="en-US"/>
    </w:rPr>
  </w:style>
  <w:style w:type="character" w:customStyle="1" w:styleId="EndNoteBibliographyChar">
    <w:name w:val="EndNote Bibliography Char"/>
    <w:basedOn w:val="DefaultParagraphFont"/>
    <w:link w:val="EndNoteBibliography"/>
    <w:rsid w:val="00C75987"/>
    <w:rPr>
      <w:rFonts w:ascii="Calibri" w:hAnsi="Calibri" w:cs="Calibri"/>
      <w:noProof/>
      <w:lang w:val="en-US"/>
    </w:rPr>
  </w:style>
  <w:style w:type="paragraph" w:customStyle="1" w:styleId="BodyText1">
    <w:name w:val="Body Text1"/>
    <w:basedOn w:val="BodyText"/>
    <w:link w:val="BodytextChar0"/>
    <w:rsid w:val="00C75987"/>
    <w:pPr>
      <w:spacing w:before="120" w:after="240"/>
      <w:jc w:val="both"/>
    </w:pPr>
    <w:rPr>
      <w:rFonts w:ascii="Arial" w:eastAsia="Calibri" w:hAnsi="Arial"/>
      <w:color w:val="auto"/>
      <w:kern w:val="0"/>
      <w:sz w:val="20"/>
      <w:szCs w:val="20"/>
      <w:lang w:val="en-AU"/>
    </w:rPr>
  </w:style>
  <w:style w:type="character" w:customStyle="1" w:styleId="BodytextChar0">
    <w:name w:val="Body text Char"/>
    <w:basedOn w:val="DefaultParagraphFont"/>
    <w:link w:val="BodyText1"/>
    <w:locked/>
    <w:rsid w:val="00C75987"/>
    <w:rPr>
      <w:rFonts w:ascii="Arial" w:eastAsia="Calibri" w:hAnsi="Arial" w:cs="Times New Roman"/>
      <w:sz w:val="20"/>
      <w:szCs w:val="20"/>
    </w:rPr>
  </w:style>
  <w:style w:type="paragraph" w:styleId="NormalWeb">
    <w:name w:val="Normal (Web)"/>
    <w:basedOn w:val="Normal"/>
    <w:uiPriority w:val="99"/>
    <w:unhideWhenUsed/>
    <w:rsid w:val="00C75987"/>
    <w:pPr>
      <w:spacing w:before="100" w:beforeAutospacing="1" w:after="100" w:afterAutospacing="1"/>
    </w:pPr>
    <w:rPr>
      <w:rFonts w:ascii="Times New Roman" w:hAnsi="Times New Roman"/>
      <w:color w:val="auto"/>
      <w:kern w:val="0"/>
      <w:sz w:val="24"/>
      <w:szCs w:val="24"/>
      <w:lang w:val="en-US"/>
    </w:rPr>
  </w:style>
  <w:style w:type="character" w:customStyle="1" w:styleId="st">
    <w:name w:val="st"/>
    <w:basedOn w:val="DefaultParagraphFont"/>
    <w:rsid w:val="00C75987"/>
  </w:style>
  <w:style w:type="character" w:styleId="IntenseEmphasis">
    <w:name w:val="Intense Emphasis"/>
    <w:basedOn w:val="DefaultParagraphFont"/>
    <w:uiPriority w:val="21"/>
    <w:qFormat/>
    <w:rsid w:val="00C75987"/>
    <w:rPr>
      <w:rFonts w:ascii="Century Gothic" w:hAnsi="Century Gothic"/>
      <w:i/>
      <w:iCs/>
      <w:color w:val="auto"/>
    </w:rPr>
  </w:style>
  <w:style w:type="paragraph" w:customStyle="1" w:styleId="IWCEBodytext15spacing">
    <w:name w:val="IWCE Body text 1.5 spacing"/>
    <w:basedOn w:val="Normal"/>
    <w:link w:val="IWCEBodytext15spacingChar"/>
    <w:uiPriority w:val="99"/>
    <w:rsid w:val="00C75987"/>
    <w:pPr>
      <w:spacing w:before="0" w:after="200"/>
    </w:pPr>
    <w:rPr>
      <w:rFonts w:ascii="Garamond" w:eastAsia="Calibri" w:hAnsi="Garamond"/>
      <w:color w:val="auto"/>
      <w:kern w:val="0"/>
      <w:szCs w:val="22"/>
      <w:lang w:val="en-US"/>
    </w:rPr>
  </w:style>
  <w:style w:type="character" w:customStyle="1" w:styleId="IWCEBodytext15spacingChar">
    <w:name w:val="IWCE Body text 1.5 spacing Char"/>
    <w:basedOn w:val="DefaultParagraphFont"/>
    <w:link w:val="IWCEBodytext15spacing"/>
    <w:uiPriority w:val="99"/>
    <w:rsid w:val="00C75987"/>
    <w:rPr>
      <w:rFonts w:ascii="Garamond" w:eastAsia="Calibri" w:hAnsi="Garamond" w:cs="Times New Roman"/>
      <w:lang w:val="en-US"/>
    </w:rPr>
  </w:style>
  <w:style w:type="paragraph" w:styleId="BodyTextIndent3">
    <w:name w:val="Body Text Indent 3"/>
    <w:basedOn w:val="Normal"/>
    <w:link w:val="BodyTextIndent3Char"/>
    <w:rsid w:val="00C75987"/>
    <w:pPr>
      <w:spacing w:before="0" w:line="240" w:lineRule="auto"/>
      <w:ind w:left="283"/>
    </w:pPr>
    <w:rPr>
      <w:rFonts w:ascii="Times New Roman" w:hAnsi="Times New Roman"/>
      <w:color w:val="auto"/>
      <w:kern w:val="0"/>
      <w:sz w:val="16"/>
      <w:szCs w:val="16"/>
    </w:rPr>
  </w:style>
  <w:style w:type="character" w:customStyle="1" w:styleId="BodyTextIndent3Char">
    <w:name w:val="Body Text Indent 3 Char"/>
    <w:basedOn w:val="DefaultParagraphFont"/>
    <w:link w:val="BodyTextIndent3"/>
    <w:rsid w:val="00C75987"/>
    <w:rPr>
      <w:rFonts w:ascii="Times New Roman" w:eastAsia="Times New Roman" w:hAnsi="Times New Roman" w:cs="Times New Roman"/>
      <w:sz w:val="16"/>
      <w:szCs w:val="16"/>
    </w:rPr>
  </w:style>
  <w:style w:type="paragraph" w:customStyle="1" w:styleId="IWCEBodytextsinglespacing">
    <w:name w:val="IWCE Body text single spacing"/>
    <w:basedOn w:val="Default"/>
    <w:rsid w:val="00C75987"/>
    <w:pPr>
      <w:jc w:val="both"/>
    </w:pPr>
    <w:rPr>
      <w:rFonts w:eastAsia="Times New Roman" w:cs="Times New Roman"/>
      <w:sz w:val="22"/>
      <w:szCs w:val="20"/>
      <w:lang w:eastAsia="en-AU"/>
    </w:rPr>
  </w:style>
  <w:style w:type="paragraph" w:customStyle="1" w:styleId="IWCEReferencelist">
    <w:name w:val="IWCE Reference list"/>
    <w:basedOn w:val="Normal"/>
    <w:link w:val="IWCEReferencelistChar"/>
    <w:uiPriority w:val="99"/>
    <w:rsid w:val="00C75987"/>
    <w:pPr>
      <w:spacing w:before="0" w:after="240" w:line="240" w:lineRule="auto"/>
    </w:pPr>
    <w:rPr>
      <w:rFonts w:ascii="Arial" w:eastAsia="Calibri" w:hAnsi="Arial"/>
      <w:color w:val="auto"/>
      <w:kern w:val="0"/>
      <w:szCs w:val="22"/>
      <w:lang w:val="en-US"/>
    </w:rPr>
  </w:style>
  <w:style w:type="character" w:customStyle="1" w:styleId="IWCEReferencelistChar">
    <w:name w:val="IWCE Reference list Char"/>
    <w:basedOn w:val="DefaultParagraphFont"/>
    <w:link w:val="IWCEReferencelist"/>
    <w:uiPriority w:val="99"/>
    <w:rsid w:val="00C75987"/>
    <w:rPr>
      <w:rFonts w:ascii="Arial" w:eastAsia="Calibri" w:hAnsi="Arial" w:cs="Times New Roman"/>
      <w:lang w:val="en-US"/>
    </w:rPr>
  </w:style>
  <w:style w:type="paragraph" w:customStyle="1" w:styleId="Bullet">
    <w:name w:val="Bullet"/>
    <w:basedOn w:val="Normal"/>
    <w:uiPriority w:val="99"/>
    <w:rsid w:val="00C75987"/>
    <w:pPr>
      <w:numPr>
        <w:numId w:val="8"/>
      </w:numPr>
      <w:spacing w:before="0" w:line="240" w:lineRule="auto"/>
    </w:pPr>
    <w:rPr>
      <w:rFonts w:ascii="Times New Roman" w:hAnsi="Times New Roman"/>
      <w:color w:val="auto"/>
      <w:kern w:val="0"/>
      <w:sz w:val="24"/>
    </w:rPr>
  </w:style>
  <w:style w:type="paragraph" w:customStyle="1" w:styleId="CM6">
    <w:name w:val="CM6"/>
    <w:basedOn w:val="Normal"/>
    <w:next w:val="Normal"/>
    <w:uiPriority w:val="99"/>
    <w:rsid w:val="00C75987"/>
    <w:pPr>
      <w:widowControl w:val="0"/>
      <w:autoSpaceDE w:val="0"/>
      <w:autoSpaceDN w:val="0"/>
      <w:adjustRightInd w:val="0"/>
      <w:spacing w:before="0" w:after="0" w:line="268" w:lineRule="atLeast"/>
    </w:pPr>
    <w:rPr>
      <w:rFonts w:ascii="Calibri,Bold" w:eastAsiaTheme="minorEastAsia" w:hAnsi="Calibri,Bold" w:cstheme="minorBidi"/>
      <w:color w:val="auto"/>
      <w:kern w:val="0"/>
      <w:sz w:val="24"/>
      <w:szCs w:val="24"/>
      <w:lang w:eastAsia="en-AU"/>
    </w:rPr>
  </w:style>
  <w:style w:type="character" w:customStyle="1" w:styleId="BodyText2Char">
    <w:name w:val="Body Text 2 Char"/>
    <w:basedOn w:val="DefaultParagraphFont"/>
    <w:link w:val="BodyText2"/>
    <w:uiPriority w:val="99"/>
    <w:semiHidden/>
    <w:rsid w:val="00C75987"/>
    <w:rPr>
      <w:rFonts w:ascii="Century Gothic" w:eastAsia="Times New Roman" w:hAnsi="Century Gothic" w:cs="Times New Roman"/>
      <w:color w:val="000000"/>
      <w:kern w:val="28"/>
      <w:szCs w:val="20"/>
    </w:rPr>
  </w:style>
  <w:style w:type="paragraph" w:styleId="BodyText2">
    <w:name w:val="Body Text 2"/>
    <w:basedOn w:val="Normal"/>
    <w:link w:val="BodyText2Char"/>
    <w:uiPriority w:val="99"/>
    <w:semiHidden/>
    <w:unhideWhenUsed/>
    <w:rsid w:val="00C75987"/>
    <w:pPr>
      <w:spacing w:line="480" w:lineRule="auto"/>
    </w:pPr>
  </w:style>
  <w:style w:type="paragraph" w:styleId="NoSpacing">
    <w:name w:val="No Spacing"/>
    <w:basedOn w:val="Normal"/>
    <w:link w:val="NoSpacingChar"/>
    <w:uiPriority w:val="1"/>
    <w:qFormat/>
    <w:rsid w:val="00C75987"/>
    <w:pPr>
      <w:spacing w:before="0" w:after="0" w:line="240" w:lineRule="auto"/>
      <w:jc w:val="left"/>
    </w:pPr>
    <w:rPr>
      <w:rFonts w:ascii="Calibri" w:hAnsi="Calibri"/>
      <w:color w:val="auto"/>
      <w:kern w:val="0"/>
      <w:sz w:val="20"/>
      <w:lang w:val="en-US" w:bidi="en-US"/>
    </w:rPr>
  </w:style>
  <w:style w:type="character" w:customStyle="1" w:styleId="NoSpacingChar">
    <w:name w:val="No Spacing Char"/>
    <w:basedOn w:val="DefaultParagraphFont"/>
    <w:link w:val="NoSpacing"/>
    <w:uiPriority w:val="1"/>
    <w:rsid w:val="00C75987"/>
    <w:rPr>
      <w:rFonts w:ascii="Calibri" w:eastAsia="Times New Roman" w:hAnsi="Calibri" w:cs="Times New Roman"/>
      <w:sz w:val="20"/>
      <w:szCs w:val="20"/>
      <w:lang w:val="en-US" w:bidi="en-US"/>
    </w:rPr>
  </w:style>
  <w:style w:type="character" w:customStyle="1" w:styleId="EndnoteTextChar">
    <w:name w:val="Endnote Text Char"/>
    <w:basedOn w:val="DefaultParagraphFont"/>
    <w:link w:val="EndnoteText"/>
    <w:uiPriority w:val="99"/>
    <w:semiHidden/>
    <w:rsid w:val="00C75987"/>
    <w:rPr>
      <w:rFonts w:ascii="Century Gothic" w:eastAsia="Times New Roman" w:hAnsi="Century Gothic" w:cs="Times New Roman"/>
      <w:color w:val="000000"/>
      <w:kern w:val="28"/>
      <w:sz w:val="20"/>
      <w:szCs w:val="20"/>
    </w:rPr>
  </w:style>
  <w:style w:type="paragraph" w:styleId="EndnoteText">
    <w:name w:val="endnote text"/>
    <w:basedOn w:val="Normal"/>
    <w:link w:val="EndnoteTextChar"/>
    <w:uiPriority w:val="99"/>
    <w:semiHidden/>
    <w:unhideWhenUsed/>
    <w:rsid w:val="00C75987"/>
    <w:pPr>
      <w:spacing w:before="0" w:after="0" w:line="240" w:lineRule="auto"/>
    </w:pPr>
    <w:rPr>
      <w:sz w:val="20"/>
    </w:rPr>
  </w:style>
  <w:style w:type="paragraph" w:styleId="Revision">
    <w:name w:val="Revision"/>
    <w:hidden/>
    <w:uiPriority w:val="99"/>
    <w:semiHidden/>
    <w:rsid w:val="001F70CE"/>
    <w:pPr>
      <w:spacing w:after="0" w:line="240" w:lineRule="auto"/>
    </w:pPr>
    <w:rPr>
      <w:rFonts w:ascii="Century Gothic" w:eastAsia="Times New Roman" w:hAnsi="Century Gothic" w:cs="Times New Roman"/>
      <w:color w:val="000000"/>
      <w:kern w:val="28"/>
      <w:szCs w:val="20"/>
    </w:rPr>
  </w:style>
  <w:style w:type="character" w:styleId="FollowedHyperlink">
    <w:name w:val="FollowedHyperlink"/>
    <w:basedOn w:val="DefaultParagraphFont"/>
    <w:uiPriority w:val="99"/>
    <w:semiHidden/>
    <w:unhideWhenUsed/>
    <w:rsid w:val="00F91999"/>
    <w:rPr>
      <w:color w:val="954F72" w:themeColor="followedHyperlink"/>
      <w:u w:val="single"/>
    </w:rPr>
  </w:style>
  <w:style w:type="paragraph" w:customStyle="1" w:styleId="EndNoteBibliographyTitle">
    <w:name w:val="EndNote Bibliography Title"/>
    <w:basedOn w:val="Normal"/>
    <w:link w:val="EndNoteBibliographyTitleChar"/>
    <w:rsid w:val="0088325F"/>
    <w:pPr>
      <w:spacing w:after="0"/>
      <w:jc w:val="center"/>
    </w:pPr>
    <w:rPr>
      <w:noProof/>
      <w:lang w:val="en-US"/>
    </w:rPr>
  </w:style>
  <w:style w:type="character" w:customStyle="1" w:styleId="EndNoteBibliographyTitleChar">
    <w:name w:val="EndNote Bibliography Title Char"/>
    <w:basedOn w:val="DefaultParagraphFont"/>
    <w:link w:val="EndNoteBibliographyTitle"/>
    <w:rsid w:val="0088325F"/>
    <w:rPr>
      <w:rFonts w:ascii="Century Gothic" w:eastAsia="Times New Roman" w:hAnsi="Century Gothic" w:cs="Times New Roman"/>
      <w:noProof/>
      <w:color w:val="000000"/>
      <w:kern w:val="28"/>
      <w:szCs w:val="20"/>
      <w:lang w:val="en-US"/>
    </w:rPr>
  </w:style>
  <w:style w:type="character" w:customStyle="1" w:styleId="UnresolvedMention1">
    <w:name w:val="Unresolved Mention1"/>
    <w:basedOn w:val="DefaultParagraphFont"/>
    <w:uiPriority w:val="99"/>
    <w:semiHidden/>
    <w:unhideWhenUsed/>
    <w:rsid w:val="00F65132"/>
    <w:rPr>
      <w:color w:val="605E5C"/>
      <w:shd w:val="clear" w:color="auto" w:fill="E1DFDD"/>
    </w:rPr>
  </w:style>
  <w:style w:type="paragraph" w:styleId="ListBullet3">
    <w:name w:val="List Bullet 3"/>
    <w:basedOn w:val="Normal"/>
    <w:uiPriority w:val="99"/>
    <w:semiHidden/>
    <w:unhideWhenUsed/>
    <w:rsid w:val="00250A03"/>
    <w:pPr>
      <w:snapToGrid w:val="0"/>
      <w:spacing w:before="0" w:after="60" w:line="240" w:lineRule="auto"/>
      <w:ind w:left="1106" w:hanging="369"/>
      <w:jc w:val="left"/>
    </w:pPr>
    <w:rPr>
      <w:rFonts w:ascii="Arial" w:hAnsi="Arial" w:cs="Arial"/>
      <w:color w:val="auto"/>
      <w:kern w:val="0"/>
      <w:sz w:val="22"/>
      <w:szCs w:val="22"/>
      <w:lang w:val="en-GB" w:eastAsia="en-AU"/>
    </w:rPr>
  </w:style>
  <w:style w:type="paragraph" w:styleId="ListBullet4">
    <w:name w:val="List Bullet 4"/>
    <w:basedOn w:val="Normal"/>
    <w:uiPriority w:val="99"/>
    <w:semiHidden/>
    <w:unhideWhenUsed/>
    <w:rsid w:val="00250A03"/>
    <w:pPr>
      <w:snapToGrid w:val="0"/>
      <w:spacing w:before="0" w:after="60" w:line="240" w:lineRule="auto"/>
      <w:ind w:left="1474" w:hanging="368"/>
      <w:jc w:val="left"/>
    </w:pPr>
    <w:rPr>
      <w:rFonts w:ascii="Arial" w:hAnsi="Arial" w:cs="Arial"/>
      <w:color w:val="auto"/>
      <w:kern w:val="0"/>
      <w:sz w:val="22"/>
      <w:szCs w:val="22"/>
      <w:lang w:val="en-GB" w:eastAsia="en-AU"/>
    </w:rPr>
  </w:style>
  <w:style w:type="paragraph" w:styleId="ListBullet5">
    <w:name w:val="List Bullet 5"/>
    <w:basedOn w:val="Normal"/>
    <w:uiPriority w:val="99"/>
    <w:semiHidden/>
    <w:unhideWhenUsed/>
    <w:rsid w:val="00250A03"/>
    <w:pPr>
      <w:snapToGrid w:val="0"/>
      <w:spacing w:before="0" w:after="60" w:line="240" w:lineRule="auto"/>
      <w:ind w:left="1800" w:hanging="360"/>
      <w:jc w:val="left"/>
    </w:pPr>
    <w:rPr>
      <w:rFonts w:ascii="Arial" w:hAnsi="Arial" w:cs="Arial"/>
      <w:color w:val="auto"/>
      <w:kern w:val="0"/>
      <w:sz w:val="22"/>
      <w:szCs w:val="22"/>
      <w:lang w:val="en-GB" w:eastAsia="en-AU"/>
    </w:rPr>
  </w:style>
  <w:style w:type="numbering" w:customStyle="1" w:styleId="BulletList">
    <w:name w:val="Bullet List"/>
    <w:uiPriority w:val="99"/>
    <w:rsid w:val="00250A03"/>
    <w:pPr>
      <w:numPr>
        <w:numId w:val="10"/>
      </w:numPr>
    </w:pPr>
  </w:style>
  <w:style w:type="character" w:styleId="UnresolvedMention">
    <w:name w:val="Unresolved Mention"/>
    <w:basedOn w:val="DefaultParagraphFont"/>
    <w:uiPriority w:val="99"/>
    <w:semiHidden/>
    <w:unhideWhenUsed/>
    <w:rsid w:val="00065519"/>
    <w:rPr>
      <w:color w:val="605E5C"/>
      <w:shd w:val="clear" w:color="auto" w:fill="E1DFDD"/>
    </w:rPr>
  </w:style>
  <w:style w:type="character" w:customStyle="1" w:styleId="spelle">
    <w:name w:val="spelle"/>
    <w:basedOn w:val="DefaultParagraphFont"/>
    <w:rsid w:val="00ED6D8A"/>
  </w:style>
  <w:style w:type="paragraph" w:customStyle="1" w:styleId="TableBullets">
    <w:name w:val="TableBullets"/>
    <w:basedOn w:val="TableText"/>
    <w:qFormat/>
    <w:rsid w:val="00653BDD"/>
    <w:pPr>
      <w:numPr>
        <w:numId w:val="16"/>
      </w:numPr>
      <w:tabs>
        <w:tab w:val="num" w:pos="360"/>
      </w:tabs>
      <w:spacing w:before="40" w:after="40" w:line="240" w:lineRule="auto"/>
      <w:ind w:left="0" w:firstLine="0"/>
    </w:pPr>
    <w:rPr>
      <w:rFonts w:asciiTheme="minorHAnsi" w:eastAsia="Calibri" w:hAnsiTheme="minorHAnsi"/>
      <w:lang w:eastAsia="en-AU"/>
    </w:rPr>
  </w:style>
  <w:style w:type="character" w:customStyle="1" w:styleId="Heading1Char1">
    <w:name w:val="Heading 1 Char1"/>
    <w:aliases w:val="H1 Char1"/>
    <w:basedOn w:val="DefaultParagraphFont"/>
    <w:uiPriority w:val="9"/>
    <w:rsid w:val="001E11D2"/>
    <w:rPr>
      <w:rFonts w:asciiTheme="majorHAnsi" w:eastAsiaTheme="majorEastAsia" w:hAnsiTheme="majorHAnsi" w:cstheme="majorBidi"/>
      <w:color w:val="2E74B5" w:themeColor="accent1" w:themeShade="BF"/>
      <w:kern w:val="28"/>
      <w:sz w:val="32"/>
      <w:szCs w:val="32"/>
    </w:rPr>
  </w:style>
  <w:style w:type="paragraph" w:customStyle="1" w:styleId="msonormal0">
    <w:name w:val="msonormal"/>
    <w:basedOn w:val="Normal"/>
    <w:uiPriority w:val="99"/>
    <w:rsid w:val="001E11D2"/>
    <w:pPr>
      <w:spacing w:before="100" w:beforeAutospacing="1" w:after="100" w:afterAutospacing="1"/>
    </w:pPr>
    <w:rPr>
      <w:rFonts w:ascii="Times New Roman" w:hAnsi="Times New Roman"/>
      <w:color w:val="auto"/>
      <w:kern w:val="0"/>
      <w:sz w:val="24"/>
      <w:szCs w:val="24"/>
      <w:lang w:val="en-US"/>
    </w:rPr>
  </w:style>
  <w:style w:type="character" w:customStyle="1" w:styleId="DocumentMapChar1">
    <w:name w:val="Document Map Char1"/>
    <w:basedOn w:val="DefaultParagraphFont"/>
    <w:uiPriority w:val="99"/>
    <w:semiHidden/>
    <w:rsid w:val="001E11D2"/>
    <w:rPr>
      <w:rFonts w:ascii="Segoe UI" w:eastAsia="Times New Roman" w:hAnsi="Segoe UI" w:cs="Segoe UI"/>
      <w:color w:val="000000"/>
      <w:kern w:val="28"/>
      <w:sz w:val="16"/>
      <w:szCs w:val="16"/>
    </w:rPr>
  </w:style>
  <w:style w:type="character" w:customStyle="1" w:styleId="BodyText2Char1">
    <w:name w:val="Body Text 2 Char1"/>
    <w:basedOn w:val="DefaultParagraphFont"/>
    <w:uiPriority w:val="99"/>
    <w:semiHidden/>
    <w:rsid w:val="001E11D2"/>
    <w:rPr>
      <w:rFonts w:ascii="Century Gothic" w:eastAsia="Times New Roman" w:hAnsi="Century Gothic" w:cs="Times New Roman"/>
      <w:color w:val="000000"/>
      <w:kern w:val="28"/>
      <w:sz w:val="21"/>
      <w:szCs w:val="20"/>
    </w:rPr>
  </w:style>
  <w:style w:type="character" w:customStyle="1" w:styleId="EndnoteTextChar1">
    <w:name w:val="Endnote Text Char1"/>
    <w:basedOn w:val="DefaultParagraphFont"/>
    <w:uiPriority w:val="99"/>
    <w:semiHidden/>
    <w:rsid w:val="001E11D2"/>
    <w:rPr>
      <w:rFonts w:ascii="Century Gothic" w:eastAsia="Times New Roman" w:hAnsi="Century Gothic" w:cs="Times New Roman"/>
      <w:color w:val="000000"/>
      <w:kern w:val="28"/>
      <w:sz w:val="20"/>
      <w:szCs w:val="20"/>
    </w:rPr>
  </w:style>
  <w:style w:type="paragraph" w:customStyle="1" w:styleId="xmsonormal">
    <w:name w:val="x_msonormal"/>
    <w:basedOn w:val="Normal"/>
    <w:rsid w:val="001E11D2"/>
    <w:pPr>
      <w:spacing w:before="0" w:after="0" w:line="240" w:lineRule="auto"/>
      <w:jc w:val="left"/>
    </w:pPr>
    <w:rPr>
      <w:rFonts w:ascii="Calibri" w:eastAsiaTheme="minorHAnsi" w:hAnsi="Calibri" w:cs="Calibri"/>
      <w:color w:val="auto"/>
      <w:kern w:val="0"/>
      <w:sz w:val="22"/>
      <w:szCs w:val="22"/>
      <w:lang w:eastAsia="en-AU"/>
    </w:rPr>
  </w:style>
  <w:style w:type="character" w:customStyle="1" w:styleId="Heading2Char1">
    <w:name w:val="Heading 2 Char1"/>
    <w:aliases w:val="H2 Char1"/>
    <w:basedOn w:val="DefaultParagraphFont"/>
    <w:uiPriority w:val="9"/>
    <w:semiHidden/>
    <w:rsid w:val="00A229CC"/>
    <w:rPr>
      <w:rFonts w:asciiTheme="majorHAnsi" w:eastAsiaTheme="majorEastAsia" w:hAnsiTheme="majorHAnsi" w:cstheme="majorBidi"/>
      <w:color w:val="2E74B5" w:themeColor="accent1" w:themeShade="BF"/>
      <w:kern w:val="28"/>
      <w:sz w:val="26"/>
      <w:szCs w:val="26"/>
    </w:rPr>
  </w:style>
  <w:style w:type="character" w:customStyle="1" w:styleId="Heading3Char1">
    <w:name w:val="Heading 3 Char1"/>
    <w:aliases w:val="H3 Char1"/>
    <w:basedOn w:val="DefaultParagraphFont"/>
    <w:uiPriority w:val="9"/>
    <w:semiHidden/>
    <w:rsid w:val="00A229CC"/>
    <w:rPr>
      <w:rFonts w:asciiTheme="majorHAnsi" w:eastAsiaTheme="majorEastAsia" w:hAnsiTheme="majorHAnsi" w:cstheme="majorBidi"/>
      <w:color w:val="1F4D78" w:themeColor="accent1" w:themeShade="7F"/>
      <w:kern w:val="28"/>
      <w:sz w:val="24"/>
      <w:szCs w:val="24"/>
    </w:rPr>
  </w:style>
  <w:style w:type="character" w:customStyle="1" w:styleId="Heading4Char1">
    <w:name w:val="Heading 4 Char1"/>
    <w:aliases w:val="H4 Char1"/>
    <w:basedOn w:val="DefaultParagraphFont"/>
    <w:uiPriority w:val="9"/>
    <w:semiHidden/>
    <w:rsid w:val="00A229CC"/>
    <w:rPr>
      <w:rFonts w:asciiTheme="majorHAnsi" w:eastAsiaTheme="majorEastAsia" w:hAnsiTheme="majorHAnsi" w:cstheme="majorBidi"/>
      <w:i/>
      <w:iCs/>
      <w:color w:val="2E74B5" w:themeColor="accent1" w:themeShade="BF"/>
      <w:kern w:val="28"/>
      <w:sz w:val="21"/>
    </w:rPr>
  </w:style>
  <w:style w:type="character" w:customStyle="1" w:styleId="Heading5Char1">
    <w:name w:val="Heading 5 Char1"/>
    <w:aliases w:val="H5 Char1"/>
    <w:basedOn w:val="DefaultParagraphFont"/>
    <w:uiPriority w:val="10"/>
    <w:semiHidden/>
    <w:rsid w:val="00A229CC"/>
    <w:rPr>
      <w:rFonts w:asciiTheme="majorHAnsi" w:eastAsiaTheme="majorEastAsia" w:hAnsiTheme="majorHAnsi" w:cstheme="majorBidi"/>
      <w:color w:val="2E74B5" w:themeColor="accent1" w:themeShade="BF"/>
      <w:kern w:val="28"/>
      <w:sz w:val="21"/>
    </w:rPr>
  </w:style>
  <w:style w:type="character" w:customStyle="1" w:styleId="Heading6Char1">
    <w:name w:val="Heading 6 Char1"/>
    <w:aliases w:val="H6 Char1"/>
    <w:basedOn w:val="DefaultParagraphFont"/>
    <w:uiPriority w:val="11"/>
    <w:semiHidden/>
    <w:rsid w:val="00A229CC"/>
    <w:rPr>
      <w:rFonts w:asciiTheme="majorHAnsi" w:eastAsiaTheme="majorEastAsia" w:hAnsiTheme="majorHAnsi" w:cstheme="majorBidi"/>
      <w:color w:val="1F4D78" w:themeColor="accent1" w:themeShade="7F"/>
      <w:kern w:val="28"/>
      <w:sz w:val="21"/>
    </w:rPr>
  </w:style>
  <w:style w:type="character" w:customStyle="1" w:styleId="UnresolvedMention2">
    <w:name w:val="Unresolved Mention2"/>
    <w:basedOn w:val="DefaultParagraphFont"/>
    <w:uiPriority w:val="99"/>
    <w:semiHidden/>
    <w:rsid w:val="00A229C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968262">
      <w:bodyDiv w:val="1"/>
      <w:marLeft w:val="0"/>
      <w:marRight w:val="0"/>
      <w:marTop w:val="0"/>
      <w:marBottom w:val="0"/>
      <w:divBdr>
        <w:top w:val="none" w:sz="0" w:space="0" w:color="auto"/>
        <w:left w:val="none" w:sz="0" w:space="0" w:color="auto"/>
        <w:bottom w:val="none" w:sz="0" w:space="0" w:color="auto"/>
        <w:right w:val="none" w:sz="0" w:space="0" w:color="auto"/>
      </w:divBdr>
    </w:div>
    <w:div w:id="120154745">
      <w:bodyDiv w:val="1"/>
      <w:marLeft w:val="0"/>
      <w:marRight w:val="0"/>
      <w:marTop w:val="0"/>
      <w:marBottom w:val="0"/>
      <w:divBdr>
        <w:top w:val="none" w:sz="0" w:space="0" w:color="auto"/>
        <w:left w:val="none" w:sz="0" w:space="0" w:color="auto"/>
        <w:bottom w:val="none" w:sz="0" w:space="0" w:color="auto"/>
        <w:right w:val="none" w:sz="0" w:space="0" w:color="auto"/>
      </w:divBdr>
    </w:div>
    <w:div w:id="152920398">
      <w:bodyDiv w:val="1"/>
      <w:marLeft w:val="0"/>
      <w:marRight w:val="0"/>
      <w:marTop w:val="0"/>
      <w:marBottom w:val="0"/>
      <w:divBdr>
        <w:top w:val="none" w:sz="0" w:space="0" w:color="auto"/>
        <w:left w:val="none" w:sz="0" w:space="0" w:color="auto"/>
        <w:bottom w:val="none" w:sz="0" w:space="0" w:color="auto"/>
        <w:right w:val="none" w:sz="0" w:space="0" w:color="auto"/>
      </w:divBdr>
    </w:div>
    <w:div w:id="188572327">
      <w:bodyDiv w:val="1"/>
      <w:marLeft w:val="0"/>
      <w:marRight w:val="0"/>
      <w:marTop w:val="0"/>
      <w:marBottom w:val="0"/>
      <w:divBdr>
        <w:top w:val="none" w:sz="0" w:space="0" w:color="auto"/>
        <w:left w:val="none" w:sz="0" w:space="0" w:color="auto"/>
        <w:bottom w:val="none" w:sz="0" w:space="0" w:color="auto"/>
        <w:right w:val="none" w:sz="0" w:space="0" w:color="auto"/>
      </w:divBdr>
    </w:div>
    <w:div w:id="223637593">
      <w:bodyDiv w:val="1"/>
      <w:marLeft w:val="0"/>
      <w:marRight w:val="0"/>
      <w:marTop w:val="0"/>
      <w:marBottom w:val="0"/>
      <w:divBdr>
        <w:top w:val="none" w:sz="0" w:space="0" w:color="auto"/>
        <w:left w:val="none" w:sz="0" w:space="0" w:color="auto"/>
        <w:bottom w:val="none" w:sz="0" w:space="0" w:color="auto"/>
        <w:right w:val="none" w:sz="0" w:space="0" w:color="auto"/>
      </w:divBdr>
    </w:div>
    <w:div w:id="259073889">
      <w:bodyDiv w:val="1"/>
      <w:marLeft w:val="0"/>
      <w:marRight w:val="0"/>
      <w:marTop w:val="0"/>
      <w:marBottom w:val="0"/>
      <w:divBdr>
        <w:top w:val="none" w:sz="0" w:space="0" w:color="auto"/>
        <w:left w:val="none" w:sz="0" w:space="0" w:color="auto"/>
        <w:bottom w:val="none" w:sz="0" w:space="0" w:color="auto"/>
        <w:right w:val="none" w:sz="0" w:space="0" w:color="auto"/>
      </w:divBdr>
    </w:div>
    <w:div w:id="312880590">
      <w:bodyDiv w:val="1"/>
      <w:marLeft w:val="0"/>
      <w:marRight w:val="0"/>
      <w:marTop w:val="0"/>
      <w:marBottom w:val="0"/>
      <w:divBdr>
        <w:top w:val="none" w:sz="0" w:space="0" w:color="auto"/>
        <w:left w:val="none" w:sz="0" w:space="0" w:color="auto"/>
        <w:bottom w:val="none" w:sz="0" w:space="0" w:color="auto"/>
        <w:right w:val="none" w:sz="0" w:space="0" w:color="auto"/>
      </w:divBdr>
    </w:div>
    <w:div w:id="405807980">
      <w:bodyDiv w:val="1"/>
      <w:marLeft w:val="0"/>
      <w:marRight w:val="0"/>
      <w:marTop w:val="0"/>
      <w:marBottom w:val="0"/>
      <w:divBdr>
        <w:top w:val="none" w:sz="0" w:space="0" w:color="auto"/>
        <w:left w:val="none" w:sz="0" w:space="0" w:color="auto"/>
        <w:bottom w:val="none" w:sz="0" w:space="0" w:color="auto"/>
        <w:right w:val="none" w:sz="0" w:space="0" w:color="auto"/>
      </w:divBdr>
    </w:div>
    <w:div w:id="438722734">
      <w:bodyDiv w:val="1"/>
      <w:marLeft w:val="0"/>
      <w:marRight w:val="0"/>
      <w:marTop w:val="0"/>
      <w:marBottom w:val="0"/>
      <w:divBdr>
        <w:top w:val="none" w:sz="0" w:space="0" w:color="auto"/>
        <w:left w:val="none" w:sz="0" w:space="0" w:color="auto"/>
        <w:bottom w:val="none" w:sz="0" w:space="0" w:color="auto"/>
        <w:right w:val="none" w:sz="0" w:space="0" w:color="auto"/>
      </w:divBdr>
    </w:div>
    <w:div w:id="623540434">
      <w:bodyDiv w:val="1"/>
      <w:marLeft w:val="0"/>
      <w:marRight w:val="0"/>
      <w:marTop w:val="0"/>
      <w:marBottom w:val="0"/>
      <w:divBdr>
        <w:top w:val="none" w:sz="0" w:space="0" w:color="auto"/>
        <w:left w:val="none" w:sz="0" w:space="0" w:color="auto"/>
        <w:bottom w:val="none" w:sz="0" w:space="0" w:color="auto"/>
        <w:right w:val="none" w:sz="0" w:space="0" w:color="auto"/>
      </w:divBdr>
    </w:div>
    <w:div w:id="746733431">
      <w:bodyDiv w:val="1"/>
      <w:marLeft w:val="0"/>
      <w:marRight w:val="0"/>
      <w:marTop w:val="0"/>
      <w:marBottom w:val="0"/>
      <w:divBdr>
        <w:top w:val="none" w:sz="0" w:space="0" w:color="auto"/>
        <w:left w:val="none" w:sz="0" w:space="0" w:color="auto"/>
        <w:bottom w:val="none" w:sz="0" w:space="0" w:color="auto"/>
        <w:right w:val="none" w:sz="0" w:space="0" w:color="auto"/>
      </w:divBdr>
    </w:div>
    <w:div w:id="782116164">
      <w:bodyDiv w:val="1"/>
      <w:marLeft w:val="0"/>
      <w:marRight w:val="0"/>
      <w:marTop w:val="0"/>
      <w:marBottom w:val="0"/>
      <w:divBdr>
        <w:top w:val="none" w:sz="0" w:space="0" w:color="auto"/>
        <w:left w:val="none" w:sz="0" w:space="0" w:color="auto"/>
        <w:bottom w:val="none" w:sz="0" w:space="0" w:color="auto"/>
        <w:right w:val="none" w:sz="0" w:space="0" w:color="auto"/>
      </w:divBdr>
    </w:div>
    <w:div w:id="843012608">
      <w:bodyDiv w:val="1"/>
      <w:marLeft w:val="0"/>
      <w:marRight w:val="0"/>
      <w:marTop w:val="0"/>
      <w:marBottom w:val="0"/>
      <w:divBdr>
        <w:top w:val="none" w:sz="0" w:space="0" w:color="auto"/>
        <w:left w:val="none" w:sz="0" w:space="0" w:color="auto"/>
        <w:bottom w:val="none" w:sz="0" w:space="0" w:color="auto"/>
        <w:right w:val="none" w:sz="0" w:space="0" w:color="auto"/>
      </w:divBdr>
    </w:div>
    <w:div w:id="911816706">
      <w:bodyDiv w:val="1"/>
      <w:marLeft w:val="0"/>
      <w:marRight w:val="0"/>
      <w:marTop w:val="0"/>
      <w:marBottom w:val="0"/>
      <w:divBdr>
        <w:top w:val="none" w:sz="0" w:space="0" w:color="auto"/>
        <w:left w:val="none" w:sz="0" w:space="0" w:color="auto"/>
        <w:bottom w:val="none" w:sz="0" w:space="0" w:color="auto"/>
        <w:right w:val="none" w:sz="0" w:space="0" w:color="auto"/>
      </w:divBdr>
    </w:div>
    <w:div w:id="919601752">
      <w:bodyDiv w:val="1"/>
      <w:marLeft w:val="0"/>
      <w:marRight w:val="0"/>
      <w:marTop w:val="0"/>
      <w:marBottom w:val="0"/>
      <w:divBdr>
        <w:top w:val="none" w:sz="0" w:space="0" w:color="auto"/>
        <w:left w:val="none" w:sz="0" w:space="0" w:color="auto"/>
        <w:bottom w:val="none" w:sz="0" w:space="0" w:color="auto"/>
        <w:right w:val="none" w:sz="0" w:space="0" w:color="auto"/>
      </w:divBdr>
    </w:div>
    <w:div w:id="926957145">
      <w:bodyDiv w:val="1"/>
      <w:marLeft w:val="0"/>
      <w:marRight w:val="0"/>
      <w:marTop w:val="0"/>
      <w:marBottom w:val="0"/>
      <w:divBdr>
        <w:top w:val="none" w:sz="0" w:space="0" w:color="auto"/>
        <w:left w:val="none" w:sz="0" w:space="0" w:color="auto"/>
        <w:bottom w:val="none" w:sz="0" w:space="0" w:color="auto"/>
        <w:right w:val="none" w:sz="0" w:space="0" w:color="auto"/>
      </w:divBdr>
    </w:div>
    <w:div w:id="1022052769">
      <w:bodyDiv w:val="1"/>
      <w:marLeft w:val="0"/>
      <w:marRight w:val="0"/>
      <w:marTop w:val="0"/>
      <w:marBottom w:val="0"/>
      <w:divBdr>
        <w:top w:val="none" w:sz="0" w:space="0" w:color="auto"/>
        <w:left w:val="none" w:sz="0" w:space="0" w:color="auto"/>
        <w:bottom w:val="none" w:sz="0" w:space="0" w:color="auto"/>
        <w:right w:val="none" w:sz="0" w:space="0" w:color="auto"/>
      </w:divBdr>
    </w:div>
    <w:div w:id="1103762783">
      <w:bodyDiv w:val="1"/>
      <w:marLeft w:val="0"/>
      <w:marRight w:val="0"/>
      <w:marTop w:val="0"/>
      <w:marBottom w:val="0"/>
      <w:divBdr>
        <w:top w:val="none" w:sz="0" w:space="0" w:color="auto"/>
        <w:left w:val="none" w:sz="0" w:space="0" w:color="auto"/>
        <w:bottom w:val="none" w:sz="0" w:space="0" w:color="auto"/>
        <w:right w:val="none" w:sz="0" w:space="0" w:color="auto"/>
      </w:divBdr>
    </w:div>
    <w:div w:id="1270117620">
      <w:bodyDiv w:val="1"/>
      <w:marLeft w:val="0"/>
      <w:marRight w:val="0"/>
      <w:marTop w:val="0"/>
      <w:marBottom w:val="0"/>
      <w:divBdr>
        <w:top w:val="none" w:sz="0" w:space="0" w:color="auto"/>
        <w:left w:val="none" w:sz="0" w:space="0" w:color="auto"/>
        <w:bottom w:val="none" w:sz="0" w:space="0" w:color="auto"/>
        <w:right w:val="none" w:sz="0" w:space="0" w:color="auto"/>
      </w:divBdr>
    </w:div>
    <w:div w:id="1271356773">
      <w:bodyDiv w:val="1"/>
      <w:marLeft w:val="0"/>
      <w:marRight w:val="0"/>
      <w:marTop w:val="0"/>
      <w:marBottom w:val="0"/>
      <w:divBdr>
        <w:top w:val="none" w:sz="0" w:space="0" w:color="auto"/>
        <w:left w:val="none" w:sz="0" w:space="0" w:color="auto"/>
        <w:bottom w:val="none" w:sz="0" w:space="0" w:color="auto"/>
        <w:right w:val="none" w:sz="0" w:space="0" w:color="auto"/>
      </w:divBdr>
    </w:div>
    <w:div w:id="1312369042">
      <w:bodyDiv w:val="1"/>
      <w:marLeft w:val="0"/>
      <w:marRight w:val="0"/>
      <w:marTop w:val="0"/>
      <w:marBottom w:val="0"/>
      <w:divBdr>
        <w:top w:val="none" w:sz="0" w:space="0" w:color="auto"/>
        <w:left w:val="none" w:sz="0" w:space="0" w:color="auto"/>
        <w:bottom w:val="none" w:sz="0" w:space="0" w:color="auto"/>
        <w:right w:val="none" w:sz="0" w:space="0" w:color="auto"/>
      </w:divBdr>
    </w:div>
    <w:div w:id="1346513306">
      <w:bodyDiv w:val="1"/>
      <w:marLeft w:val="0"/>
      <w:marRight w:val="0"/>
      <w:marTop w:val="0"/>
      <w:marBottom w:val="0"/>
      <w:divBdr>
        <w:top w:val="none" w:sz="0" w:space="0" w:color="auto"/>
        <w:left w:val="none" w:sz="0" w:space="0" w:color="auto"/>
        <w:bottom w:val="none" w:sz="0" w:space="0" w:color="auto"/>
        <w:right w:val="none" w:sz="0" w:space="0" w:color="auto"/>
      </w:divBdr>
    </w:div>
    <w:div w:id="1409035696">
      <w:bodyDiv w:val="1"/>
      <w:marLeft w:val="0"/>
      <w:marRight w:val="0"/>
      <w:marTop w:val="0"/>
      <w:marBottom w:val="0"/>
      <w:divBdr>
        <w:top w:val="none" w:sz="0" w:space="0" w:color="auto"/>
        <w:left w:val="none" w:sz="0" w:space="0" w:color="auto"/>
        <w:bottom w:val="none" w:sz="0" w:space="0" w:color="auto"/>
        <w:right w:val="none" w:sz="0" w:space="0" w:color="auto"/>
      </w:divBdr>
    </w:div>
    <w:div w:id="1411923546">
      <w:bodyDiv w:val="1"/>
      <w:marLeft w:val="0"/>
      <w:marRight w:val="0"/>
      <w:marTop w:val="0"/>
      <w:marBottom w:val="0"/>
      <w:divBdr>
        <w:top w:val="none" w:sz="0" w:space="0" w:color="auto"/>
        <w:left w:val="none" w:sz="0" w:space="0" w:color="auto"/>
        <w:bottom w:val="none" w:sz="0" w:space="0" w:color="auto"/>
        <w:right w:val="none" w:sz="0" w:space="0" w:color="auto"/>
      </w:divBdr>
    </w:div>
    <w:div w:id="1472399999">
      <w:bodyDiv w:val="1"/>
      <w:marLeft w:val="0"/>
      <w:marRight w:val="0"/>
      <w:marTop w:val="0"/>
      <w:marBottom w:val="0"/>
      <w:divBdr>
        <w:top w:val="none" w:sz="0" w:space="0" w:color="auto"/>
        <w:left w:val="none" w:sz="0" w:space="0" w:color="auto"/>
        <w:bottom w:val="none" w:sz="0" w:space="0" w:color="auto"/>
        <w:right w:val="none" w:sz="0" w:space="0" w:color="auto"/>
      </w:divBdr>
    </w:div>
    <w:div w:id="1473594413">
      <w:bodyDiv w:val="1"/>
      <w:marLeft w:val="0"/>
      <w:marRight w:val="0"/>
      <w:marTop w:val="0"/>
      <w:marBottom w:val="0"/>
      <w:divBdr>
        <w:top w:val="none" w:sz="0" w:space="0" w:color="auto"/>
        <w:left w:val="none" w:sz="0" w:space="0" w:color="auto"/>
        <w:bottom w:val="none" w:sz="0" w:space="0" w:color="auto"/>
        <w:right w:val="none" w:sz="0" w:space="0" w:color="auto"/>
      </w:divBdr>
    </w:div>
    <w:div w:id="1505129000">
      <w:bodyDiv w:val="1"/>
      <w:marLeft w:val="0"/>
      <w:marRight w:val="0"/>
      <w:marTop w:val="0"/>
      <w:marBottom w:val="0"/>
      <w:divBdr>
        <w:top w:val="none" w:sz="0" w:space="0" w:color="auto"/>
        <w:left w:val="none" w:sz="0" w:space="0" w:color="auto"/>
        <w:bottom w:val="none" w:sz="0" w:space="0" w:color="auto"/>
        <w:right w:val="none" w:sz="0" w:space="0" w:color="auto"/>
      </w:divBdr>
    </w:div>
    <w:div w:id="1540507314">
      <w:bodyDiv w:val="1"/>
      <w:marLeft w:val="0"/>
      <w:marRight w:val="0"/>
      <w:marTop w:val="0"/>
      <w:marBottom w:val="0"/>
      <w:divBdr>
        <w:top w:val="none" w:sz="0" w:space="0" w:color="auto"/>
        <w:left w:val="none" w:sz="0" w:space="0" w:color="auto"/>
        <w:bottom w:val="none" w:sz="0" w:space="0" w:color="auto"/>
        <w:right w:val="none" w:sz="0" w:space="0" w:color="auto"/>
      </w:divBdr>
    </w:div>
    <w:div w:id="1543395134">
      <w:bodyDiv w:val="1"/>
      <w:marLeft w:val="0"/>
      <w:marRight w:val="0"/>
      <w:marTop w:val="0"/>
      <w:marBottom w:val="0"/>
      <w:divBdr>
        <w:top w:val="none" w:sz="0" w:space="0" w:color="auto"/>
        <w:left w:val="none" w:sz="0" w:space="0" w:color="auto"/>
        <w:bottom w:val="none" w:sz="0" w:space="0" w:color="auto"/>
        <w:right w:val="none" w:sz="0" w:space="0" w:color="auto"/>
      </w:divBdr>
    </w:div>
    <w:div w:id="1565986927">
      <w:bodyDiv w:val="1"/>
      <w:marLeft w:val="0"/>
      <w:marRight w:val="0"/>
      <w:marTop w:val="0"/>
      <w:marBottom w:val="0"/>
      <w:divBdr>
        <w:top w:val="none" w:sz="0" w:space="0" w:color="auto"/>
        <w:left w:val="none" w:sz="0" w:space="0" w:color="auto"/>
        <w:bottom w:val="none" w:sz="0" w:space="0" w:color="auto"/>
        <w:right w:val="none" w:sz="0" w:space="0" w:color="auto"/>
      </w:divBdr>
    </w:div>
    <w:div w:id="1608997393">
      <w:bodyDiv w:val="1"/>
      <w:marLeft w:val="0"/>
      <w:marRight w:val="0"/>
      <w:marTop w:val="0"/>
      <w:marBottom w:val="0"/>
      <w:divBdr>
        <w:top w:val="none" w:sz="0" w:space="0" w:color="auto"/>
        <w:left w:val="none" w:sz="0" w:space="0" w:color="auto"/>
        <w:bottom w:val="none" w:sz="0" w:space="0" w:color="auto"/>
        <w:right w:val="none" w:sz="0" w:space="0" w:color="auto"/>
      </w:divBdr>
    </w:div>
    <w:div w:id="1629118955">
      <w:bodyDiv w:val="1"/>
      <w:marLeft w:val="0"/>
      <w:marRight w:val="0"/>
      <w:marTop w:val="0"/>
      <w:marBottom w:val="0"/>
      <w:divBdr>
        <w:top w:val="none" w:sz="0" w:space="0" w:color="auto"/>
        <w:left w:val="none" w:sz="0" w:space="0" w:color="auto"/>
        <w:bottom w:val="none" w:sz="0" w:space="0" w:color="auto"/>
        <w:right w:val="none" w:sz="0" w:space="0" w:color="auto"/>
      </w:divBdr>
    </w:div>
    <w:div w:id="1672952074">
      <w:bodyDiv w:val="1"/>
      <w:marLeft w:val="0"/>
      <w:marRight w:val="0"/>
      <w:marTop w:val="0"/>
      <w:marBottom w:val="0"/>
      <w:divBdr>
        <w:top w:val="none" w:sz="0" w:space="0" w:color="auto"/>
        <w:left w:val="none" w:sz="0" w:space="0" w:color="auto"/>
        <w:bottom w:val="none" w:sz="0" w:space="0" w:color="auto"/>
        <w:right w:val="none" w:sz="0" w:space="0" w:color="auto"/>
      </w:divBdr>
    </w:div>
    <w:div w:id="1680156348">
      <w:bodyDiv w:val="1"/>
      <w:marLeft w:val="0"/>
      <w:marRight w:val="0"/>
      <w:marTop w:val="0"/>
      <w:marBottom w:val="0"/>
      <w:divBdr>
        <w:top w:val="none" w:sz="0" w:space="0" w:color="auto"/>
        <w:left w:val="none" w:sz="0" w:space="0" w:color="auto"/>
        <w:bottom w:val="none" w:sz="0" w:space="0" w:color="auto"/>
        <w:right w:val="none" w:sz="0" w:space="0" w:color="auto"/>
      </w:divBdr>
    </w:div>
    <w:div w:id="1792548297">
      <w:bodyDiv w:val="1"/>
      <w:marLeft w:val="0"/>
      <w:marRight w:val="0"/>
      <w:marTop w:val="0"/>
      <w:marBottom w:val="0"/>
      <w:divBdr>
        <w:top w:val="none" w:sz="0" w:space="0" w:color="auto"/>
        <w:left w:val="none" w:sz="0" w:space="0" w:color="auto"/>
        <w:bottom w:val="none" w:sz="0" w:space="0" w:color="auto"/>
        <w:right w:val="none" w:sz="0" w:space="0" w:color="auto"/>
      </w:divBdr>
    </w:div>
    <w:div w:id="1865904787">
      <w:bodyDiv w:val="1"/>
      <w:marLeft w:val="0"/>
      <w:marRight w:val="0"/>
      <w:marTop w:val="0"/>
      <w:marBottom w:val="0"/>
      <w:divBdr>
        <w:top w:val="none" w:sz="0" w:space="0" w:color="auto"/>
        <w:left w:val="none" w:sz="0" w:space="0" w:color="auto"/>
        <w:bottom w:val="none" w:sz="0" w:space="0" w:color="auto"/>
        <w:right w:val="none" w:sz="0" w:space="0" w:color="auto"/>
      </w:divBdr>
    </w:div>
    <w:div w:id="1903129311">
      <w:bodyDiv w:val="1"/>
      <w:marLeft w:val="0"/>
      <w:marRight w:val="0"/>
      <w:marTop w:val="0"/>
      <w:marBottom w:val="0"/>
      <w:divBdr>
        <w:top w:val="none" w:sz="0" w:space="0" w:color="auto"/>
        <w:left w:val="none" w:sz="0" w:space="0" w:color="auto"/>
        <w:bottom w:val="none" w:sz="0" w:space="0" w:color="auto"/>
        <w:right w:val="none" w:sz="0" w:space="0" w:color="auto"/>
      </w:divBdr>
    </w:div>
    <w:div w:id="1960338693">
      <w:bodyDiv w:val="1"/>
      <w:marLeft w:val="0"/>
      <w:marRight w:val="0"/>
      <w:marTop w:val="0"/>
      <w:marBottom w:val="0"/>
      <w:divBdr>
        <w:top w:val="none" w:sz="0" w:space="0" w:color="auto"/>
        <w:left w:val="none" w:sz="0" w:space="0" w:color="auto"/>
        <w:bottom w:val="none" w:sz="0" w:space="0" w:color="auto"/>
        <w:right w:val="none" w:sz="0" w:space="0" w:color="auto"/>
      </w:divBdr>
    </w:div>
    <w:div w:id="1965378912">
      <w:bodyDiv w:val="1"/>
      <w:marLeft w:val="0"/>
      <w:marRight w:val="0"/>
      <w:marTop w:val="0"/>
      <w:marBottom w:val="0"/>
      <w:divBdr>
        <w:top w:val="none" w:sz="0" w:space="0" w:color="auto"/>
        <w:left w:val="none" w:sz="0" w:space="0" w:color="auto"/>
        <w:bottom w:val="none" w:sz="0" w:space="0" w:color="auto"/>
        <w:right w:val="none" w:sz="0" w:space="0" w:color="auto"/>
      </w:divBdr>
    </w:div>
    <w:div w:id="2026516901">
      <w:bodyDiv w:val="1"/>
      <w:marLeft w:val="0"/>
      <w:marRight w:val="0"/>
      <w:marTop w:val="0"/>
      <w:marBottom w:val="0"/>
      <w:divBdr>
        <w:top w:val="none" w:sz="0" w:space="0" w:color="auto"/>
        <w:left w:val="none" w:sz="0" w:space="0" w:color="auto"/>
        <w:bottom w:val="none" w:sz="0" w:space="0" w:color="auto"/>
        <w:right w:val="none" w:sz="0" w:space="0" w:color="auto"/>
      </w:divBdr>
    </w:div>
    <w:div w:id="21086963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91.gif"/><Relationship Id="rId21" Type="http://schemas.openxmlformats.org/officeDocument/2006/relationships/image" Target="media/image5.emf"/><Relationship Id="rId42" Type="http://schemas.openxmlformats.org/officeDocument/2006/relationships/image" Target="media/image21.emf"/><Relationship Id="rId47" Type="http://schemas.openxmlformats.org/officeDocument/2006/relationships/image" Target="media/image26.png"/><Relationship Id="rId63" Type="http://schemas.openxmlformats.org/officeDocument/2006/relationships/image" Target="media/image320.png"/><Relationship Id="rId68" Type="http://schemas.openxmlformats.org/officeDocument/2006/relationships/image" Target="media/image44.emf"/><Relationship Id="rId84" Type="http://schemas.openxmlformats.org/officeDocument/2006/relationships/image" Target="media/image60.png"/><Relationship Id="rId89" Type="http://schemas.openxmlformats.org/officeDocument/2006/relationships/image" Target="media/image64.emf"/><Relationship Id="rId112" Type="http://schemas.openxmlformats.org/officeDocument/2006/relationships/image" Target="media/image87.emf"/><Relationship Id="rId133" Type="http://schemas.openxmlformats.org/officeDocument/2006/relationships/image" Target="media/image103.png"/><Relationship Id="rId138" Type="http://schemas.openxmlformats.org/officeDocument/2006/relationships/image" Target="media/image108.png"/><Relationship Id="rId107" Type="http://schemas.openxmlformats.org/officeDocument/2006/relationships/image" Target="media/image82.emf"/><Relationship Id="rId11" Type="http://schemas.openxmlformats.org/officeDocument/2006/relationships/endnotes" Target="endnotes.xml"/><Relationship Id="rId32" Type="http://schemas.openxmlformats.org/officeDocument/2006/relationships/image" Target="media/image16.png"/><Relationship Id="rId37" Type="http://schemas.openxmlformats.org/officeDocument/2006/relationships/image" Target="media/image17.jpeg"/><Relationship Id="rId53" Type="http://schemas.openxmlformats.org/officeDocument/2006/relationships/image" Target="media/image32.png"/><Relationship Id="rId58" Type="http://schemas.openxmlformats.org/officeDocument/2006/relationships/image" Target="media/image37.png"/><Relationship Id="rId74" Type="http://schemas.openxmlformats.org/officeDocument/2006/relationships/image" Target="media/image50.png"/><Relationship Id="rId79" Type="http://schemas.openxmlformats.org/officeDocument/2006/relationships/image" Target="media/image55.png"/><Relationship Id="rId102" Type="http://schemas.openxmlformats.org/officeDocument/2006/relationships/image" Target="media/image77.emf"/><Relationship Id="rId123" Type="http://schemas.openxmlformats.org/officeDocument/2006/relationships/image" Target="media/image93.png"/><Relationship Id="rId128" Type="http://schemas.openxmlformats.org/officeDocument/2006/relationships/image" Target="media/image98.png"/><Relationship Id="rId144" Type="http://schemas.openxmlformats.org/officeDocument/2006/relationships/fontTable" Target="fontTable.xml"/><Relationship Id="rId5" Type="http://schemas.openxmlformats.org/officeDocument/2006/relationships/customXml" Target="../customXml/item5.xml"/><Relationship Id="rId90" Type="http://schemas.openxmlformats.org/officeDocument/2006/relationships/image" Target="media/image65.emf"/><Relationship Id="rId95" Type="http://schemas.openxmlformats.org/officeDocument/2006/relationships/image" Target="media/image70.png"/><Relationship Id="rId22" Type="http://schemas.openxmlformats.org/officeDocument/2006/relationships/image" Target="media/image6.png"/><Relationship Id="rId27" Type="http://schemas.openxmlformats.org/officeDocument/2006/relationships/image" Target="media/image14.png"/><Relationship Id="rId43" Type="http://schemas.openxmlformats.org/officeDocument/2006/relationships/image" Target="media/image22.png"/><Relationship Id="rId48" Type="http://schemas.openxmlformats.org/officeDocument/2006/relationships/image" Target="media/image27.png"/><Relationship Id="rId64" Type="http://schemas.openxmlformats.org/officeDocument/2006/relationships/image" Target="media/image40.png"/><Relationship Id="rId69" Type="http://schemas.openxmlformats.org/officeDocument/2006/relationships/image" Target="media/image45.jpeg"/><Relationship Id="rId113" Type="http://schemas.openxmlformats.org/officeDocument/2006/relationships/image" Target="media/image88.emf"/><Relationship Id="rId118" Type="http://schemas.openxmlformats.org/officeDocument/2006/relationships/image" Target="cid:image015.png@01D706CB.4E2D5340" TargetMode="External"/><Relationship Id="rId134" Type="http://schemas.openxmlformats.org/officeDocument/2006/relationships/image" Target="media/image104.png"/><Relationship Id="rId139" Type="http://schemas.openxmlformats.org/officeDocument/2006/relationships/image" Target="media/image109.png"/><Relationship Id="rId8" Type="http://schemas.openxmlformats.org/officeDocument/2006/relationships/settings" Target="settings.xml"/><Relationship Id="rId51" Type="http://schemas.openxmlformats.org/officeDocument/2006/relationships/image" Target="media/image30.png"/><Relationship Id="rId72" Type="http://schemas.openxmlformats.org/officeDocument/2006/relationships/image" Target="media/image48.emf"/><Relationship Id="rId80" Type="http://schemas.openxmlformats.org/officeDocument/2006/relationships/image" Target="media/image56.png"/><Relationship Id="rId85" Type="http://schemas.openxmlformats.org/officeDocument/2006/relationships/image" Target="media/image61.emf"/><Relationship Id="rId93" Type="http://schemas.openxmlformats.org/officeDocument/2006/relationships/image" Target="media/image68.png"/><Relationship Id="rId98" Type="http://schemas.openxmlformats.org/officeDocument/2006/relationships/image" Target="media/image73.emf"/><Relationship Id="rId121" Type="http://schemas.openxmlformats.org/officeDocument/2006/relationships/hyperlink" Target="https://doi" TargetMode="External"/><Relationship Id="rId142" Type="http://schemas.openxmlformats.org/officeDocument/2006/relationships/image" Target="media/image112.png"/><Relationship Id="rId3" Type="http://schemas.openxmlformats.org/officeDocument/2006/relationships/customXml" Target="../customXml/item3.xml"/><Relationship Id="rId12" Type="http://schemas.openxmlformats.org/officeDocument/2006/relationships/image" Target="media/image1.jpeg"/><Relationship Id="rId25" Type="http://schemas.openxmlformats.org/officeDocument/2006/relationships/image" Target="media/image10.png"/><Relationship Id="rId33" Type="http://schemas.openxmlformats.org/officeDocument/2006/relationships/image" Target="cid:image001.png@01CF3236.F571C350" TargetMode="External"/><Relationship Id="rId38" Type="http://schemas.openxmlformats.org/officeDocument/2006/relationships/image" Target="media/image18.emf"/><Relationship Id="rId46" Type="http://schemas.openxmlformats.org/officeDocument/2006/relationships/image" Target="media/image25.png"/><Relationship Id="rId59" Type="http://schemas.openxmlformats.org/officeDocument/2006/relationships/image" Target="media/image38.png"/><Relationship Id="rId67" Type="http://schemas.openxmlformats.org/officeDocument/2006/relationships/image" Target="media/image43.emf"/><Relationship Id="rId103" Type="http://schemas.openxmlformats.org/officeDocument/2006/relationships/image" Target="media/image78.emf"/><Relationship Id="rId108" Type="http://schemas.openxmlformats.org/officeDocument/2006/relationships/image" Target="media/image83.emf"/><Relationship Id="rId116" Type="http://schemas.openxmlformats.org/officeDocument/2006/relationships/hyperlink" Target="https://www.environment.gov.au/water/cewo/publications/lamprey-migration-lower-river-murray-cew-delivery-2019" TargetMode="External"/><Relationship Id="rId124" Type="http://schemas.openxmlformats.org/officeDocument/2006/relationships/image" Target="media/image94.png"/><Relationship Id="rId129" Type="http://schemas.openxmlformats.org/officeDocument/2006/relationships/image" Target="media/image99.png"/><Relationship Id="rId137" Type="http://schemas.openxmlformats.org/officeDocument/2006/relationships/image" Target="media/image107.png"/><Relationship Id="rId20" Type="http://schemas.openxmlformats.org/officeDocument/2006/relationships/image" Target="media/image7.png"/><Relationship Id="rId41" Type="http://schemas.openxmlformats.org/officeDocument/2006/relationships/image" Target="media/image20.emf"/><Relationship Id="rId54" Type="http://schemas.openxmlformats.org/officeDocument/2006/relationships/image" Target="media/image33.png"/><Relationship Id="rId70" Type="http://schemas.openxmlformats.org/officeDocument/2006/relationships/image" Target="media/image46.png"/><Relationship Id="rId75" Type="http://schemas.openxmlformats.org/officeDocument/2006/relationships/image" Target="media/image51.png"/><Relationship Id="rId83" Type="http://schemas.openxmlformats.org/officeDocument/2006/relationships/image" Target="media/image59.png"/><Relationship Id="rId88" Type="http://schemas.openxmlformats.org/officeDocument/2006/relationships/footer" Target="footer3.xml"/><Relationship Id="rId91" Type="http://schemas.openxmlformats.org/officeDocument/2006/relationships/image" Target="media/image66.jpeg"/><Relationship Id="rId96" Type="http://schemas.openxmlformats.org/officeDocument/2006/relationships/image" Target="media/image71.png"/><Relationship Id="rId111" Type="http://schemas.openxmlformats.org/officeDocument/2006/relationships/image" Target="media/image86.emf"/><Relationship Id="rId132" Type="http://schemas.openxmlformats.org/officeDocument/2006/relationships/image" Target="media/image102.png"/><Relationship Id="rId140" Type="http://schemas.openxmlformats.org/officeDocument/2006/relationships/image" Target="media/image110.png"/><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svg"/><Relationship Id="rId23" Type="http://schemas.openxmlformats.org/officeDocument/2006/relationships/image" Target="media/image8.png"/><Relationship Id="rId28" Type="http://schemas.openxmlformats.org/officeDocument/2006/relationships/image" Target="media/image15.png"/><Relationship Id="rId36" Type="http://schemas.openxmlformats.org/officeDocument/2006/relationships/footer" Target="footer2.xml"/><Relationship Id="rId49" Type="http://schemas.openxmlformats.org/officeDocument/2006/relationships/image" Target="media/image28.png"/><Relationship Id="rId57" Type="http://schemas.openxmlformats.org/officeDocument/2006/relationships/image" Target="media/image36.png"/><Relationship Id="rId106" Type="http://schemas.openxmlformats.org/officeDocument/2006/relationships/image" Target="media/image81.emf"/><Relationship Id="rId114" Type="http://schemas.openxmlformats.org/officeDocument/2006/relationships/image" Target="media/image89.emf"/><Relationship Id="rId119" Type="http://schemas.openxmlformats.org/officeDocument/2006/relationships/hyperlink" Target="https://www.mdba.gov.au/issues-murray-darling-basin/water-for-environment/water-environment-multi-year-priorities" TargetMode="External"/><Relationship Id="rId127" Type="http://schemas.openxmlformats.org/officeDocument/2006/relationships/image" Target="media/image97.png"/><Relationship Id="rId10" Type="http://schemas.openxmlformats.org/officeDocument/2006/relationships/footnotes" Target="footnotes.xml"/><Relationship Id="rId31" Type="http://schemas.openxmlformats.org/officeDocument/2006/relationships/image" Target="media/image13.jpeg"/><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image" Target="media/image41.emf"/><Relationship Id="rId73" Type="http://schemas.openxmlformats.org/officeDocument/2006/relationships/image" Target="media/image49.png"/><Relationship Id="rId78" Type="http://schemas.openxmlformats.org/officeDocument/2006/relationships/image" Target="media/image54.emf"/><Relationship Id="rId81" Type="http://schemas.openxmlformats.org/officeDocument/2006/relationships/image" Target="media/image57.png"/><Relationship Id="rId86" Type="http://schemas.openxmlformats.org/officeDocument/2006/relationships/image" Target="media/image62.emf"/><Relationship Id="rId94" Type="http://schemas.openxmlformats.org/officeDocument/2006/relationships/image" Target="media/image69.png"/><Relationship Id="rId99" Type="http://schemas.openxmlformats.org/officeDocument/2006/relationships/image" Target="media/image74.emf"/><Relationship Id="rId101" Type="http://schemas.openxmlformats.org/officeDocument/2006/relationships/image" Target="media/image76.emf"/><Relationship Id="rId122" Type="http://schemas.openxmlformats.org/officeDocument/2006/relationships/image" Target="media/image92.emf"/><Relationship Id="rId130" Type="http://schemas.openxmlformats.org/officeDocument/2006/relationships/image" Target="media/image100.png"/><Relationship Id="rId135" Type="http://schemas.openxmlformats.org/officeDocument/2006/relationships/image" Target="media/image105.png"/><Relationship Id="rId143" Type="http://schemas.openxmlformats.org/officeDocument/2006/relationships/hyperlink" Target="http://www.bom.gov.au/water/awid/id-1026.shtml" TargetMode="Externa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jpeg"/><Relationship Id="rId18" Type="http://schemas.openxmlformats.org/officeDocument/2006/relationships/image" Target="media/image5.jpeg"/><Relationship Id="rId39" Type="http://schemas.openxmlformats.org/officeDocument/2006/relationships/image" Target="media/image19.emf"/><Relationship Id="rId109" Type="http://schemas.openxmlformats.org/officeDocument/2006/relationships/image" Target="media/image84.emf"/><Relationship Id="rId34" Type="http://schemas.openxmlformats.org/officeDocument/2006/relationships/header" Target="header1.xml"/><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image" Target="media/image52.png"/><Relationship Id="rId97" Type="http://schemas.openxmlformats.org/officeDocument/2006/relationships/image" Target="media/image72.png"/><Relationship Id="rId104" Type="http://schemas.openxmlformats.org/officeDocument/2006/relationships/image" Target="media/image79.emf"/><Relationship Id="rId120" Type="http://schemas.openxmlformats.org/officeDocument/2006/relationships/hyperlink" Target="https://www" TargetMode="External"/><Relationship Id="rId125" Type="http://schemas.openxmlformats.org/officeDocument/2006/relationships/image" Target="media/image95.png"/><Relationship Id="rId141" Type="http://schemas.openxmlformats.org/officeDocument/2006/relationships/image" Target="media/image111.png"/><Relationship Id="rId7" Type="http://schemas.openxmlformats.org/officeDocument/2006/relationships/styles" Target="styles.xml"/><Relationship Id="rId71" Type="http://schemas.openxmlformats.org/officeDocument/2006/relationships/image" Target="media/image47.png"/><Relationship Id="rId92" Type="http://schemas.openxmlformats.org/officeDocument/2006/relationships/image" Target="media/image67.emf"/><Relationship Id="rId2" Type="http://schemas.openxmlformats.org/officeDocument/2006/relationships/customXml" Target="../customXml/item2.xml"/><Relationship Id="rId29" Type="http://schemas.openxmlformats.org/officeDocument/2006/relationships/image" Target="media/image11.png"/><Relationship Id="rId24" Type="http://schemas.openxmlformats.org/officeDocument/2006/relationships/image" Target="media/image9.png"/><Relationship Id="rId40" Type="http://schemas.openxmlformats.org/officeDocument/2006/relationships/hyperlink" Target="http://www.environment.gov.au/water/cewo" TargetMode="External"/><Relationship Id="rId45" Type="http://schemas.openxmlformats.org/officeDocument/2006/relationships/image" Target="media/image24.png"/><Relationship Id="rId66" Type="http://schemas.openxmlformats.org/officeDocument/2006/relationships/image" Target="media/image42.emf"/><Relationship Id="rId87" Type="http://schemas.openxmlformats.org/officeDocument/2006/relationships/image" Target="media/image63.emf"/><Relationship Id="rId110" Type="http://schemas.openxmlformats.org/officeDocument/2006/relationships/image" Target="media/image85.emf"/><Relationship Id="rId115" Type="http://schemas.openxmlformats.org/officeDocument/2006/relationships/image" Target="media/image90.emf"/><Relationship Id="rId131" Type="http://schemas.openxmlformats.org/officeDocument/2006/relationships/image" Target="media/image101.png"/><Relationship Id="rId136" Type="http://schemas.openxmlformats.org/officeDocument/2006/relationships/image" Target="media/image106.png"/><Relationship Id="rId82" Type="http://schemas.openxmlformats.org/officeDocument/2006/relationships/image" Target="media/image58.png"/><Relationship Id="rId19" Type="http://schemas.openxmlformats.org/officeDocument/2006/relationships/image" Target="media/image6.jpeg"/><Relationship Id="rId14" Type="http://schemas.openxmlformats.org/officeDocument/2006/relationships/image" Target="media/image3.png"/><Relationship Id="rId30" Type="http://schemas.openxmlformats.org/officeDocument/2006/relationships/image" Target="media/image12.jpeg"/><Relationship Id="rId35" Type="http://schemas.openxmlformats.org/officeDocument/2006/relationships/footer" Target="footer1.xml"/><Relationship Id="rId56" Type="http://schemas.openxmlformats.org/officeDocument/2006/relationships/image" Target="media/image35.png"/><Relationship Id="rId77" Type="http://schemas.openxmlformats.org/officeDocument/2006/relationships/image" Target="media/image53.emf"/><Relationship Id="rId100" Type="http://schemas.openxmlformats.org/officeDocument/2006/relationships/image" Target="media/image75.emf"/><Relationship Id="rId105" Type="http://schemas.openxmlformats.org/officeDocument/2006/relationships/image" Target="media/image80.emf"/><Relationship Id="rId126" Type="http://schemas.openxmlformats.org/officeDocument/2006/relationships/image" Target="media/image9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4B6FD6131ACCD942B99EE496FC609FF4" ma:contentTypeVersion="11" ma:contentTypeDescription="Create a new document." ma:contentTypeScope="" ma:versionID="ab0819aaaccea8fe8ee2b7900102c7dd">
  <xsd:schema xmlns:xsd="http://www.w3.org/2001/XMLSchema" xmlns:xs="http://www.w3.org/2001/XMLSchema" xmlns:p="http://schemas.microsoft.com/office/2006/metadata/properties" xmlns:ns2="ac7ce04e-ea5d-4d46-bab0-39b1fa6a6f36" targetNamespace="http://schemas.microsoft.com/office/2006/metadata/properties" ma:root="true" ma:fieldsID="c9b315db8aba91f29871216a3dadc1eb" ns2:_="">
    <xsd:import namespace="ac7ce04e-ea5d-4d46-bab0-39b1fa6a6f36"/>
    <xsd:element name="properties">
      <xsd:complexType>
        <xsd:sequence>
          <xsd:element name="documentManagement">
            <xsd:complexType>
              <xsd:all>
                <xsd:element ref="ns2:MediaServiceMetadata" minOccurs="0"/>
                <xsd:element ref="ns2:MediaServiceFastMetadata" minOccurs="0"/>
                <xsd:element ref="ns2:Embargoed"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7ce04e-ea5d-4d46-bab0-39b1fa6a6f3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Embargoed" ma:index="10" nillable="true" ma:displayName="Embargoed" ma:default="0" ma:description="Is this file under embargo?" ma:format="Dropdown" ma:internalName="Embargoed">
      <xsd:simpleType>
        <xsd:restriction base="dms:Boolean"/>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Embargoed xmlns="ac7ce04e-ea5d-4d46-bab0-39b1fa6a6f36">false</Embargoed>
  </documentManagement>
</p:properties>
</file>

<file path=customXml/item5.xml><?xml version="1.0" encoding="utf-8"?>
<metadata xmlns="http://www.objective.com/ecm/document/metadata/3D2A87C8A9941445E0533AF0780A13BC" version="1.0.0">
  <systemFields>
    <field name="Objective-Id">
      <value order="0">A4906183</value>
    </field>
    <field name="Objective-Title">
      <value order="0">CEW MER 2019-20 Technical Report - FINAL 22/04/2021</value>
    </field>
    <field name="Objective-Description">
      <value order="0"/>
    </field>
    <field name="Objective-CreationStamp">
      <value order="0">2021-04-01T04:41:11Z</value>
    </field>
    <field name="Objective-IsApproved">
      <value order="0">false</value>
    </field>
    <field name="Objective-IsPublished">
      <value order="0">false</value>
    </field>
    <field name="Objective-DatePublished">
      <value order="0"/>
    </field>
    <field name="Objective-ModificationStamp">
      <value order="0">2021-04-23T02:00:18Z</value>
    </field>
    <field name="Objective-Owner">
      <value order="0">Sterns, Annie</value>
    </field>
    <field name="Objective-Path">
      <value order="0">Global Folder:01 SA Research &amp; Development Institute (SARDI):Aquatic Environments &amp; Habitats:Publications:Inland Waters &amp; Terrestrial Ecology:AQUATIC ENVIRONMENTS &amp; HABITATS - Publications - Inland Waters and Terrestrial Ecology - Monitoring of ecological responses to the delivery of Commonwealth Environmental Water in the lower River Murray, South Australia:2019/20 Report</value>
    </field>
    <field name="Objective-Parent">
      <value order="0">2019/20 Report</value>
    </field>
    <field name="Objective-State">
      <value order="0">Being Edited</value>
    </field>
    <field name="Objective-VersionId">
      <value order="0">vA8050809</value>
    </field>
    <field name="Objective-Version">
      <value order="0">3.1</value>
    </field>
    <field name="Objective-VersionNumber">
      <value order="0">4</value>
    </field>
    <field name="Objective-VersionComment">
      <value order="0"/>
    </field>
    <field name="Objective-FileNumber">
      <value order="0">SARDI F2013/000289</value>
    </field>
    <field name="Objective-Classification">
      <value order="0"/>
    </field>
    <field name="Objective-Caveats">
      <value order="0"/>
    </field>
  </systemFields>
  <catalogues>
    <catalogue name="Electronic Document Type Catalogue" type="type" ori="id:cA6">
      <field name="Objective-Agency">
        <value order="0">Primary Industries and Regions SA</value>
      </field>
      <field name="Objective-Business Division">
        <value order="0">SA Research and Development Institute SARDI</value>
      </field>
      <field name="Objective-Workgroup">
        <value order="0">SARDI Aquatic Sciences</value>
      </field>
      <field name="Objective-Section">
        <value order="0">SARDI Information &amp; Systems Support</value>
      </field>
      <field name="Objective-Document Type">
        <value order="0">Report</value>
      </field>
      <field name="Objective-Security Classification">
        <value order="0">02 Official</value>
      </field>
      <field name="Objective-Access Use Conditions">
        <value order="0"/>
      </field>
      <field name="Objective-Connect Creator">
        <value order="0"/>
      </field>
      <field name="Objective-Customer Person">
        <value order="0"/>
      </field>
      <field name="Objective-Customer Organisation">
        <value order="0"/>
      </field>
      <field name="Objective-Transaction Reference">
        <value order="0"/>
      </field>
      <field name="Objective-Place Name">
        <value order="0"/>
      </field>
      <field name="Objective-Description or Summary">
        <value order="0"/>
      </field>
      <field name="Objective-Date Document Created">
        <value order="0"/>
      </field>
      <field name="Objective-Document Created By">
        <value order="0"/>
      </field>
      <field name="Objective-Date Source Document Scanned">
        <value order="0"/>
      </field>
      <field name="Objective-Source Document Disposal Status">
        <value order="0"/>
      </field>
      <field name="Objective-Date Temporary Value Source Document Destroyed">
        <value order="0"/>
      </field>
      <field name="Objective-Date Received">
        <value order="0"/>
      </field>
      <field name="Objective-Action Delegator">
        <value order="0"/>
      </field>
      <field name="Objective-Action Officer">
        <value order="0"/>
      </field>
      <field name="Objective-Action Required">
        <value order="0"/>
      </field>
      <field name="Objective-Date Action Due By">
        <value order="0"/>
      </field>
      <field name="Objective-Date Action Assigned">
        <value order="0"/>
      </field>
      <field name="Objective-Action Approved by">
        <value order="0"/>
      </field>
      <field name="Objective-Date Action Approved">
        <value order="0"/>
      </field>
      <field name="Objective-Date Interim Reply Sent">
        <value order="0"/>
      </field>
      <field name="Objective-Date Final Reply Sent">
        <value order="0"/>
      </field>
      <field name="Objective-Date_Completed_On">
        <value order="0"/>
      </field>
      <field name="Objective-Intranet_Publishing_Requestor">
        <value order="0"/>
      </field>
      <field name="Objective-Intranet_Publishing_Requestor_Email">
        <value order="0"/>
      </field>
      <field name="Objective-Intranet Publisher">
        <value order="0">CORP ICT Intranet Publishing General Document Workflow Group</value>
      </field>
      <field name="Objective-Intranet_Publisher_Contact">
        <value order="0"/>
      </field>
      <field name="Objective-Intranet_Publisher_Email">
        <value order="0"/>
      </field>
      <field name="Objective-Intranet_Display_Name">
        <value order="0"/>
      </field>
      <field name="Objective-Free Text Subjects">
        <value order="0"/>
      </field>
      <field name="Objective-Intranet_Publishing_Requirement">
        <value order="0"/>
      </field>
      <field name="Objective-Intranet_Publishing_Instructions">
        <value order="0"/>
      </field>
      <field name="Objective-Document Published Version URL Link">
        <value order="0">https://objectivesag.pirsa.sa.gov.au/id:A4885329/document/versions/published</value>
      </field>
      <field name="Objective-Intranet URL Keyword">
        <value order="0">%globals_asset_metadata_PublishedURL%</value>
      </field>
      <field name="Objective-Intranet Short Name">
        <value order="0">A4885329</value>
      </field>
      <field name="Objective-Intranet_Publishing_Metadata_Schema">
        <value order="0">73217</value>
      </field>
      <field name="Objective-Intranet_Publishing_CSV_File_Operation">
        <value order="0">E</value>
      </field>
      <field name="Objective-Intranet_Asset_ID">
        <value order="0"/>
      </field>
      <field name="Objective-Date_Intranet_Link_Published">
        <value order="0"/>
      </field>
      <field name="Objective-Date_Intranet_Link_Next_Review_Due">
        <value order="0"/>
      </field>
      <field name="Objective-Date_Intranet_Link_Removed">
        <value order="0"/>
      </field>
      <field name="Objective-Internet Publishing Requestor">
        <value order="0"/>
      </field>
      <field name="Objective-Internet Publishing Requestor Email">
        <value order="0"/>
      </field>
      <field name="Objective-Internet Publisher Group">
        <value order="0">CORP ICT Internet Website Publishing Workflow Group</value>
      </field>
      <field name="Objective-Internet Publisher Contact">
        <value order="0">publish, webpublish</value>
      </field>
      <field name="Objective-Internet Publisher Email">
        <value order="0">PIRSA.Webpublish@sa.gov.au</value>
      </field>
      <field name="Objective-Internet Friendly Name">
        <value order="0"/>
      </field>
      <field name="Objective-Internet Document Type">
        <value order="0"/>
      </field>
      <field name="Objective-Internet Publishing Requirement">
        <value order="0"/>
      </field>
      <field name="Objective-Internet Publishing Instructions or Page URI">
        <value order="0"/>
      </field>
      <field name="Objective-Date Document Released">
        <value order="0"/>
      </field>
      <field name="Objective-Abstract">
        <value order="0"/>
      </field>
      <field name="Objective-External Link">
        <value order="0"/>
      </field>
      <field name="Objective-Publish Metadata Only">
        <value order="0">No</value>
      </field>
      <field name="Objective-Generate PDF Rendition">
        <value order="0">No</value>
      </field>
      <field name="Objective-Rendition Object ID">
        <value order="0"/>
      </field>
      <field name="Objective-Rendition Document Extension">
        <value order="0"/>
      </field>
      <field name="Objective-Accessibility Reviewed">
        <value order="0"/>
      </field>
      <field name="Objective-Accessibility Review Notes">
        <value order="0"/>
      </field>
      <field name="Objective-Collection or Program Title">
        <value order="0"/>
      </field>
      <field name="Objective-Sub Collection or Item ID">
        <value order="0"/>
      </field>
      <field name="Objective-Date Internet Document &amp; CSV File Published on Website">
        <value order="0"/>
      </field>
      <field name="Objective-Date Internet Document &amp; CSV File Next Review Due">
        <value order="0"/>
      </field>
      <field name="Objective-Date Internet Document &amp; CSV File Removed from Website">
        <value order="0"/>
      </field>
      <field name="Objective-Internet Publishing CSV File Operation">
        <value order="0">A</value>
      </field>
      <field name="Objective-Covers Period From">
        <value order="0"/>
      </field>
      <field name="Objective-Covers Period To">
        <value order="0"/>
      </field>
      <field name="Objective-Access Rights">
        <value order="0">Closed</value>
      </field>
      <field name="Objective-Vital_Record_Indicator">
        <value order="0">No</value>
      </field>
      <field name="Objective-Access Security Review Due Date">
        <value order="0"/>
      </field>
      <field name="Objective-Vital Records Review Due Date">
        <value order="0"/>
      </field>
      <field name="Objective-Internal Reference">
        <value order="0"/>
      </field>
      <field name="Objective-Media_Storage_Format">
        <value order="0">Text</value>
      </field>
      <field name="Objective-Jurisdiction">
        <value order="0">SA</value>
      </field>
      <field name="Objective-Language">
        <value order="0">English (en)</value>
      </field>
      <field name="Objective-Intellectual_Property_Rights">
        <value order="0">SA Government</value>
      </field>
      <field name="Objective-Date Emailed to DPC">
        <value order="0"/>
      </field>
      <field name="Objective-Date Emailed to DTF">
        <value order="0"/>
      </field>
      <field name="Objective-Date Emailed to Ministers Office">
        <value order="0"/>
      </field>
      <field name="Objective-Disposal Reasons">
        <value order="0"/>
      </field>
      <field name="Objective-Date to be Exported">
        <value order="0"/>
      </field>
      <field name="Objective-Used By System Admin Only">
        <value order="0"/>
      </field>
      <field name="Objective-Old Agency">
        <value order="0"/>
      </field>
      <field name="Objective-Old Business Division">
        <value order="0"/>
      </field>
      <field name="Objective-Old Workgroup">
        <value order="0"/>
      </field>
      <field name="Objective-Old Section">
        <value order="0"/>
      </field>
    </catalogue>
  </catalogues>
</metadata>
</file>

<file path=customXml/itemProps1.xml><?xml version="1.0" encoding="utf-8"?>
<ds:datastoreItem xmlns:ds="http://schemas.openxmlformats.org/officeDocument/2006/customXml" ds:itemID="{82B8757D-F84B-47F8-984B-3155D446E07A}">
  <ds:schemaRefs>
    <ds:schemaRef ds:uri="http://schemas.openxmlformats.org/officeDocument/2006/bibliography"/>
  </ds:schemaRefs>
</ds:datastoreItem>
</file>

<file path=customXml/itemProps2.xml><?xml version="1.0" encoding="utf-8"?>
<ds:datastoreItem xmlns:ds="http://schemas.openxmlformats.org/officeDocument/2006/customXml" ds:itemID="{731FA4D1-A559-42C1-A7B1-77A725CF149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c7ce04e-ea5d-4d46-bab0-39b1fa6a6f3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3F77B6B-891C-4637-8ECF-8670BA07A965}">
  <ds:schemaRefs>
    <ds:schemaRef ds:uri="http://schemas.microsoft.com/sharepoint/v3/contenttype/forms"/>
  </ds:schemaRefs>
</ds:datastoreItem>
</file>

<file path=customXml/itemProps4.xml><?xml version="1.0" encoding="utf-8"?>
<ds:datastoreItem xmlns:ds="http://schemas.openxmlformats.org/officeDocument/2006/customXml" ds:itemID="{AF2DA088-EE44-4BCC-AA45-6FC816041E85}">
  <ds:schemaRefs>
    <ds:schemaRef ds:uri="http://schemas.microsoft.com/office/2006/metadata/properties"/>
    <ds:schemaRef ds:uri="http://schemas.microsoft.com/office/infopath/2007/PartnerControls"/>
    <ds:schemaRef ds:uri="5af92df4-ae3d-4772-abff-92e7cba13994"/>
    <ds:schemaRef ds:uri="http://schemas.microsoft.com/sharepoint/v4"/>
    <ds:schemaRef ds:uri="ac7ce04e-ea5d-4d46-bab0-39b1fa6a6f36"/>
  </ds:schemaRefs>
</ds:datastoreItem>
</file>

<file path=customXml/itemProps5.xml><?xml version="1.0" encoding="utf-8"?>
<ds:datastoreItem xmlns:ds="http://schemas.openxmlformats.org/officeDocument/2006/customXml" ds:itemID="{5745109E-2DDF-40CB-AC2B-FF9B10C90820}">
  <ds:schemaRefs>
    <ds:schemaRef ds:uri="http://www.objective.com/ecm/document/metadata/3D2A87C8A9941445E0533AF0780A13BC"/>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236</Pages>
  <Words>74135</Words>
  <Characters>422573</Characters>
  <Application>Microsoft Office Word</Application>
  <DocSecurity>0</DocSecurity>
  <Lines>3521</Lines>
  <Paragraphs>991</Paragraphs>
  <ScaleCrop>false</ScaleCrop>
  <HeadingPairs>
    <vt:vector size="2" baseType="variant">
      <vt:variant>
        <vt:lpstr>Title</vt:lpstr>
      </vt:variant>
      <vt:variant>
        <vt:i4>1</vt:i4>
      </vt:variant>
    </vt:vector>
  </HeadingPairs>
  <TitlesOfParts>
    <vt:vector size="1" baseType="lpstr">
      <vt:lpstr>MER Lower Murray 2019-20 Technical Report</vt:lpstr>
    </vt:vector>
  </TitlesOfParts>
  <Company/>
  <LinksUpToDate>false</LinksUpToDate>
  <CharactersWithSpaces>495717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MER Lower Murray 2019-20 Technical Report</dc:title>
  <dc:subject/>
  <dc:creator>Ye, Q., Giatas, G., Bice, C., Brookes, J., Furst, D., Gibbs, M., Nicol, J., Oliver, R., Shiel, R., Zampatti, B., Bucater, L., Deane, D., Hipsey, M., Huang, P., Lorenz, Z. and Zhai, S</dc:creator>
  <cp:keywords/>
  <dc:description/>
  <cp:lastModifiedBy>Bec Durack</cp:lastModifiedBy>
  <cp:revision>10</cp:revision>
  <cp:lastPrinted>2021-02-14T23:27:00Z</cp:lastPrinted>
  <dcterms:created xsi:type="dcterms:W3CDTF">2021-05-17T02:44:00Z</dcterms:created>
  <dcterms:modified xsi:type="dcterms:W3CDTF">2021-05-17T03:49:00Z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0x0101004B6FD6131ACCD942B99EE496FC609FF4</vt:lpwstr>
  </property>
  <property fmtid="{D5CDD505-2E9C-101B-9397-08002B2CF9AE}" pid="3" name="RecordPoint_WorkflowType">
    <vt:lpwstr>ActiveSubmitStub</vt:lpwstr>
  </property>
  <property fmtid="{D5CDD505-2E9C-101B-9397-08002B2CF9AE}" pid="4" name="RecordPoint_ActiveItemSiteId">
    <vt:lpwstr>{a8f0bc9d-7c61-4d87-8154-4194e40ae5d3}</vt:lpwstr>
  </property>
  <property fmtid="{D5CDD505-2E9C-101B-9397-08002B2CF9AE}" pid="5" name="RecordPoint_ActiveItemListId">
    <vt:lpwstr>{f3d884d8-75d3-4791-9d75-588751ed0db4}</vt:lpwstr>
  </property>
  <property fmtid="{D5CDD505-2E9C-101B-9397-08002B2CF9AE}" pid="6" name="RecordPoint_ActiveItemUniqueId">
    <vt:lpwstr>{efccbb44-baa0-490e-8a25-bc2d94794232}</vt:lpwstr>
  </property>
  <property fmtid="{D5CDD505-2E9C-101B-9397-08002B2CF9AE}" pid="7" name="RecordPoint_ActiveItemWebId">
    <vt:lpwstr>{4fd2aeac-139e-4668-856d-8ea61399d778}</vt:lpwstr>
  </property>
  <property fmtid="{D5CDD505-2E9C-101B-9397-08002B2CF9AE}" pid="8" name="RecordPoint_SubmissionDate">
    <vt:lpwstr/>
  </property>
  <property fmtid="{D5CDD505-2E9C-101B-9397-08002B2CF9AE}" pid="9" name="RecordPoint_RecordNumberSubmitted">
    <vt:lpwstr>003783214</vt:lpwstr>
  </property>
  <property fmtid="{D5CDD505-2E9C-101B-9397-08002B2CF9AE}" pid="10" name="RecordPoint_RecordFormat">
    <vt:lpwstr/>
  </property>
  <property fmtid="{D5CDD505-2E9C-101B-9397-08002B2CF9AE}" pid="11" name="RecordPoint_ActiveItemMoved">
    <vt:lpwstr/>
  </property>
  <property fmtid="{D5CDD505-2E9C-101B-9397-08002B2CF9AE}" pid="12" name="RecordPoint_SubmissionCompleted">
    <vt:lpwstr>2021-05-15T17:43:43.1997698+10:00</vt:lpwstr>
  </property>
  <property fmtid="{D5CDD505-2E9C-101B-9397-08002B2CF9AE}" pid="13" name="Objective-Id">
    <vt:lpwstr>A4906183</vt:lpwstr>
  </property>
  <property fmtid="{D5CDD505-2E9C-101B-9397-08002B2CF9AE}" pid="14" name="Objective-Title">
    <vt:lpwstr>CEW MER 2019-20 Technical Report - FINAL 22/04/2021</vt:lpwstr>
  </property>
  <property fmtid="{D5CDD505-2E9C-101B-9397-08002B2CF9AE}" pid="15" name="Objective-Description">
    <vt:lpwstr/>
  </property>
  <property fmtid="{D5CDD505-2E9C-101B-9397-08002B2CF9AE}" pid="16" name="Objective-CreationStamp">
    <vt:filetime>2021-04-19T10:16:03Z</vt:filetime>
  </property>
  <property fmtid="{D5CDD505-2E9C-101B-9397-08002B2CF9AE}" pid="17" name="Objective-IsApproved">
    <vt:bool>false</vt:bool>
  </property>
  <property fmtid="{D5CDD505-2E9C-101B-9397-08002B2CF9AE}" pid="18" name="Objective-IsPublished">
    <vt:bool>false</vt:bool>
  </property>
  <property fmtid="{D5CDD505-2E9C-101B-9397-08002B2CF9AE}" pid="19" name="Objective-ModificationStamp">
    <vt:filetime>2021-04-23T02:00:18Z</vt:filetime>
  </property>
  <property fmtid="{D5CDD505-2E9C-101B-9397-08002B2CF9AE}" pid="20" name="Objective-Owner">
    <vt:lpwstr>Sterns, Annie</vt:lpwstr>
  </property>
  <property fmtid="{D5CDD505-2E9C-101B-9397-08002B2CF9AE}" pid="21" name="Objective-Path">
    <vt:lpwstr>Global Folder:01 SA Research &amp; Development Institute (SARDI):Aquatic Environments &amp; Habitats:Publications:Inland Waters &amp; Terrestrial Ecology:AQUATIC ENVIRONMENTS &amp; HABITATS - Publications - Inland Waters and Terrestrial Ecology - Monitoring of ecological</vt:lpwstr>
  </property>
  <property fmtid="{D5CDD505-2E9C-101B-9397-08002B2CF9AE}" pid="22" name="Objective-Parent">
    <vt:lpwstr>2019/20 Report</vt:lpwstr>
  </property>
  <property fmtid="{D5CDD505-2E9C-101B-9397-08002B2CF9AE}" pid="23" name="Objective-State">
    <vt:lpwstr>Being Edited</vt:lpwstr>
  </property>
  <property fmtid="{D5CDD505-2E9C-101B-9397-08002B2CF9AE}" pid="24" name="Objective-VersionId">
    <vt:lpwstr>vA8050809</vt:lpwstr>
  </property>
  <property fmtid="{D5CDD505-2E9C-101B-9397-08002B2CF9AE}" pid="25" name="Objective-Version">
    <vt:lpwstr>3.1</vt:lpwstr>
  </property>
  <property fmtid="{D5CDD505-2E9C-101B-9397-08002B2CF9AE}" pid="26" name="Objective-VersionNumber">
    <vt:r8>4</vt:r8>
  </property>
  <property fmtid="{D5CDD505-2E9C-101B-9397-08002B2CF9AE}" pid="27" name="Objective-VersionComment">
    <vt:lpwstr/>
  </property>
  <property fmtid="{D5CDD505-2E9C-101B-9397-08002B2CF9AE}" pid="28" name="Objective-FileNumber">
    <vt:lpwstr>SARDI F2013/000289</vt:lpwstr>
  </property>
  <property fmtid="{D5CDD505-2E9C-101B-9397-08002B2CF9AE}" pid="29" name="Objective-Classification">
    <vt:lpwstr>[Inherited - none]</vt:lpwstr>
  </property>
  <property fmtid="{D5CDD505-2E9C-101B-9397-08002B2CF9AE}" pid="30" name="Objective-Caveats">
    <vt:lpwstr/>
  </property>
  <property fmtid="{D5CDD505-2E9C-101B-9397-08002B2CF9AE}" pid="31" name="Objective-Agency">
    <vt:lpwstr>Primary Industries and Regions SA</vt:lpwstr>
  </property>
  <property fmtid="{D5CDD505-2E9C-101B-9397-08002B2CF9AE}" pid="32" name="Objective-Business Division">
    <vt:lpwstr>SA Research and Development Institute SARDI</vt:lpwstr>
  </property>
  <property fmtid="{D5CDD505-2E9C-101B-9397-08002B2CF9AE}" pid="33" name="Objective-Workgroup">
    <vt:lpwstr>SARDI Aquatic Sciences</vt:lpwstr>
  </property>
  <property fmtid="{D5CDD505-2E9C-101B-9397-08002B2CF9AE}" pid="34" name="Objective-Section">
    <vt:lpwstr>SARDI Information &amp; Systems Support</vt:lpwstr>
  </property>
  <property fmtid="{D5CDD505-2E9C-101B-9397-08002B2CF9AE}" pid="35" name="Objective-Document Type">
    <vt:lpwstr>Report</vt:lpwstr>
  </property>
  <property fmtid="{D5CDD505-2E9C-101B-9397-08002B2CF9AE}" pid="36" name="Objective-Security Classification">
    <vt:lpwstr>02 Official</vt:lpwstr>
  </property>
  <property fmtid="{D5CDD505-2E9C-101B-9397-08002B2CF9AE}" pid="37" name="Objective-Access Use Conditions">
    <vt:lpwstr/>
  </property>
  <property fmtid="{D5CDD505-2E9C-101B-9397-08002B2CF9AE}" pid="38" name="Objective-Connect Creator">
    <vt:lpwstr/>
  </property>
  <property fmtid="{D5CDD505-2E9C-101B-9397-08002B2CF9AE}" pid="39" name="Objective-Customer Person">
    <vt:lpwstr/>
  </property>
  <property fmtid="{D5CDD505-2E9C-101B-9397-08002B2CF9AE}" pid="40" name="Objective-Customer Organisation">
    <vt:lpwstr/>
  </property>
  <property fmtid="{D5CDD505-2E9C-101B-9397-08002B2CF9AE}" pid="41" name="Objective-Transaction Reference">
    <vt:lpwstr/>
  </property>
  <property fmtid="{D5CDD505-2E9C-101B-9397-08002B2CF9AE}" pid="42" name="Objective-Place Name">
    <vt:lpwstr/>
  </property>
  <property fmtid="{D5CDD505-2E9C-101B-9397-08002B2CF9AE}" pid="43" name="Objective-Description or Summary">
    <vt:lpwstr/>
  </property>
  <property fmtid="{D5CDD505-2E9C-101B-9397-08002B2CF9AE}" pid="44" name="Objective-Date Document Created">
    <vt:lpwstr/>
  </property>
  <property fmtid="{D5CDD505-2E9C-101B-9397-08002B2CF9AE}" pid="45" name="Objective-Document Created By">
    <vt:lpwstr/>
  </property>
  <property fmtid="{D5CDD505-2E9C-101B-9397-08002B2CF9AE}" pid="46" name="Objective-Date Source Document Scanned">
    <vt:lpwstr/>
  </property>
  <property fmtid="{D5CDD505-2E9C-101B-9397-08002B2CF9AE}" pid="47" name="Objective-Source Document Disposal Status">
    <vt:lpwstr/>
  </property>
  <property fmtid="{D5CDD505-2E9C-101B-9397-08002B2CF9AE}" pid="48" name="Objective-Date Temporary Value Source Document Destroyed">
    <vt:lpwstr/>
  </property>
  <property fmtid="{D5CDD505-2E9C-101B-9397-08002B2CF9AE}" pid="49" name="Objective-Date Received">
    <vt:lpwstr/>
  </property>
  <property fmtid="{D5CDD505-2E9C-101B-9397-08002B2CF9AE}" pid="50" name="Objective-Action Delegator">
    <vt:lpwstr/>
  </property>
  <property fmtid="{D5CDD505-2E9C-101B-9397-08002B2CF9AE}" pid="51" name="Objective-Action Officer">
    <vt:lpwstr/>
  </property>
  <property fmtid="{D5CDD505-2E9C-101B-9397-08002B2CF9AE}" pid="52" name="Objective-Action Required">
    <vt:lpwstr/>
  </property>
  <property fmtid="{D5CDD505-2E9C-101B-9397-08002B2CF9AE}" pid="53" name="Objective-Date Action Due By">
    <vt:lpwstr/>
  </property>
  <property fmtid="{D5CDD505-2E9C-101B-9397-08002B2CF9AE}" pid="54" name="Objective-Date Action Assigned">
    <vt:lpwstr/>
  </property>
  <property fmtid="{D5CDD505-2E9C-101B-9397-08002B2CF9AE}" pid="55" name="Objective-Action Approved by">
    <vt:lpwstr/>
  </property>
  <property fmtid="{D5CDD505-2E9C-101B-9397-08002B2CF9AE}" pid="56" name="Objective-Date Action Approved">
    <vt:lpwstr/>
  </property>
  <property fmtid="{D5CDD505-2E9C-101B-9397-08002B2CF9AE}" pid="57" name="Objective-Date Interim Reply Sent">
    <vt:lpwstr/>
  </property>
  <property fmtid="{D5CDD505-2E9C-101B-9397-08002B2CF9AE}" pid="58" name="Objective-Date Final Reply Sent">
    <vt:lpwstr/>
  </property>
  <property fmtid="{D5CDD505-2E9C-101B-9397-08002B2CF9AE}" pid="59" name="Objective-Date_Completed_On">
    <vt:lpwstr/>
  </property>
  <property fmtid="{D5CDD505-2E9C-101B-9397-08002B2CF9AE}" pid="60" name="Objective-Intranet_Publishing_Requestor">
    <vt:lpwstr/>
  </property>
  <property fmtid="{D5CDD505-2E9C-101B-9397-08002B2CF9AE}" pid="61" name="Objective-Intranet_Publishing_Requestor_Email">
    <vt:lpwstr/>
  </property>
  <property fmtid="{D5CDD505-2E9C-101B-9397-08002B2CF9AE}" pid="62" name="Objective-Intranet Publisher">
    <vt:lpwstr>CORP ICT Intranet Publishing General Document Workflow Group</vt:lpwstr>
  </property>
  <property fmtid="{D5CDD505-2E9C-101B-9397-08002B2CF9AE}" pid="63" name="Objective-Intranet_Publisher_Contact">
    <vt:lpwstr/>
  </property>
  <property fmtid="{D5CDD505-2E9C-101B-9397-08002B2CF9AE}" pid="64" name="Objective-Intranet_Publisher_Email">
    <vt:lpwstr/>
  </property>
  <property fmtid="{D5CDD505-2E9C-101B-9397-08002B2CF9AE}" pid="65" name="Objective-Intranet_Display_Name">
    <vt:lpwstr/>
  </property>
  <property fmtid="{D5CDD505-2E9C-101B-9397-08002B2CF9AE}" pid="66" name="Objective-Free Text Subjects">
    <vt:lpwstr/>
  </property>
  <property fmtid="{D5CDD505-2E9C-101B-9397-08002B2CF9AE}" pid="67" name="Objective-Intranet_Publishing_Requirement">
    <vt:lpwstr/>
  </property>
  <property fmtid="{D5CDD505-2E9C-101B-9397-08002B2CF9AE}" pid="68" name="Objective-Intranet_Publishing_Instructions">
    <vt:lpwstr/>
  </property>
  <property fmtid="{D5CDD505-2E9C-101B-9397-08002B2CF9AE}" pid="69" name="Objective-Document Published Version URL Link">
    <vt:lpwstr>https://objectivesag.pirsa.sa.gov.au/id:A4885329/document/versions/published</vt:lpwstr>
  </property>
  <property fmtid="{D5CDD505-2E9C-101B-9397-08002B2CF9AE}" pid="70" name="Objective-Intranet URL Keyword">
    <vt:lpwstr>%globals_asset_metadata_PublishedURL%</vt:lpwstr>
  </property>
  <property fmtid="{D5CDD505-2E9C-101B-9397-08002B2CF9AE}" pid="71" name="Objective-Intranet Short Name">
    <vt:lpwstr>A4885329</vt:lpwstr>
  </property>
  <property fmtid="{D5CDD505-2E9C-101B-9397-08002B2CF9AE}" pid="72" name="Objective-Intranet_Publishing_Metadata_Schema">
    <vt:lpwstr>73217</vt:lpwstr>
  </property>
  <property fmtid="{D5CDD505-2E9C-101B-9397-08002B2CF9AE}" pid="73" name="Objective-Intranet_Publishing_CSV_File_Operation">
    <vt:lpwstr>E</vt:lpwstr>
  </property>
  <property fmtid="{D5CDD505-2E9C-101B-9397-08002B2CF9AE}" pid="74" name="Objective-Intranet_Asset_ID">
    <vt:lpwstr/>
  </property>
  <property fmtid="{D5CDD505-2E9C-101B-9397-08002B2CF9AE}" pid="75" name="Objective-Date_Intranet_Link_Published">
    <vt:lpwstr/>
  </property>
  <property fmtid="{D5CDD505-2E9C-101B-9397-08002B2CF9AE}" pid="76" name="Objective-Date_Intranet_Link_Next_Review_Due">
    <vt:lpwstr/>
  </property>
  <property fmtid="{D5CDD505-2E9C-101B-9397-08002B2CF9AE}" pid="77" name="Objective-Date_Intranet_Link_Removed">
    <vt:lpwstr/>
  </property>
  <property fmtid="{D5CDD505-2E9C-101B-9397-08002B2CF9AE}" pid="78" name="Objective-Internet Publishing Requestor">
    <vt:lpwstr/>
  </property>
  <property fmtid="{D5CDD505-2E9C-101B-9397-08002B2CF9AE}" pid="79" name="Objective-Internet Publishing Requestor Email">
    <vt:lpwstr/>
  </property>
  <property fmtid="{D5CDD505-2E9C-101B-9397-08002B2CF9AE}" pid="80" name="Objective-Internet Publisher Group">
    <vt:lpwstr>CORP ICT Internet Website Publishing Workflow Group</vt:lpwstr>
  </property>
  <property fmtid="{D5CDD505-2E9C-101B-9397-08002B2CF9AE}" pid="81" name="Objective-Internet Publisher Contact">
    <vt:lpwstr>publish, webpublish</vt:lpwstr>
  </property>
  <property fmtid="{D5CDD505-2E9C-101B-9397-08002B2CF9AE}" pid="82" name="Objective-Internet Publisher Email">
    <vt:lpwstr>PIRSA.Webpublish@sa.gov.au</vt:lpwstr>
  </property>
  <property fmtid="{D5CDD505-2E9C-101B-9397-08002B2CF9AE}" pid="83" name="Objective-Internet Friendly Name">
    <vt:lpwstr/>
  </property>
  <property fmtid="{D5CDD505-2E9C-101B-9397-08002B2CF9AE}" pid="84" name="Objective-Internet Document Type">
    <vt:lpwstr/>
  </property>
  <property fmtid="{D5CDD505-2E9C-101B-9397-08002B2CF9AE}" pid="85" name="Objective-Internet Publishing Requirement">
    <vt:lpwstr/>
  </property>
  <property fmtid="{D5CDD505-2E9C-101B-9397-08002B2CF9AE}" pid="86" name="Objective-Internet Publishing Instructions or Page URI">
    <vt:lpwstr/>
  </property>
  <property fmtid="{D5CDD505-2E9C-101B-9397-08002B2CF9AE}" pid="87" name="Objective-Date Document Released">
    <vt:lpwstr/>
  </property>
  <property fmtid="{D5CDD505-2E9C-101B-9397-08002B2CF9AE}" pid="88" name="Objective-Abstract">
    <vt:lpwstr/>
  </property>
  <property fmtid="{D5CDD505-2E9C-101B-9397-08002B2CF9AE}" pid="89" name="Objective-External Link">
    <vt:lpwstr/>
  </property>
  <property fmtid="{D5CDD505-2E9C-101B-9397-08002B2CF9AE}" pid="90" name="Objective-Publish Metadata Only">
    <vt:lpwstr>No</vt:lpwstr>
  </property>
  <property fmtid="{D5CDD505-2E9C-101B-9397-08002B2CF9AE}" pid="91" name="Objective-Generate PDF Rendition">
    <vt:lpwstr>No</vt:lpwstr>
  </property>
  <property fmtid="{D5CDD505-2E9C-101B-9397-08002B2CF9AE}" pid="92" name="Objective-Rendition Object ID">
    <vt:lpwstr/>
  </property>
  <property fmtid="{D5CDD505-2E9C-101B-9397-08002B2CF9AE}" pid="93" name="Objective-Rendition Document Extension">
    <vt:lpwstr/>
  </property>
  <property fmtid="{D5CDD505-2E9C-101B-9397-08002B2CF9AE}" pid="94" name="Objective-Accessibility Reviewed">
    <vt:lpwstr/>
  </property>
  <property fmtid="{D5CDD505-2E9C-101B-9397-08002B2CF9AE}" pid="95" name="Objective-Accessibility Review Notes">
    <vt:lpwstr/>
  </property>
  <property fmtid="{D5CDD505-2E9C-101B-9397-08002B2CF9AE}" pid="96" name="Objective-Collection or Program Title">
    <vt:lpwstr/>
  </property>
  <property fmtid="{D5CDD505-2E9C-101B-9397-08002B2CF9AE}" pid="97" name="Objective-Sub Collection or Item ID">
    <vt:lpwstr/>
  </property>
  <property fmtid="{D5CDD505-2E9C-101B-9397-08002B2CF9AE}" pid="98" name="Objective-Date Internet Document &amp; CSV File Published on Website">
    <vt:lpwstr/>
  </property>
  <property fmtid="{D5CDD505-2E9C-101B-9397-08002B2CF9AE}" pid="99" name="Objective-Date Internet Document &amp; CSV File Next Review Due">
    <vt:lpwstr/>
  </property>
  <property fmtid="{D5CDD505-2E9C-101B-9397-08002B2CF9AE}" pid="100" name="Objective-Date Internet Document &amp; CSV File Removed from Website">
    <vt:lpwstr/>
  </property>
  <property fmtid="{D5CDD505-2E9C-101B-9397-08002B2CF9AE}" pid="101" name="Objective-Internet Publishing CSV File Operation">
    <vt:lpwstr>A</vt:lpwstr>
  </property>
  <property fmtid="{D5CDD505-2E9C-101B-9397-08002B2CF9AE}" pid="102" name="Objective-Covers Period From">
    <vt:lpwstr/>
  </property>
  <property fmtid="{D5CDD505-2E9C-101B-9397-08002B2CF9AE}" pid="103" name="Objective-Covers Period To">
    <vt:lpwstr/>
  </property>
  <property fmtid="{D5CDD505-2E9C-101B-9397-08002B2CF9AE}" pid="104" name="Objective-Access Rights">
    <vt:lpwstr>Closed</vt:lpwstr>
  </property>
  <property fmtid="{D5CDD505-2E9C-101B-9397-08002B2CF9AE}" pid="105" name="Objective-Vital_Record_Indicator">
    <vt:lpwstr>No</vt:lpwstr>
  </property>
  <property fmtid="{D5CDD505-2E9C-101B-9397-08002B2CF9AE}" pid="106" name="Objective-Access Security Review Due Date">
    <vt:lpwstr/>
  </property>
  <property fmtid="{D5CDD505-2E9C-101B-9397-08002B2CF9AE}" pid="107" name="Objective-Vital Records Review Due Date">
    <vt:lpwstr/>
  </property>
  <property fmtid="{D5CDD505-2E9C-101B-9397-08002B2CF9AE}" pid="108" name="Objective-Internal Reference">
    <vt:lpwstr/>
  </property>
  <property fmtid="{D5CDD505-2E9C-101B-9397-08002B2CF9AE}" pid="109" name="Objective-Media_Storage_Format">
    <vt:lpwstr>Text</vt:lpwstr>
  </property>
  <property fmtid="{D5CDD505-2E9C-101B-9397-08002B2CF9AE}" pid="110" name="Objective-Jurisdiction">
    <vt:lpwstr>SA</vt:lpwstr>
  </property>
  <property fmtid="{D5CDD505-2E9C-101B-9397-08002B2CF9AE}" pid="111" name="Objective-Language">
    <vt:lpwstr>English (en)</vt:lpwstr>
  </property>
  <property fmtid="{D5CDD505-2E9C-101B-9397-08002B2CF9AE}" pid="112" name="Objective-Intellectual_Property_Rights">
    <vt:lpwstr>SA Government</vt:lpwstr>
  </property>
  <property fmtid="{D5CDD505-2E9C-101B-9397-08002B2CF9AE}" pid="113" name="Objective-Date Emailed to DPC">
    <vt:lpwstr/>
  </property>
  <property fmtid="{D5CDD505-2E9C-101B-9397-08002B2CF9AE}" pid="114" name="Objective-Date Emailed to DTF">
    <vt:lpwstr/>
  </property>
  <property fmtid="{D5CDD505-2E9C-101B-9397-08002B2CF9AE}" pid="115" name="Objective-Date Emailed to Ministers Office">
    <vt:lpwstr/>
  </property>
  <property fmtid="{D5CDD505-2E9C-101B-9397-08002B2CF9AE}" pid="116" name="Objective-Disposal Reasons">
    <vt:lpwstr/>
  </property>
  <property fmtid="{D5CDD505-2E9C-101B-9397-08002B2CF9AE}" pid="117" name="Objective-Date to be Exported">
    <vt:lpwstr/>
  </property>
  <property fmtid="{D5CDD505-2E9C-101B-9397-08002B2CF9AE}" pid="118" name="Objective-Used By System Admin Only">
    <vt:lpwstr/>
  </property>
  <property fmtid="{D5CDD505-2E9C-101B-9397-08002B2CF9AE}" pid="119" name="Objective-Old Agency">
    <vt:lpwstr/>
  </property>
  <property fmtid="{D5CDD505-2E9C-101B-9397-08002B2CF9AE}" pid="120" name="Objective-Old Business Division">
    <vt:lpwstr/>
  </property>
  <property fmtid="{D5CDD505-2E9C-101B-9397-08002B2CF9AE}" pid="121" name="Objective-Old Workgroup">
    <vt:lpwstr/>
  </property>
  <property fmtid="{D5CDD505-2E9C-101B-9397-08002B2CF9AE}" pid="122" name="Objective-Old Section">
    <vt:lpwstr/>
  </property>
  <property fmtid="{D5CDD505-2E9C-101B-9397-08002B2CF9AE}" pid="123" name="Objective-Comment">
    <vt:lpwstr/>
  </property>
  <property fmtid="{D5CDD505-2E9C-101B-9397-08002B2CF9AE}" pid="124" name="Objective-Agency [system]">
    <vt:lpwstr>Primary Industries and Regions SA</vt:lpwstr>
  </property>
  <property fmtid="{D5CDD505-2E9C-101B-9397-08002B2CF9AE}" pid="125" name="Objective-Business Division [system]">
    <vt:lpwstr>SA Research and Development Institute SARDI</vt:lpwstr>
  </property>
  <property fmtid="{D5CDD505-2E9C-101B-9397-08002B2CF9AE}" pid="126" name="Objective-Workgroup [system]">
    <vt:lpwstr>SARDI Aquatic Sciences</vt:lpwstr>
  </property>
  <property fmtid="{D5CDD505-2E9C-101B-9397-08002B2CF9AE}" pid="127" name="Objective-Section [system]">
    <vt:lpwstr>SARDI Information &amp; Systems Support</vt:lpwstr>
  </property>
  <property fmtid="{D5CDD505-2E9C-101B-9397-08002B2CF9AE}" pid="128" name="Objective-Document Type [system]">
    <vt:lpwstr>Report</vt:lpwstr>
  </property>
  <property fmtid="{D5CDD505-2E9C-101B-9397-08002B2CF9AE}" pid="129" name="Objective-Security Classification [system]">
    <vt:lpwstr>02 Official</vt:lpwstr>
  </property>
  <property fmtid="{D5CDD505-2E9C-101B-9397-08002B2CF9AE}" pid="130" name="Objective-Access Use Conditions [system]">
    <vt:lpwstr/>
  </property>
  <property fmtid="{D5CDD505-2E9C-101B-9397-08002B2CF9AE}" pid="131" name="Objective-Connect Creator [system]">
    <vt:lpwstr/>
  </property>
  <property fmtid="{D5CDD505-2E9C-101B-9397-08002B2CF9AE}" pid="132" name="Objective-Customer Person [system]">
    <vt:lpwstr/>
  </property>
  <property fmtid="{D5CDD505-2E9C-101B-9397-08002B2CF9AE}" pid="133" name="Objective-Customer Organisation [system]">
    <vt:lpwstr/>
  </property>
  <property fmtid="{D5CDD505-2E9C-101B-9397-08002B2CF9AE}" pid="134" name="Objective-Transaction Reference [system]">
    <vt:lpwstr/>
  </property>
  <property fmtid="{D5CDD505-2E9C-101B-9397-08002B2CF9AE}" pid="135" name="Objective-Place Name [system]">
    <vt:lpwstr/>
  </property>
  <property fmtid="{D5CDD505-2E9C-101B-9397-08002B2CF9AE}" pid="136" name="Objective-Description or Summary [system]">
    <vt:lpwstr/>
  </property>
  <property fmtid="{D5CDD505-2E9C-101B-9397-08002B2CF9AE}" pid="137" name="Objective-Date Document Created [system]">
    <vt:lpwstr/>
  </property>
  <property fmtid="{D5CDD505-2E9C-101B-9397-08002B2CF9AE}" pid="138" name="Objective-Document Created By [system]">
    <vt:lpwstr/>
  </property>
  <property fmtid="{D5CDD505-2E9C-101B-9397-08002B2CF9AE}" pid="139" name="Objective-Date Source Document Scanned [system]">
    <vt:lpwstr/>
  </property>
  <property fmtid="{D5CDD505-2E9C-101B-9397-08002B2CF9AE}" pid="140" name="Objective-Source Document Disposal Status [system]">
    <vt:lpwstr/>
  </property>
  <property fmtid="{D5CDD505-2E9C-101B-9397-08002B2CF9AE}" pid="141" name="Objective-Date Temporary Value Source Document Destroyed [system]">
    <vt:lpwstr/>
  </property>
  <property fmtid="{D5CDD505-2E9C-101B-9397-08002B2CF9AE}" pid="142" name="Objective-Date Received [system]">
    <vt:lpwstr/>
  </property>
  <property fmtid="{D5CDD505-2E9C-101B-9397-08002B2CF9AE}" pid="143" name="Objective-Action Delegator [system]">
    <vt:lpwstr/>
  </property>
  <property fmtid="{D5CDD505-2E9C-101B-9397-08002B2CF9AE}" pid="144" name="Objective-Action Officer [system]">
    <vt:lpwstr/>
  </property>
  <property fmtid="{D5CDD505-2E9C-101B-9397-08002B2CF9AE}" pid="145" name="Objective-Action Required [system]">
    <vt:lpwstr/>
  </property>
  <property fmtid="{D5CDD505-2E9C-101B-9397-08002B2CF9AE}" pid="146" name="Objective-Date Action Due By [system]">
    <vt:lpwstr/>
  </property>
  <property fmtid="{D5CDD505-2E9C-101B-9397-08002B2CF9AE}" pid="147" name="Objective-Date Action Assigned [system]">
    <vt:lpwstr/>
  </property>
  <property fmtid="{D5CDD505-2E9C-101B-9397-08002B2CF9AE}" pid="148" name="Objective-Action Approved by [system]">
    <vt:lpwstr/>
  </property>
  <property fmtid="{D5CDD505-2E9C-101B-9397-08002B2CF9AE}" pid="149" name="Objective-Date Action Approved [system]">
    <vt:lpwstr/>
  </property>
  <property fmtid="{D5CDD505-2E9C-101B-9397-08002B2CF9AE}" pid="150" name="Objective-Date Interim Reply Sent [system]">
    <vt:lpwstr/>
  </property>
  <property fmtid="{D5CDD505-2E9C-101B-9397-08002B2CF9AE}" pid="151" name="Objective-Date Final Reply Sent [system]">
    <vt:lpwstr/>
  </property>
  <property fmtid="{D5CDD505-2E9C-101B-9397-08002B2CF9AE}" pid="152" name="Objective-Date_Completed_On [system]">
    <vt:lpwstr/>
  </property>
  <property fmtid="{D5CDD505-2E9C-101B-9397-08002B2CF9AE}" pid="153" name="Objective-Intranet_Publishing_Requestor [system]">
    <vt:lpwstr/>
  </property>
  <property fmtid="{D5CDD505-2E9C-101B-9397-08002B2CF9AE}" pid="154" name="Objective-Intranet_Publishing_Requestor_Email [system]">
    <vt:lpwstr/>
  </property>
  <property fmtid="{D5CDD505-2E9C-101B-9397-08002B2CF9AE}" pid="155" name="Objective-Intranet Publisher [system]">
    <vt:lpwstr>CORP ICT Intranet Publishing General Document Workflow Group</vt:lpwstr>
  </property>
  <property fmtid="{D5CDD505-2E9C-101B-9397-08002B2CF9AE}" pid="156" name="Objective-Intranet_Publisher_Contact [system]">
    <vt:lpwstr/>
  </property>
  <property fmtid="{D5CDD505-2E9C-101B-9397-08002B2CF9AE}" pid="157" name="Objective-Intranet_Publisher_Email [system]">
    <vt:lpwstr/>
  </property>
  <property fmtid="{D5CDD505-2E9C-101B-9397-08002B2CF9AE}" pid="158" name="Objective-Intranet_Display_Name [system]">
    <vt:lpwstr/>
  </property>
  <property fmtid="{D5CDD505-2E9C-101B-9397-08002B2CF9AE}" pid="159" name="Objective-Free Text Subjects [system]">
    <vt:lpwstr/>
  </property>
  <property fmtid="{D5CDD505-2E9C-101B-9397-08002B2CF9AE}" pid="160" name="Objective-Intranet_Publishing_Requirement [system]">
    <vt:lpwstr/>
  </property>
  <property fmtid="{D5CDD505-2E9C-101B-9397-08002B2CF9AE}" pid="161" name="Objective-Intranet_Publishing_Instructions [system]">
    <vt:lpwstr/>
  </property>
  <property fmtid="{D5CDD505-2E9C-101B-9397-08002B2CF9AE}" pid="162" name="Objective-Document Published Version URL Link [system]">
    <vt:lpwstr>https://objectivesag.pirsa.sa.gov.au/id:A4885329/document/versions/published</vt:lpwstr>
  </property>
  <property fmtid="{D5CDD505-2E9C-101B-9397-08002B2CF9AE}" pid="163" name="Objective-Intranet URL Keyword [system]">
    <vt:lpwstr>%globals_asset_metadata_PublishedURL%</vt:lpwstr>
  </property>
  <property fmtid="{D5CDD505-2E9C-101B-9397-08002B2CF9AE}" pid="164" name="Objective-Intranet Short Name [system]">
    <vt:lpwstr>A4885329</vt:lpwstr>
  </property>
  <property fmtid="{D5CDD505-2E9C-101B-9397-08002B2CF9AE}" pid="165" name="Objective-Intranet_Publishing_Metadata_Schema [system]">
    <vt:lpwstr>73217</vt:lpwstr>
  </property>
  <property fmtid="{D5CDD505-2E9C-101B-9397-08002B2CF9AE}" pid="166" name="Objective-Intranet_Publishing_CSV_File_Operation [system]">
    <vt:lpwstr>E</vt:lpwstr>
  </property>
  <property fmtid="{D5CDD505-2E9C-101B-9397-08002B2CF9AE}" pid="167" name="Objective-Intranet_Asset_ID [system]">
    <vt:lpwstr/>
  </property>
  <property fmtid="{D5CDD505-2E9C-101B-9397-08002B2CF9AE}" pid="168" name="Objective-Date_Intranet_Link_Published [system]">
    <vt:lpwstr/>
  </property>
  <property fmtid="{D5CDD505-2E9C-101B-9397-08002B2CF9AE}" pid="169" name="Objective-Date_Intranet_Link_Next_Review_Due [system]">
    <vt:lpwstr/>
  </property>
  <property fmtid="{D5CDD505-2E9C-101B-9397-08002B2CF9AE}" pid="170" name="Objective-Date_Intranet_Link_Removed [system]">
    <vt:lpwstr/>
  </property>
  <property fmtid="{D5CDD505-2E9C-101B-9397-08002B2CF9AE}" pid="171" name="Objective-Internet Publishing Requestor [system]">
    <vt:lpwstr/>
  </property>
  <property fmtid="{D5CDD505-2E9C-101B-9397-08002B2CF9AE}" pid="172" name="Objective-Internet Publishing Requestor Email [system]">
    <vt:lpwstr/>
  </property>
  <property fmtid="{D5CDD505-2E9C-101B-9397-08002B2CF9AE}" pid="173" name="Objective-Internet Publisher Group [system]">
    <vt:lpwstr>CORP ICT Internet Website Publishing Workflow Group</vt:lpwstr>
  </property>
  <property fmtid="{D5CDD505-2E9C-101B-9397-08002B2CF9AE}" pid="174" name="Objective-Internet Publisher Contact [system]">
    <vt:lpwstr>publish, webpublish</vt:lpwstr>
  </property>
  <property fmtid="{D5CDD505-2E9C-101B-9397-08002B2CF9AE}" pid="175" name="Objective-Internet Publisher Email [system]">
    <vt:lpwstr>PIRSA.Webpublish@sa.gov.au</vt:lpwstr>
  </property>
  <property fmtid="{D5CDD505-2E9C-101B-9397-08002B2CF9AE}" pid="176" name="Objective-Internet Friendly Name [system]">
    <vt:lpwstr/>
  </property>
  <property fmtid="{D5CDD505-2E9C-101B-9397-08002B2CF9AE}" pid="177" name="Objective-Internet Document Type [system]">
    <vt:lpwstr/>
  </property>
  <property fmtid="{D5CDD505-2E9C-101B-9397-08002B2CF9AE}" pid="178" name="Objective-Internet Publishing Requirement [system]">
    <vt:lpwstr/>
  </property>
  <property fmtid="{D5CDD505-2E9C-101B-9397-08002B2CF9AE}" pid="179" name="Objective-Internet Publishing Instructions or Page URI [system]">
    <vt:lpwstr/>
  </property>
  <property fmtid="{D5CDD505-2E9C-101B-9397-08002B2CF9AE}" pid="180" name="Objective-Date Document Released [system]">
    <vt:lpwstr/>
  </property>
  <property fmtid="{D5CDD505-2E9C-101B-9397-08002B2CF9AE}" pid="181" name="Objective-Abstract [system]">
    <vt:lpwstr/>
  </property>
  <property fmtid="{D5CDD505-2E9C-101B-9397-08002B2CF9AE}" pid="182" name="Objective-External Link [system]">
    <vt:lpwstr/>
  </property>
  <property fmtid="{D5CDD505-2E9C-101B-9397-08002B2CF9AE}" pid="183" name="Objective-Publish Metadata Only [system]">
    <vt:lpwstr>No</vt:lpwstr>
  </property>
  <property fmtid="{D5CDD505-2E9C-101B-9397-08002B2CF9AE}" pid="184" name="Objective-Generate PDF Rendition [system]">
    <vt:lpwstr>No</vt:lpwstr>
  </property>
  <property fmtid="{D5CDD505-2E9C-101B-9397-08002B2CF9AE}" pid="185" name="Objective-Rendition Object ID [system]">
    <vt:lpwstr/>
  </property>
  <property fmtid="{D5CDD505-2E9C-101B-9397-08002B2CF9AE}" pid="186" name="Objective-Rendition Document Extension [system]">
    <vt:lpwstr/>
  </property>
  <property fmtid="{D5CDD505-2E9C-101B-9397-08002B2CF9AE}" pid="187" name="Objective-Accessibility Reviewed [system]">
    <vt:lpwstr/>
  </property>
  <property fmtid="{D5CDD505-2E9C-101B-9397-08002B2CF9AE}" pid="188" name="Objective-Accessibility Review Notes [system]">
    <vt:lpwstr/>
  </property>
  <property fmtid="{D5CDD505-2E9C-101B-9397-08002B2CF9AE}" pid="189" name="Objective-Collection or Program Title [system]">
    <vt:lpwstr/>
  </property>
  <property fmtid="{D5CDD505-2E9C-101B-9397-08002B2CF9AE}" pid="190" name="Objective-Sub Collection or Item ID [system]">
    <vt:lpwstr/>
  </property>
  <property fmtid="{D5CDD505-2E9C-101B-9397-08002B2CF9AE}" pid="191" name="Objective-Date Internet Document &amp; CSV File Published on Website [system]">
    <vt:lpwstr/>
  </property>
  <property fmtid="{D5CDD505-2E9C-101B-9397-08002B2CF9AE}" pid="192" name="Objective-Date Internet Document &amp; CSV File Next Review Due [system]">
    <vt:lpwstr/>
  </property>
  <property fmtid="{D5CDD505-2E9C-101B-9397-08002B2CF9AE}" pid="193" name="Objective-Date Internet Document &amp; CSV File Removed from Website [system]">
    <vt:lpwstr/>
  </property>
  <property fmtid="{D5CDD505-2E9C-101B-9397-08002B2CF9AE}" pid="194" name="Objective-Internet Publishing CSV File Operation [system]">
    <vt:lpwstr>A</vt:lpwstr>
  </property>
  <property fmtid="{D5CDD505-2E9C-101B-9397-08002B2CF9AE}" pid="195" name="Objective-Covers Period From [system]">
    <vt:lpwstr/>
  </property>
  <property fmtid="{D5CDD505-2E9C-101B-9397-08002B2CF9AE}" pid="196" name="Objective-Covers Period To [system]">
    <vt:lpwstr/>
  </property>
  <property fmtid="{D5CDD505-2E9C-101B-9397-08002B2CF9AE}" pid="197" name="Objective-Access Rights [system]">
    <vt:lpwstr>Closed</vt:lpwstr>
  </property>
  <property fmtid="{D5CDD505-2E9C-101B-9397-08002B2CF9AE}" pid="198" name="Objective-Vital_Record_Indicator [system]">
    <vt:lpwstr>No</vt:lpwstr>
  </property>
  <property fmtid="{D5CDD505-2E9C-101B-9397-08002B2CF9AE}" pid="199" name="Objective-Access Security Review Due Date [system]">
    <vt:lpwstr/>
  </property>
  <property fmtid="{D5CDD505-2E9C-101B-9397-08002B2CF9AE}" pid="200" name="Objective-Vital Records Review Due Date [system]">
    <vt:lpwstr/>
  </property>
  <property fmtid="{D5CDD505-2E9C-101B-9397-08002B2CF9AE}" pid="201" name="Objective-Internal Reference [system]">
    <vt:lpwstr/>
  </property>
  <property fmtid="{D5CDD505-2E9C-101B-9397-08002B2CF9AE}" pid="202" name="Objective-Media_Storage_Format [system]">
    <vt:lpwstr>Text</vt:lpwstr>
  </property>
  <property fmtid="{D5CDD505-2E9C-101B-9397-08002B2CF9AE}" pid="203" name="Objective-Jurisdiction [system]">
    <vt:lpwstr>SA</vt:lpwstr>
  </property>
  <property fmtid="{D5CDD505-2E9C-101B-9397-08002B2CF9AE}" pid="204" name="Objective-Language [system]">
    <vt:lpwstr>English (en)</vt:lpwstr>
  </property>
  <property fmtid="{D5CDD505-2E9C-101B-9397-08002B2CF9AE}" pid="205" name="Objective-Intellectual_Property_Rights [system]">
    <vt:lpwstr>SA Government</vt:lpwstr>
  </property>
  <property fmtid="{D5CDD505-2E9C-101B-9397-08002B2CF9AE}" pid="206" name="Objective-Date Emailed to DPC [system]">
    <vt:lpwstr/>
  </property>
  <property fmtid="{D5CDD505-2E9C-101B-9397-08002B2CF9AE}" pid="207" name="Objective-Date Emailed to DTF [system]">
    <vt:lpwstr/>
  </property>
  <property fmtid="{D5CDD505-2E9C-101B-9397-08002B2CF9AE}" pid="208" name="Objective-Date Emailed to Ministers Office [system]">
    <vt:lpwstr/>
  </property>
  <property fmtid="{D5CDD505-2E9C-101B-9397-08002B2CF9AE}" pid="209" name="Objective-Disposal Reasons [system]">
    <vt:lpwstr/>
  </property>
  <property fmtid="{D5CDD505-2E9C-101B-9397-08002B2CF9AE}" pid="210" name="Objective-Date to be Exported [system]">
    <vt:lpwstr/>
  </property>
  <property fmtid="{D5CDD505-2E9C-101B-9397-08002B2CF9AE}" pid="211" name="Objective-Used By System Admin Only [system]">
    <vt:lpwstr/>
  </property>
  <property fmtid="{D5CDD505-2E9C-101B-9397-08002B2CF9AE}" pid="212" name="Objective-Old Agency [system]">
    <vt:lpwstr/>
  </property>
  <property fmtid="{D5CDD505-2E9C-101B-9397-08002B2CF9AE}" pid="213" name="Objective-Old Business Division [system]">
    <vt:lpwstr/>
  </property>
  <property fmtid="{D5CDD505-2E9C-101B-9397-08002B2CF9AE}" pid="214" name="Objective-Old Workgroup [system]">
    <vt:lpwstr/>
  </property>
  <property fmtid="{D5CDD505-2E9C-101B-9397-08002B2CF9AE}" pid="215" name="Objective-Old Section [system]">
    <vt:lpwstr/>
  </property>
</Properties>
</file>